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left"/>
        <w:rPr>
          <w:rFonts w:hint="eastAsia" w:ascii="仿宋_GB2312" w:hAnsi="仿宋_GB2312" w:eastAsia="仿宋_GB2312"/>
          <w:sz w:val="32"/>
          <w:lang w:val="en-US" w:eastAsia="zh-CN"/>
        </w:rPr>
      </w:pPr>
      <w:bookmarkStart w:id="1" w:name="_GoBack"/>
      <w:bookmarkEnd w:id="1"/>
    </w:p>
    <w:p>
      <w:pPr>
        <w:spacing w:line="580" w:lineRule="exact"/>
        <w:jc w:val="left"/>
        <w:rPr>
          <w:rFonts w:hint="eastAsia" w:ascii="仿宋_GB2312" w:hAnsi="仿宋_GB2312" w:eastAsia="仿宋_GB2312"/>
          <w:sz w:val="32"/>
        </w:rPr>
      </w:pPr>
    </w:p>
    <w:p>
      <w:pPr>
        <w:spacing w:line="580" w:lineRule="exact"/>
        <w:jc w:val="center"/>
        <w:rPr>
          <w:rFonts w:ascii="方正小标宋_GBK" w:hAnsi="方正小标宋_GBK" w:eastAsia="方正小标宋_GBK" w:cs="方正小标宋_GBK"/>
          <w:sz w:val="44"/>
        </w:rPr>
      </w:pPr>
      <w:r>
        <w:rPr>
          <w:rFonts w:hint="eastAsia" w:ascii="方正小标宋_GBK" w:hAnsi="方正小标宋_GBK" w:eastAsia="方正小标宋_GBK" w:cs="方正小标宋_GBK"/>
          <w:sz w:val="44"/>
          <w:lang w:eastAsia="zh-CN"/>
        </w:rPr>
        <w:t>自行采购</w:t>
      </w:r>
      <w:r>
        <w:rPr>
          <w:rFonts w:hint="eastAsia" w:ascii="方正小标宋_GBK" w:hAnsi="方正小标宋_GBK" w:eastAsia="方正小标宋_GBK" w:cs="方正小标宋_GBK"/>
          <w:sz w:val="44"/>
        </w:rPr>
        <w:t>服务类项目采购需求</w:t>
      </w:r>
    </w:p>
    <w:p>
      <w:pPr>
        <w:spacing w:line="580" w:lineRule="exact"/>
        <w:jc w:val="center"/>
        <w:rPr>
          <w:rFonts w:ascii="仿宋_GB2312" w:hAnsi="仿宋_GB2312" w:eastAsia="仿宋_GB2312"/>
          <w:sz w:val="32"/>
        </w:rPr>
      </w:pPr>
    </w:p>
    <w:p>
      <w:pPr>
        <w:spacing w:line="580" w:lineRule="exact"/>
        <w:ind w:firstLine="640" w:firstLineChars="200"/>
        <w:jc w:val="left"/>
        <w:rPr>
          <w:rFonts w:ascii="黑体" w:hAnsi="黑体" w:eastAsia="黑体"/>
          <w:sz w:val="32"/>
        </w:rPr>
      </w:pPr>
      <w:r>
        <w:rPr>
          <w:rFonts w:hint="eastAsia" w:ascii="黑体" w:hAnsi="黑体" w:eastAsia="黑体"/>
          <w:sz w:val="32"/>
        </w:rPr>
        <w:t>一、采购项目概况</w:t>
      </w:r>
    </w:p>
    <w:tbl>
      <w:tblPr>
        <w:tblStyle w:val="15"/>
        <w:tblW w:w="8954"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30"/>
        <w:gridCol w:w="57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3230" w:type="dxa"/>
          </w:tcPr>
          <w:p>
            <w:pPr>
              <w:pStyle w:val="25"/>
              <w:spacing w:before="86"/>
              <w:ind w:left="17" w:right="17"/>
              <w:jc w:val="center"/>
              <w:rPr>
                <w:b/>
                <w:bCs/>
                <w:sz w:val="28"/>
              </w:rPr>
            </w:pPr>
            <w:r>
              <w:rPr>
                <w:b/>
                <w:bCs/>
                <w:sz w:val="28"/>
              </w:rPr>
              <w:t>项目名称</w:t>
            </w:r>
          </w:p>
        </w:tc>
        <w:tc>
          <w:tcPr>
            <w:tcW w:w="5724" w:type="dxa"/>
          </w:tcPr>
          <w:p>
            <w:pPr>
              <w:pStyle w:val="25"/>
              <w:jc w:val="center"/>
              <w:rPr>
                <w:rFonts w:hint="default" w:ascii="Times New Roman"/>
                <w:sz w:val="30"/>
                <w:lang w:val="en-US" w:eastAsia="zh-CN"/>
              </w:rPr>
            </w:pPr>
            <w:r>
              <w:rPr>
                <w:rFonts w:hint="default" w:ascii="Times New Roman"/>
                <w:color w:val="auto"/>
                <w:sz w:val="30"/>
                <w:lang w:val="en-US" w:eastAsia="zh-CN"/>
              </w:rPr>
              <w:t>深圳市政务服务一体化提升项目信息系统商用密码应用安全性评估服务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3230" w:type="dxa"/>
          </w:tcPr>
          <w:p>
            <w:pPr>
              <w:pStyle w:val="25"/>
              <w:spacing w:before="85"/>
              <w:ind w:left="83" w:right="17"/>
              <w:jc w:val="center"/>
              <w:rPr>
                <w:b/>
                <w:bCs/>
                <w:sz w:val="28"/>
              </w:rPr>
            </w:pPr>
            <w:r>
              <w:rPr>
                <w:b/>
                <w:bCs/>
                <w:sz w:val="28"/>
              </w:rPr>
              <w:t>项目预算（单位：万元）</w:t>
            </w:r>
          </w:p>
        </w:tc>
        <w:tc>
          <w:tcPr>
            <w:tcW w:w="5724" w:type="dxa"/>
          </w:tcPr>
          <w:p>
            <w:pPr>
              <w:pStyle w:val="25"/>
              <w:jc w:val="center"/>
              <w:rPr>
                <w:rFonts w:hint="default" w:ascii="Times New Roman" w:eastAsia="仿宋"/>
                <w:sz w:val="30"/>
                <w:lang w:val="en-US" w:eastAsia="zh-CN"/>
              </w:rPr>
            </w:pPr>
            <w:r>
              <w:rPr>
                <w:rFonts w:hint="eastAsia" w:ascii="Times New Roman"/>
                <w:sz w:val="30"/>
                <w:lang w:val="en-US" w:eastAsia="zh-CN"/>
              </w:rPr>
              <w:t>11.51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3230" w:type="dxa"/>
          </w:tcPr>
          <w:p>
            <w:pPr>
              <w:pStyle w:val="25"/>
              <w:spacing w:before="83"/>
              <w:ind w:left="20" w:right="17"/>
              <w:jc w:val="center"/>
              <w:rPr>
                <w:b/>
                <w:bCs/>
                <w:sz w:val="28"/>
              </w:rPr>
            </w:pPr>
            <w:r>
              <w:rPr>
                <w:b/>
                <w:bCs/>
                <w:sz w:val="28"/>
              </w:rPr>
              <w:t>采购人单位</w:t>
            </w:r>
          </w:p>
        </w:tc>
        <w:tc>
          <w:tcPr>
            <w:tcW w:w="5724" w:type="dxa"/>
            <w:shd w:val="clear" w:color="auto" w:fill="auto"/>
            <w:vAlign w:val="top"/>
          </w:tcPr>
          <w:p>
            <w:pPr>
              <w:pStyle w:val="25"/>
              <w:jc w:val="center"/>
              <w:rPr>
                <w:rFonts w:ascii="Times New Roman" w:hAnsi="仿宋" w:eastAsia="仿宋" w:cs="仿宋"/>
                <w:kern w:val="2"/>
                <w:sz w:val="30"/>
                <w:szCs w:val="22"/>
                <w:highlight w:val="none"/>
                <w:lang w:val="en-US" w:eastAsia="zh-CN" w:bidi="ar-SA"/>
              </w:rPr>
            </w:pPr>
            <w:r>
              <w:rPr>
                <w:rFonts w:hint="eastAsia" w:ascii="Times New Roman"/>
                <w:sz w:val="32"/>
                <w:szCs w:val="24"/>
                <w:highlight w:val="none"/>
                <w:lang w:val="en-US" w:eastAsia="zh-CN"/>
              </w:rPr>
              <w:t>深圳市政务服务和数据管理局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3230" w:type="dxa"/>
          </w:tcPr>
          <w:p>
            <w:pPr>
              <w:pStyle w:val="25"/>
              <w:spacing w:before="83"/>
              <w:ind w:left="18" w:right="17"/>
              <w:jc w:val="center"/>
              <w:rPr>
                <w:b/>
                <w:bCs/>
                <w:sz w:val="28"/>
              </w:rPr>
            </w:pPr>
            <w:r>
              <w:rPr>
                <w:b/>
                <w:bCs/>
                <w:sz w:val="28"/>
              </w:rPr>
              <w:t>负责人/联系电话</w:t>
            </w:r>
          </w:p>
        </w:tc>
        <w:tc>
          <w:tcPr>
            <w:tcW w:w="5724" w:type="dxa"/>
            <w:shd w:val="clear" w:color="auto" w:fill="auto"/>
            <w:vAlign w:val="top"/>
          </w:tcPr>
          <w:p>
            <w:pPr>
              <w:pStyle w:val="25"/>
              <w:jc w:val="center"/>
              <w:rPr>
                <w:rFonts w:ascii="Times New Roman" w:hAnsi="仿宋" w:eastAsia="仿宋" w:cs="仿宋"/>
                <w:kern w:val="2"/>
                <w:sz w:val="30"/>
                <w:szCs w:val="22"/>
                <w:highlight w:val="none"/>
                <w:lang w:val="en-US" w:eastAsia="zh-CN" w:bidi="ar-SA"/>
              </w:rPr>
            </w:pPr>
            <w:r>
              <w:rPr>
                <w:rFonts w:hint="eastAsia" w:ascii="Times New Roman"/>
                <w:sz w:val="32"/>
                <w:szCs w:val="24"/>
                <w:highlight w:val="none"/>
                <w:lang w:val="en-US" w:eastAsia="zh-CN"/>
              </w:rPr>
              <w:t>韦工/0755-88127601</w:t>
            </w:r>
          </w:p>
        </w:tc>
      </w:tr>
    </w:tbl>
    <w:p>
      <w:pPr>
        <w:spacing w:line="580" w:lineRule="exact"/>
        <w:ind w:firstLine="640" w:firstLineChars="200"/>
        <w:jc w:val="both"/>
        <w:rPr>
          <w:rFonts w:hint="eastAsia" w:ascii="仿宋_GB2312" w:hAnsi="仿宋_GB2312" w:eastAsia="仿宋_GB2312"/>
          <w:sz w:val="32"/>
          <w:lang w:val="en-US" w:eastAsia="zh-CN"/>
        </w:rPr>
      </w:pPr>
      <w:r>
        <w:rPr>
          <w:rFonts w:hint="eastAsia" w:ascii="黑体" w:hAnsi="黑体" w:eastAsia="黑体"/>
          <w:sz w:val="32"/>
        </w:rPr>
        <w:t>二、项目</w:t>
      </w:r>
      <w:r>
        <w:rPr>
          <w:rFonts w:hint="eastAsia" w:ascii="黑体" w:hAnsi="黑体" w:eastAsia="黑体"/>
          <w:sz w:val="32"/>
          <w:lang w:eastAsia="zh-CN"/>
        </w:rPr>
        <w:t>技术</w:t>
      </w:r>
      <w:r>
        <w:rPr>
          <w:rFonts w:hint="eastAsia" w:ascii="黑体" w:hAnsi="黑体" w:eastAsia="黑体"/>
          <w:sz w:val="32"/>
        </w:rPr>
        <w:t>和服务要求</w:t>
      </w:r>
    </w:p>
    <w:p>
      <w:pPr>
        <w:spacing w:line="580" w:lineRule="exact"/>
        <w:ind w:firstLine="640" w:firstLineChars="200"/>
        <w:jc w:val="left"/>
        <w:rPr>
          <w:rFonts w:ascii="仿宋_GB2312" w:hAnsi="仿宋_GB2312" w:eastAsia="仿宋_GB2312"/>
          <w:color w:val="auto"/>
          <w:sz w:val="32"/>
        </w:rPr>
      </w:pPr>
      <w:r>
        <w:rPr>
          <w:rFonts w:hint="eastAsia" w:ascii="仿宋_GB2312" w:hAnsi="仿宋_GB2312" w:eastAsia="仿宋_GB2312" w:cs="仿宋_GB2312"/>
          <w:color w:val="0C0C0C"/>
          <w:sz w:val="32"/>
          <w:szCs w:val="32"/>
          <w:lang w:val="en-US" w:eastAsia="zh-CN"/>
        </w:rPr>
        <w:t>为进一步落实好国家和省、市关于密码工作的要求，委托第三方专业机构进行商用密码应用安全性测评服务，如下：</w:t>
      </w:r>
    </w:p>
    <w:p>
      <w:pPr>
        <w:spacing w:line="580" w:lineRule="exact"/>
        <w:ind w:firstLine="640" w:firstLineChars="200"/>
        <w:jc w:val="left"/>
        <w:rPr>
          <w:rFonts w:ascii="仿宋_GB2312" w:hAnsi="仿宋_GB2312" w:eastAsia="仿宋_GB2312"/>
          <w:color w:val="auto"/>
          <w:sz w:val="32"/>
        </w:rPr>
      </w:pPr>
      <w:r>
        <w:rPr>
          <w:rFonts w:ascii="仿宋_GB2312" w:hAnsi="仿宋_GB2312" w:eastAsia="仿宋_GB2312"/>
          <w:color w:val="auto"/>
          <w:sz w:val="32"/>
        </w:rPr>
        <w:t>1.</w:t>
      </w:r>
      <w:r>
        <w:rPr>
          <w:rFonts w:hint="eastAsia" w:ascii="仿宋_GB2312" w:hAnsi="仿宋_GB2312" w:eastAsia="仿宋_GB2312"/>
          <w:color w:val="auto"/>
          <w:sz w:val="32"/>
        </w:rPr>
        <w:t>对深圳市政务服务一体化平台提升项目-广东省网上办事大厅深圳分厅系统、深圳市政务服务一体化平台提升项目-深圳市政务电子证照系统商用密码应用安全性进行评估，包括但不限于以下技术要求：</w:t>
      </w:r>
    </w:p>
    <w:p>
      <w:pPr>
        <w:pStyle w:val="26"/>
        <w:numPr>
          <w:ilvl w:val="0"/>
          <w:numId w:val="1"/>
        </w:numPr>
        <w:spacing w:line="580" w:lineRule="exact"/>
        <w:ind w:firstLineChars="0"/>
        <w:rPr>
          <w:rFonts w:ascii="仿宋_GB2312" w:hAnsi="仿宋_GB2312" w:eastAsia="仿宋_GB2312"/>
          <w:sz w:val="32"/>
        </w:rPr>
      </w:pPr>
      <w:r>
        <w:rPr>
          <w:rFonts w:hint="eastAsia" w:ascii="仿宋_GB2312" w:hAnsi="仿宋_GB2312" w:eastAsia="仿宋_GB2312"/>
          <w:sz w:val="32"/>
        </w:rPr>
        <w:t>通用要求评估</w:t>
      </w:r>
    </w:p>
    <w:tbl>
      <w:tblPr>
        <w:tblStyle w:val="15"/>
        <w:tblW w:w="8335"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972"/>
        <w:gridCol w:w="636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6" w:hRule="atLeast"/>
        </w:trPr>
        <w:tc>
          <w:tcPr>
            <w:tcW w:w="1972" w:type="dxa"/>
            <w:tcBorders>
              <w:top w:val="single" w:color="000000" w:sz="6" w:space="0"/>
              <w:left w:val="single" w:color="000000" w:sz="6" w:space="0"/>
              <w:bottom w:val="single" w:color="000000" w:sz="6" w:space="0"/>
              <w:right w:val="single" w:color="000000" w:sz="6" w:space="0"/>
            </w:tcBorders>
            <w:shd w:val="clear" w:color="auto" w:fill="D6D6D6"/>
            <w:vAlign w:val="center"/>
          </w:tcPr>
          <w:p>
            <w:pPr>
              <w:pStyle w:val="25"/>
              <w:spacing w:line="360" w:lineRule="auto"/>
              <w:jc w:val="center"/>
              <w:rPr>
                <w:rFonts w:ascii="仿宋_GB2312" w:hAnsi="仿宋_GB2312" w:eastAsia="仿宋_GB2312" w:cs="Times New Roman"/>
                <w:sz w:val="32"/>
              </w:rPr>
            </w:pPr>
            <w:r>
              <w:rPr>
                <w:rFonts w:hint="eastAsia" w:ascii="仿宋_GB2312" w:hAnsi="仿宋_GB2312" w:eastAsia="仿宋_GB2312" w:cs="Times New Roman"/>
                <w:sz w:val="32"/>
              </w:rPr>
              <w:t>测评内容</w:t>
            </w:r>
          </w:p>
        </w:tc>
        <w:tc>
          <w:tcPr>
            <w:tcW w:w="6363" w:type="dxa"/>
            <w:tcBorders>
              <w:top w:val="single" w:color="000000" w:sz="6" w:space="0"/>
              <w:left w:val="single" w:color="000000" w:sz="6" w:space="0"/>
              <w:bottom w:val="single" w:color="000000" w:sz="6" w:space="0"/>
              <w:right w:val="single" w:color="000000" w:sz="6" w:space="0"/>
            </w:tcBorders>
            <w:shd w:val="clear" w:color="auto" w:fill="D6D6D6"/>
            <w:vAlign w:val="center"/>
          </w:tcPr>
          <w:p>
            <w:pPr>
              <w:pStyle w:val="25"/>
              <w:spacing w:line="360" w:lineRule="auto"/>
              <w:jc w:val="center"/>
              <w:rPr>
                <w:rFonts w:ascii="仿宋_GB2312" w:hAnsi="仿宋_GB2312" w:eastAsia="仿宋_GB2312" w:cs="Times New Roman"/>
                <w:sz w:val="32"/>
              </w:rPr>
            </w:pPr>
            <w:r>
              <w:rPr>
                <w:rFonts w:hint="eastAsia" w:ascii="仿宋_GB2312" w:hAnsi="仿宋_GB2312" w:eastAsia="仿宋_GB2312" w:cs="Times New Roman"/>
                <w:sz w:val="32"/>
              </w:rPr>
              <w:t>具体要求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6" w:hRule="atLeast"/>
        </w:trPr>
        <w:tc>
          <w:tcPr>
            <w:tcW w:w="1972" w:type="dxa"/>
            <w:tcBorders>
              <w:top w:val="single" w:color="000000" w:sz="6" w:space="0"/>
              <w:left w:val="single" w:color="000000" w:sz="6" w:space="0"/>
              <w:bottom w:val="single" w:color="000000" w:sz="6" w:space="0"/>
              <w:right w:val="single" w:color="000000" w:sz="6" w:space="0"/>
            </w:tcBorders>
            <w:vAlign w:val="center"/>
          </w:tcPr>
          <w:p>
            <w:pPr>
              <w:pStyle w:val="25"/>
              <w:spacing w:line="360" w:lineRule="auto"/>
              <w:jc w:val="center"/>
              <w:rPr>
                <w:rFonts w:ascii="仿宋_GB2312" w:hAnsi="仿宋_GB2312" w:eastAsia="仿宋_GB2312" w:cs="Times New Roman"/>
                <w:sz w:val="32"/>
              </w:rPr>
            </w:pPr>
            <w:r>
              <w:rPr>
                <w:rFonts w:hint="eastAsia" w:ascii="仿宋_GB2312" w:hAnsi="仿宋_GB2312" w:eastAsia="仿宋_GB2312" w:cs="Times New Roman"/>
                <w:sz w:val="32"/>
              </w:rPr>
              <w:t>密码算法合规性评估</w:t>
            </w:r>
          </w:p>
        </w:tc>
        <w:tc>
          <w:tcPr>
            <w:tcW w:w="6363" w:type="dxa"/>
            <w:tcBorders>
              <w:top w:val="single" w:color="000000" w:sz="6" w:space="0"/>
              <w:left w:val="single" w:color="000000" w:sz="6" w:space="0"/>
              <w:bottom w:val="single" w:color="000000" w:sz="6" w:space="0"/>
              <w:right w:val="single" w:color="000000" w:sz="6" w:space="0"/>
            </w:tcBorders>
            <w:vAlign w:val="center"/>
          </w:tcPr>
          <w:p>
            <w:pPr>
              <w:pStyle w:val="25"/>
              <w:spacing w:line="360" w:lineRule="auto"/>
              <w:jc w:val="left"/>
              <w:rPr>
                <w:rFonts w:ascii="仿宋_GB2312" w:hAnsi="仿宋_GB2312" w:eastAsia="仿宋_GB2312" w:cs="Times New Roman"/>
                <w:sz w:val="32"/>
              </w:rPr>
            </w:pPr>
            <w:r>
              <w:rPr>
                <w:rFonts w:hint="eastAsia" w:ascii="仿宋_GB2312" w:hAnsi="仿宋_GB2312" w:eastAsia="仿宋_GB2312" w:cs="Times New Roman"/>
                <w:sz w:val="32"/>
              </w:rPr>
              <w:t>信息系统中使用的密码算法是否符合法律、法规的规定和密码相关国家标准、行业标准的有关要求。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6" w:hRule="atLeast"/>
        </w:trPr>
        <w:tc>
          <w:tcPr>
            <w:tcW w:w="1972" w:type="dxa"/>
            <w:tcBorders>
              <w:top w:val="single" w:color="000000" w:sz="6" w:space="0"/>
              <w:left w:val="single" w:color="000000" w:sz="6" w:space="0"/>
              <w:bottom w:val="single" w:color="000000" w:sz="6" w:space="0"/>
              <w:right w:val="single" w:color="000000" w:sz="6" w:space="0"/>
            </w:tcBorders>
            <w:vAlign w:val="center"/>
          </w:tcPr>
          <w:p>
            <w:pPr>
              <w:pStyle w:val="25"/>
              <w:spacing w:line="360" w:lineRule="auto"/>
              <w:jc w:val="center"/>
              <w:rPr>
                <w:rFonts w:ascii="仿宋_GB2312" w:hAnsi="仿宋_GB2312" w:eastAsia="仿宋_GB2312" w:cs="Times New Roman"/>
                <w:sz w:val="32"/>
              </w:rPr>
            </w:pPr>
            <w:r>
              <w:rPr>
                <w:rFonts w:hint="eastAsia" w:ascii="仿宋_GB2312" w:hAnsi="仿宋_GB2312" w:eastAsia="仿宋_GB2312" w:cs="Times New Roman"/>
                <w:sz w:val="32"/>
              </w:rPr>
              <w:t>密码技术合规性评估</w:t>
            </w:r>
          </w:p>
        </w:tc>
        <w:tc>
          <w:tcPr>
            <w:tcW w:w="6363" w:type="dxa"/>
            <w:tcBorders>
              <w:top w:val="single" w:color="000000" w:sz="6" w:space="0"/>
              <w:left w:val="single" w:color="000000" w:sz="6" w:space="0"/>
              <w:bottom w:val="single" w:color="000000" w:sz="6" w:space="0"/>
              <w:right w:val="single" w:color="000000" w:sz="6" w:space="0"/>
            </w:tcBorders>
            <w:vAlign w:val="center"/>
          </w:tcPr>
          <w:p>
            <w:pPr>
              <w:pStyle w:val="25"/>
              <w:spacing w:line="360" w:lineRule="auto"/>
              <w:jc w:val="left"/>
              <w:rPr>
                <w:rFonts w:ascii="仿宋_GB2312" w:hAnsi="仿宋_GB2312" w:eastAsia="仿宋_GB2312" w:cs="Times New Roman"/>
                <w:sz w:val="32"/>
              </w:rPr>
            </w:pPr>
            <w:r>
              <w:rPr>
                <w:rFonts w:hint="eastAsia" w:ascii="仿宋_GB2312" w:hAnsi="仿宋_GB2312" w:eastAsia="仿宋_GB2312" w:cs="Times New Roman"/>
                <w:sz w:val="32"/>
              </w:rPr>
              <w:t>信息系统中使用的密码技术是否遵循密码相关国家标准和行业标准。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6" w:hRule="atLeast"/>
        </w:trPr>
        <w:tc>
          <w:tcPr>
            <w:tcW w:w="1972" w:type="dxa"/>
            <w:tcBorders>
              <w:top w:val="single" w:color="000000" w:sz="6" w:space="0"/>
              <w:left w:val="single" w:color="000000" w:sz="6" w:space="0"/>
              <w:bottom w:val="single" w:color="000000" w:sz="6" w:space="0"/>
              <w:right w:val="single" w:color="000000" w:sz="6" w:space="0"/>
            </w:tcBorders>
            <w:vAlign w:val="center"/>
          </w:tcPr>
          <w:p>
            <w:pPr>
              <w:pStyle w:val="25"/>
              <w:spacing w:line="360" w:lineRule="auto"/>
              <w:jc w:val="center"/>
              <w:rPr>
                <w:rFonts w:ascii="仿宋_GB2312" w:hAnsi="仿宋_GB2312" w:eastAsia="仿宋_GB2312" w:cs="Times New Roman"/>
                <w:sz w:val="32"/>
              </w:rPr>
            </w:pPr>
            <w:r>
              <w:rPr>
                <w:rFonts w:hint="eastAsia" w:ascii="仿宋_GB2312" w:hAnsi="仿宋_GB2312" w:eastAsia="仿宋_GB2312" w:cs="Times New Roman"/>
                <w:sz w:val="32"/>
              </w:rPr>
              <w:t>密码产品合规性评估</w:t>
            </w:r>
          </w:p>
        </w:tc>
        <w:tc>
          <w:tcPr>
            <w:tcW w:w="6363" w:type="dxa"/>
            <w:tcBorders>
              <w:top w:val="single" w:color="000000" w:sz="6" w:space="0"/>
              <w:left w:val="single" w:color="000000" w:sz="6" w:space="0"/>
              <w:bottom w:val="single" w:color="000000" w:sz="6" w:space="0"/>
              <w:right w:val="single" w:color="000000" w:sz="6" w:space="0"/>
            </w:tcBorders>
            <w:vAlign w:val="center"/>
          </w:tcPr>
          <w:p>
            <w:pPr>
              <w:pStyle w:val="25"/>
              <w:spacing w:line="360" w:lineRule="auto"/>
              <w:jc w:val="left"/>
              <w:rPr>
                <w:rFonts w:ascii="仿宋_GB2312" w:hAnsi="仿宋_GB2312" w:eastAsia="仿宋_GB2312" w:cs="Times New Roman"/>
                <w:sz w:val="32"/>
              </w:rPr>
            </w:pPr>
            <w:r>
              <w:rPr>
                <w:rFonts w:hint="eastAsia" w:ascii="仿宋_GB2312" w:hAnsi="仿宋_GB2312" w:eastAsia="仿宋_GB2312" w:cs="Times New Roman"/>
                <w:sz w:val="32"/>
              </w:rPr>
              <w:t>信息系统中使用的密码产品与密码模块是否通过国家密码管理部门核准。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6" w:hRule="atLeast"/>
        </w:trPr>
        <w:tc>
          <w:tcPr>
            <w:tcW w:w="1972" w:type="dxa"/>
            <w:tcBorders>
              <w:top w:val="single" w:color="000000" w:sz="6" w:space="0"/>
              <w:left w:val="single" w:color="000000" w:sz="6" w:space="0"/>
              <w:bottom w:val="single" w:color="000000" w:sz="6" w:space="0"/>
              <w:right w:val="single" w:color="000000" w:sz="6" w:space="0"/>
            </w:tcBorders>
            <w:vAlign w:val="center"/>
          </w:tcPr>
          <w:p>
            <w:pPr>
              <w:pStyle w:val="25"/>
              <w:spacing w:line="360" w:lineRule="auto"/>
              <w:jc w:val="center"/>
              <w:rPr>
                <w:rFonts w:ascii="仿宋_GB2312" w:hAnsi="仿宋_GB2312" w:eastAsia="仿宋_GB2312" w:cs="Times New Roman"/>
                <w:sz w:val="32"/>
              </w:rPr>
            </w:pPr>
            <w:r>
              <w:rPr>
                <w:rFonts w:hint="eastAsia" w:ascii="仿宋_GB2312" w:hAnsi="仿宋_GB2312" w:eastAsia="仿宋_GB2312" w:cs="Times New Roman"/>
                <w:sz w:val="32"/>
              </w:rPr>
              <w:t>密码服务合规性评估</w:t>
            </w:r>
          </w:p>
        </w:tc>
        <w:tc>
          <w:tcPr>
            <w:tcW w:w="6363" w:type="dxa"/>
            <w:tcBorders>
              <w:top w:val="single" w:color="000000" w:sz="6" w:space="0"/>
              <w:left w:val="single" w:color="000000" w:sz="6" w:space="0"/>
              <w:bottom w:val="single" w:color="000000" w:sz="6" w:space="0"/>
              <w:right w:val="single" w:color="000000" w:sz="6" w:space="0"/>
            </w:tcBorders>
            <w:vAlign w:val="center"/>
          </w:tcPr>
          <w:p>
            <w:pPr>
              <w:pStyle w:val="25"/>
              <w:spacing w:line="360" w:lineRule="auto"/>
              <w:jc w:val="left"/>
              <w:rPr>
                <w:rFonts w:ascii="仿宋_GB2312" w:hAnsi="仿宋_GB2312" w:eastAsia="仿宋_GB2312" w:cs="Times New Roman"/>
                <w:sz w:val="32"/>
              </w:rPr>
            </w:pPr>
            <w:r>
              <w:rPr>
                <w:rFonts w:hint="eastAsia" w:ascii="仿宋_GB2312" w:hAnsi="仿宋_GB2312" w:eastAsia="仿宋_GB2312" w:cs="Times New Roman"/>
                <w:sz w:val="32"/>
              </w:rPr>
              <w:t>信息系统中使用的密码服务是否通过国家密码管理部门许可。</w:t>
            </w:r>
          </w:p>
        </w:tc>
      </w:tr>
    </w:tbl>
    <w:p>
      <w:pPr>
        <w:pStyle w:val="26"/>
        <w:numPr>
          <w:ilvl w:val="0"/>
          <w:numId w:val="1"/>
        </w:numPr>
        <w:spacing w:line="580" w:lineRule="exact"/>
        <w:ind w:firstLineChars="0"/>
        <w:rPr>
          <w:rFonts w:ascii="仿宋_GB2312" w:hAnsi="仿宋_GB2312" w:eastAsia="仿宋_GB2312"/>
          <w:sz w:val="32"/>
        </w:rPr>
      </w:pPr>
      <w:r>
        <w:rPr>
          <w:rFonts w:hint="eastAsia" w:ascii="仿宋_GB2312" w:hAnsi="仿宋_GB2312" w:eastAsia="仿宋_GB2312"/>
          <w:sz w:val="32"/>
        </w:rPr>
        <w:t>密码技术应用安全评估</w:t>
      </w:r>
    </w:p>
    <w:p>
      <w:pPr>
        <w:spacing w:line="580" w:lineRule="exact"/>
        <w:ind w:firstLine="640" w:firstLineChars="200"/>
        <w:rPr>
          <w:rFonts w:ascii="仿宋_GB2312" w:hAnsi="仿宋_GB2312" w:eastAsia="仿宋_GB2312"/>
          <w:sz w:val="32"/>
        </w:rPr>
      </w:pPr>
      <w:r>
        <w:rPr>
          <w:rFonts w:hint="eastAsia" w:ascii="仿宋_GB2312" w:hAnsi="仿宋_GB2312" w:eastAsia="仿宋_GB2312"/>
          <w:sz w:val="32"/>
        </w:rPr>
        <w:t>密码技术应用安全主要从物理和环境、网络和通信、设备和计算、应用和数据4个层面对信息系统中应用的密码技术进行分析与评估。</w:t>
      </w:r>
    </w:p>
    <w:tbl>
      <w:tblPr>
        <w:tblStyle w:val="15"/>
        <w:tblW w:w="8359"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61"/>
        <w:gridCol w:w="659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6" w:hRule="atLeast"/>
        </w:trPr>
        <w:tc>
          <w:tcPr>
            <w:tcW w:w="1761" w:type="dxa"/>
            <w:tcBorders>
              <w:top w:val="single" w:color="000000" w:sz="6" w:space="0"/>
              <w:left w:val="single" w:color="000000" w:sz="6" w:space="0"/>
              <w:bottom w:val="single" w:color="000000" w:sz="6" w:space="0"/>
              <w:right w:val="single" w:color="000000" w:sz="6" w:space="0"/>
            </w:tcBorders>
            <w:shd w:val="clear" w:color="auto" w:fill="D6D6D6"/>
            <w:vAlign w:val="center"/>
          </w:tcPr>
          <w:p>
            <w:pPr>
              <w:pStyle w:val="25"/>
              <w:spacing w:line="360" w:lineRule="auto"/>
              <w:jc w:val="center"/>
              <w:rPr>
                <w:rFonts w:ascii="仿宋_GB2312" w:hAnsi="仿宋_GB2312" w:eastAsia="仿宋_GB2312" w:cs="Times New Roman"/>
                <w:sz w:val="32"/>
              </w:rPr>
            </w:pPr>
            <w:r>
              <w:rPr>
                <w:rFonts w:hint="eastAsia" w:ascii="仿宋_GB2312" w:hAnsi="仿宋_GB2312" w:eastAsia="仿宋_GB2312" w:cs="Times New Roman"/>
                <w:sz w:val="32"/>
              </w:rPr>
              <w:t>评估内容</w:t>
            </w:r>
          </w:p>
        </w:tc>
        <w:tc>
          <w:tcPr>
            <w:tcW w:w="6598" w:type="dxa"/>
            <w:tcBorders>
              <w:top w:val="single" w:color="000000" w:sz="6" w:space="0"/>
              <w:left w:val="single" w:color="000000" w:sz="6" w:space="0"/>
              <w:bottom w:val="single" w:color="000000" w:sz="6" w:space="0"/>
              <w:right w:val="single" w:color="000000" w:sz="6" w:space="0"/>
            </w:tcBorders>
            <w:shd w:val="clear" w:color="auto" w:fill="D6D6D6"/>
            <w:vAlign w:val="center"/>
          </w:tcPr>
          <w:p>
            <w:pPr>
              <w:pStyle w:val="25"/>
              <w:spacing w:line="360" w:lineRule="auto"/>
              <w:jc w:val="center"/>
              <w:rPr>
                <w:rFonts w:ascii="仿宋_GB2312" w:hAnsi="仿宋_GB2312" w:eastAsia="仿宋_GB2312" w:cs="Times New Roman"/>
                <w:sz w:val="32"/>
              </w:rPr>
            </w:pPr>
            <w:r>
              <w:rPr>
                <w:rFonts w:hint="eastAsia" w:ascii="仿宋_GB2312" w:hAnsi="仿宋_GB2312" w:eastAsia="仿宋_GB2312" w:cs="Times New Roman"/>
                <w:sz w:val="32"/>
              </w:rPr>
              <w:t>具体要求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9" w:hRule="atLeast"/>
        </w:trPr>
        <w:tc>
          <w:tcPr>
            <w:tcW w:w="1761" w:type="dxa"/>
            <w:tcBorders>
              <w:top w:val="single" w:color="000000" w:sz="6" w:space="0"/>
              <w:left w:val="single" w:color="000000" w:sz="6" w:space="0"/>
              <w:bottom w:val="single" w:color="000000" w:sz="6" w:space="0"/>
              <w:right w:val="single" w:color="000000" w:sz="6" w:space="0"/>
            </w:tcBorders>
            <w:vAlign w:val="center"/>
          </w:tcPr>
          <w:p>
            <w:pPr>
              <w:pStyle w:val="25"/>
              <w:spacing w:line="360" w:lineRule="auto"/>
              <w:jc w:val="center"/>
              <w:rPr>
                <w:rFonts w:ascii="仿宋_GB2312" w:hAnsi="仿宋_GB2312" w:eastAsia="仿宋_GB2312" w:cs="Times New Roman"/>
                <w:sz w:val="32"/>
              </w:rPr>
            </w:pPr>
            <w:r>
              <w:rPr>
                <w:rFonts w:hint="eastAsia" w:ascii="仿宋_GB2312" w:hAnsi="仿宋_GB2312" w:eastAsia="仿宋_GB2312" w:cs="Times New Roman"/>
                <w:sz w:val="32"/>
              </w:rPr>
              <w:t>物理和环境评估</w:t>
            </w:r>
          </w:p>
        </w:tc>
        <w:tc>
          <w:tcPr>
            <w:tcW w:w="6598" w:type="dxa"/>
            <w:tcBorders>
              <w:top w:val="single" w:color="000000" w:sz="6" w:space="0"/>
              <w:left w:val="single" w:color="000000" w:sz="6" w:space="0"/>
              <w:bottom w:val="single" w:color="000000" w:sz="6" w:space="0"/>
              <w:right w:val="single" w:color="000000" w:sz="6" w:space="0"/>
            </w:tcBorders>
            <w:vAlign w:val="center"/>
          </w:tcPr>
          <w:p>
            <w:pPr>
              <w:pStyle w:val="25"/>
              <w:spacing w:line="360" w:lineRule="auto"/>
              <w:rPr>
                <w:rFonts w:ascii="仿宋_GB2312" w:hAnsi="仿宋_GB2312" w:eastAsia="仿宋_GB2312" w:cs="Times New Roman"/>
                <w:sz w:val="32"/>
              </w:rPr>
            </w:pPr>
            <w:r>
              <w:rPr>
                <w:rFonts w:hint="eastAsia" w:ascii="仿宋_GB2312" w:hAnsi="仿宋_GB2312" w:eastAsia="仿宋_GB2312" w:cs="Times New Roman"/>
                <w:sz w:val="32"/>
              </w:rPr>
              <w:t>分析评估信息系统是否合理、合规的利用商用密码完整性、真实性功能，对影响信息系统安全防护效能的物理和环境层面因素进行保护。包括但不限于以下内容：重要区域的物理访问控制，监控设备的物理访问控制，物理访问记录、监控信息等记录数据的存储完整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46" w:hRule="atLeast"/>
        </w:trPr>
        <w:tc>
          <w:tcPr>
            <w:tcW w:w="1761" w:type="dxa"/>
            <w:tcBorders>
              <w:top w:val="single" w:color="000000" w:sz="6" w:space="0"/>
              <w:left w:val="single" w:color="000000" w:sz="6" w:space="0"/>
              <w:bottom w:val="single" w:color="000000" w:sz="6" w:space="0"/>
              <w:right w:val="single" w:color="000000" w:sz="6" w:space="0"/>
            </w:tcBorders>
            <w:vAlign w:val="center"/>
          </w:tcPr>
          <w:p>
            <w:pPr>
              <w:pStyle w:val="25"/>
              <w:spacing w:line="360" w:lineRule="auto"/>
              <w:jc w:val="center"/>
              <w:rPr>
                <w:rFonts w:ascii="仿宋_GB2312" w:hAnsi="仿宋_GB2312" w:eastAsia="仿宋_GB2312" w:cs="Times New Roman"/>
                <w:sz w:val="32"/>
              </w:rPr>
            </w:pPr>
            <w:r>
              <w:rPr>
                <w:rFonts w:hint="eastAsia" w:ascii="仿宋_GB2312" w:hAnsi="仿宋_GB2312" w:eastAsia="仿宋_GB2312" w:cs="Times New Roman"/>
                <w:sz w:val="32"/>
              </w:rPr>
              <w:t>网络和通信评估</w:t>
            </w:r>
          </w:p>
        </w:tc>
        <w:tc>
          <w:tcPr>
            <w:tcW w:w="6598" w:type="dxa"/>
            <w:tcBorders>
              <w:top w:val="single" w:color="000000" w:sz="6" w:space="0"/>
              <w:left w:val="single" w:color="000000" w:sz="6" w:space="0"/>
              <w:bottom w:val="single" w:color="000000" w:sz="6" w:space="0"/>
              <w:right w:val="single" w:color="000000" w:sz="6" w:space="0"/>
            </w:tcBorders>
            <w:vAlign w:val="center"/>
          </w:tcPr>
          <w:p>
            <w:pPr>
              <w:pStyle w:val="25"/>
              <w:spacing w:line="360" w:lineRule="auto"/>
              <w:rPr>
                <w:rFonts w:ascii="仿宋_GB2312" w:hAnsi="仿宋_GB2312" w:eastAsia="仿宋_GB2312" w:cs="Times New Roman"/>
                <w:sz w:val="32"/>
              </w:rPr>
            </w:pPr>
            <w:r>
              <w:rPr>
                <w:rFonts w:hint="eastAsia" w:ascii="仿宋_GB2312" w:hAnsi="仿宋_GB2312" w:eastAsia="仿宋_GB2312" w:cs="Times New Roman"/>
                <w:sz w:val="32"/>
              </w:rPr>
              <w:t>分析评估信息系统是否合理、合规的利用商用密码机密性、完整性、真实性功能，对影响信息系统安全防护效能的网络和通信层面因素进行保护。包括但不限于以下内容：通信实体身份的真实性，通信过程中数据的完整性，重要数据的机密性，网络边界访问控制信息完整性，安全认证连接到内部网络的设备，通信双方的身份认证过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32" w:hRule="atLeast"/>
        </w:trPr>
        <w:tc>
          <w:tcPr>
            <w:tcW w:w="1761" w:type="dxa"/>
            <w:tcBorders>
              <w:top w:val="single" w:color="000000" w:sz="6" w:space="0"/>
              <w:left w:val="single" w:color="000000" w:sz="6" w:space="0"/>
              <w:bottom w:val="single" w:color="000000" w:sz="6" w:space="0"/>
              <w:right w:val="single" w:color="000000" w:sz="6" w:space="0"/>
            </w:tcBorders>
            <w:vAlign w:val="center"/>
          </w:tcPr>
          <w:p>
            <w:pPr>
              <w:pStyle w:val="25"/>
              <w:spacing w:line="360" w:lineRule="auto"/>
              <w:jc w:val="center"/>
              <w:rPr>
                <w:rFonts w:ascii="仿宋_GB2312" w:hAnsi="仿宋_GB2312" w:eastAsia="仿宋_GB2312" w:cs="Times New Roman"/>
                <w:sz w:val="32"/>
              </w:rPr>
            </w:pPr>
            <w:r>
              <w:rPr>
                <w:rFonts w:hint="eastAsia" w:ascii="仿宋_GB2312" w:hAnsi="仿宋_GB2312" w:eastAsia="仿宋_GB2312" w:cs="Times New Roman"/>
                <w:sz w:val="32"/>
              </w:rPr>
              <w:t>设备和计算评估</w:t>
            </w:r>
          </w:p>
        </w:tc>
        <w:tc>
          <w:tcPr>
            <w:tcW w:w="6598" w:type="dxa"/>
            <w:tcBorders>
              <w:top w:val="single" w:color="000000" w:sz="6" w:space="0"/>
              <w:left w:val="single" w:color="000000" w:sz="6" w:space="0"/>
              <w:bottom w:val="single" w:color="000000" w:sz="6" w:space="0"/>
              <w:right w:val="single" w:color="000000" w:sz="6" w:space="0"/>
            </w:tcBorders>
            <w:vAlign w:val="center"/>
          </w:tcPr>
          <w:p>
            <w:pPr>
              <w:pStyle w:val="25"/>
              <w:spacing w:line="360" w:lineRule="auto"/>
              <w:rPr>
                <w:rFonts w:ascii="仿宋_GB2312" w:hAnsi="仿宋_GB2312" w:eastAsia="仿宋_GB2312" w:cs="Times New Roman"/>
                <w:sz w:val="32"/>
              </w:rPr>
            </w:pPr>
            <w:r>
              <w:rPr>
                <w:rFonts w:hint="eastAsia" w:ascii="仿宋_GB2312" w:hAnsi="仿宋_GB2312" w:eastAsia="仿宋_GB2312" w:cs="Times New Roman"/>
                <w:sz w:val="32"/>
              </w:rPr>
              <w:t>分析评估信息系统是否合理、合规的利用商用密码机密性、完整性、真实性功能，对影响信息系统安全防护效能的设备和计算层面因素进行保护。包括但不限于一下内容：登录信息系统设备和计算环境的用户身份鉴别过程，系统设备和计算环境资源访问控制信息完整性，重要信息资源敏感标记完整性，重要程序或文件完整性，信息系统设备和计算环境的日志记录完整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70" w:hRule="atLeast"/>
        </w:trPr>
        <w:tc>
          <w:tcPr>
            <w:tcW w:w="1761" w:type="dxa"/>
            <w:tcBorders>
              <w:top w:val="single" w:color="000000" w:sz="6" w:space="0"/>
              <w:left w:val="single" w:color="000000" w:sz="6" w:space="0"/>
              <w:bottom w:val="single" w:color="000000" w:sz="6" w:space="0"/>
              <w:right w:val="single" w:color="000000" w:sz="6" w:space="0"/>
            </w:tcBorders>
            <w:vAlign w:val="center"/>
          </w:tcPr>
          <w:p>
            <w:pPr>
              <w:pStyle w:val="25"/>
              <w:spacing w:line="360" w:lineRule="auto"/>
              <w:jc w:val="center"/>
              <w:rPr>
                <w:rFonts w:ascii="仿宋_GB2312" w:hAnsi="仿宋_GB2312" w:eastAsia="仿宋_GB2312" w:cs="Times New Roman"/>
                <w:sz w:val="32"/>
              </w:rPr>
            </w:pPr>
            <w:r>
              <w:rPr>
                <w:rFonts w:hint="eastAsia" w:ascii="仿宋_GB2312" w:hAnsi="仿宋_GB2312" w:eastAsia="仿宋_GB2312" w:cs="Times New Roman"/>
                <w:sz w:val="32"/>
              </w:rPr>
              <w:t>应用和数据评估</w:t>
            </w:r>
          </w:p>
        </w:tc>
        <w:tc>
          <w:tcPr>
            <w:tcW w:w="6598" w:type="dxa"/>
            <w:tcBorders>
              <w:top w:val="single" w:color="000000" w:sz="6" w:space="0"/>
              <w:left w:val="single" w:color="000000" w:sz="6" w:space="0"/>
              <w:bottom w:val="single" w:color="000000" w:sz="6" w:space="0"/>
              <w:right w:val="single" w:color="000000" w:sz="6" w:space="0"/>
            </w:tcBorders>
            <w:vAlign w:val="center"/>
          </w:tcPr>
          <w:p>
            <w:pPr>
              <w:pStyle w:val="25"/>
              <w:spacing w:line="360" w:lineRule="auto"/>
              <w:rPr>
                <w:rFonts w:ascii="仿宋_GB2312" w:hAnsi="仿宋_GB2312" w:eastAsia="仿宋_GB2312" w:cs="Times New Roman"/>
                <w:sz w:val="32"/>
              </w:rPr>
            </w:pPr>
            <w:r>
              <w:rPr>
                <w:rFonts w:hint="eastAsia" w:ascii="仿宋_GB2312" w:hAnsi="仿宋_GB2312" w:eastAsia="仿宋_GB2312" w:cs="Times New Roman"/>
                <w:sz w:val="32"/>
              </w:rPr>
              <w:t>分析评估信息系统是否合理、合规的利用商用密码机密性、完整性、真实性以及不可否认性功能，对影响信息系统安全防护效能的应用和数据层面因素进行保护。包括但不限于下列典型因素：登录信息系统应用和数据操作环境的用户身份鉴别过程，系统应用和数据操作环境资源访问控制信息完整性，重要信息资源敏感标记完整性，重要数据传输过程的机密性、完整性，重要信息存储过程的机密性、完整性，重要程序的加载和卸载过程，信息系统应用原发和数据接收行为的不可否认性。</w:t>
            </w:r>
          </w:p>
        </w:tc>
      </w:tr>
    </w:tbl>
    <w:p>
      <w:pPr>
        <w:pStyle w:val="26"/>
        <w:numPr>
          <w:ilvl w:val="0"/>
          <w:numId w:val="1"/>
        </w:numPr>
        <w:spacing w:line="580" w:lineRule="exact"/>
        <w:ind w:firstLineChars="0"/>
        <w:rPr>
          <w:rFonts w:ascii="仿宋_GB2312" w:hAnsi="仿宋_GB2312" w:eastAsia="仿宋_GB2312"/>
          <w:sz w:val="32"/>
        </w:rPr>
      </w:pPr>
      <w:r>
        <w:rPr>
          <w:rFonts w:hint="eastAsia" w:ascii="仿宋_GB2312" w:hAnsi="仿宋_GB2312" w:eastAsia="仿宋_GB2312"/>
          <w:sz w:val="32"/>
        </w:rPr>
        <w:t>安全管理评估</w:t>
      </w:r>
    </w:p>
    <w:p>
      <w:pPr>
        <w:spacing w:line="580" w:lineRule="exact"/>
        <w:ind w:firstLine="640" w:firstLineChars="200"/>
        <w:rPr>
          <w:rFonts w:ascii="仿宋_GB2312" w:hAnsi="仿宋_GB2312" w:eastAsia="仿宋_GB2312"/>
          <w:sz w:val="32"/>
        </w:rPr>
      </w:pPr>
      <w:r>
        <w:rPr>
          <w:rFonts w:hint="eastAsia" w:ascii="仿宋_GB2312" w:hAnsi="仿宋_GB2312" w:eastAsia="仿宋_GB2312"/>
          <w:sz w:val="32"/>
        </w:rPr>
        <w:t>安全管理评估是对影响商用密码防护效能的管理制度与措施进行分析与评估。主要内容包括：管理制度，人员管理，建设运行，应急处置。具体要求如下：</w:t>
      </w:r>
    </w:p>
    <w:tbl>
      <w:tblPr>
        <w:tblStyle w:val="15"/>
        <w:tblW w:w="844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865"/>
        <w:gridCol w:w="658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6" w:hRule="atLeast"/>
          <w:jc w:val="center"/>
        </w:trPr>
        <w:tc>
          <w:tcPr>
            <w:tcW w:w="1865" w:type="dxa"/>
            <w:tcBorders>
              <w:top w:val="single" w:color="000000" w:sz="6" w:space="0"/>
              <w:left w:val="single" w:color="000000" w:sz="6" w:space="0"/>
              <w:bottom w:val="single" w:color="000000" w:sz="6" w:space="0"/>
              <w:right w:val="single" w:color="000000" w:sz="6" w:space="0"/>
            </w:tcBorders>
            <w:shd w:val="clear" w:color="auto" w:fill="D6D6D6"/>
          </w:tcPr>
          <w:p>
            <w:pPr>
              <w:pStyle w:val="25"/>
              <w:spacing w:line="360" w:lineRule="auto"/>
              <w:jc w:val="center"/>
              <w:rPr>
                <w:rFonts w:ascii="仿宋_GB2312" w:hAnsi="仿宋_GB2312" w:eastAsia="仿宋_GB2312" w:cs="Times New Roman"/>
                <w:sz w:val="32"/>
              </w:rPr>
            </w:pPr>
            <w:r>
              <w:rPr>
                <w:rFonts w:hint="eastAsia" w:ascii="仿宋_GB2312" w:hAnsi="仿宋_GB2312" w:eastAsia="仿宋_GB2312" w:cs="Times New Roman"/>
                <w:sz w:val="32"/>
              </w:rPr>
              <w:t>项目内容</w:t>
            </w:r>
          </w:p>
        </w:tc>
        <w:tc>
          <w:tcPr>
            <w:tcW w:w="6580" w:type="dxa"/>
            <w:tcBorders>
              <w:top w:val="single" w:color="000000" w:sz="6" w:space="0"/>
              <w:left w:val="single" w:color="000000" w:sz="6" w:space="0"/>
              <w:bottom w:val="single" w:color="000000" w:sz="6" w:space="0"/>
              <w:right w:val="single" w:color="000000" w:sz="6" w:space="0"/>
            </w:tcBorders>
            <w:shd w:val="clear" w:color="auto" w:fill="D6D6D6"/>
          </w:tcPr>
          <w:p>
            <w:pPr>
              <w:pStyle w:val="25"/>
              <w:spacing w:line="360" w:lineRule="auto"/>
              <w:jc w:val="center"/>
              <w:rPr>
                <w:rFonts w:ascii="仿宋_GB2312" w:hAnsi="仿宋_GB2312" w:eastAsia="仿宋_GB2312" w:cs="Times New Roman"/>
                <w:sz w:val="32"/>
              </w:rPr>
            </w:pPr>
            <w:r>
              <w:rPr>
                <w:rFonts w:hint="eastAsia" w:ascii="仿宋_GB2312" w:hAnsi="仿宋_GB2312" w:eastAsia="仿宋_GB2312" w:cs="Times New Roman"/>
                <w:sz w:val="32"/>
              </w:rPr>
              <w:t>具体要求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96" w:hRule="atLeast"/>
          <w:jc w:val="center"/>
        </w:trPr>
        <w:tc>
          <w:tcPr>
            <w:tcW w:w="1865" w:type="dxa"/>
            <w:tcBorders>
              <w:top w:val="single" w:color="000000" w:sz="6" w:space="0"/>
              <w:left w:val="single" w:color="000000" w:sz="6" w:space="0"/>
              <w:bottom w:val="single" w:color="000000" w:sz="6" w:space="0"/>
              <w:right w:val="single" w:color="000000" w:sz="6" w:space="0"/>
            </w:tcBorders>
            <w:vAlign w:val="center"/>
          </w:tcPr>
          <w:p>
            <w:pPr>
              <w:pStyle w:val="25"/>
              <w:spacing w:line="360" w:lineRule="auto"/>
              <w:jc w:val="center"/>
              <w:rPr>
                <w:rFonts w:ascii="仿宋_GB2312" w:hAnsi="仿宋_GB2312" w:eastAsia="仿宋_GB2312" w:cs="Times New Roman"/>
                <w:sz w:val="32"/>
              </w:rPr>
            </w:pPr>
            <w:r>
              <w:rPr>
                <w:rFonts w:hint="eastAsia" w:ascii="仿宋_GB2312" w:hAnsi="仿宋_GB2312" w:eastAsia="仿宋_GB2312" w:cs="Times New Roman"/>
                <w:sz w:val="32"/>
              </w:rPr>
              <w:t>管理制度评估</w:t>
            </w:r>
          </w:p>
        </w:tc>
        <w:tc>
          <w:tcPr>
            <w:tcW w:w="6580" w:type="dxa"/>
            <w:tcBorders>
              <w:top w:val="single" w:color="000000" w:sz="6" w:space="0"/>
              <w:left w:val="single" w:color="000000" w:sz="6" w:space="0"/>
              <w:bottom w:val="single" w:color="000000" w:sz="6" w:space="0"/>
              <w:right w:val="single" w:color="000000" w:sz="6" w:space="0"/>
            </w:tcBorders>
          </w:tcPr>
          <w:p>
            <w:pPr>
              <w:pStyle w:val="25"/>
              <w:spacing w:line="360" w:lineRule="auto"/>
              <w:rPr>
                <w:rFonts w:ascii="仿宋_GB2312" w:hAnsi="仿宋_GB2312" w:eastAsia="仿宋_GB2312" w:cs="Times New Roman"/>
                <w:sz w:val="32"/>
              </w:rPr>
            </w:pPr>
            <w:r>
              <w:rPr>
                <w:rFonts w:hint="eastAsia" w:ascii="仿宋_GB2312" w:hAnsi="仿宋_GB2312" w:eastAsia="仿宋_GB2312" w:cs="Times New Roman"/>
                <w:sz w:val="32"/>
              </w:rPr>
              <w:t>包括但不限于下列内容与措施：密码应用安全管理制度，密钥管理规则、密码相关操作规范，安全管理制度和操作规范的合理性和适用性论证与审定，安全管理制度的改进和修订，安全管理制度和操作规范的发布流程，安全管理制度和操作规范的执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96" w:hRule="atLeast"/>
          <w:jc w:val="center"/>
        </w:trPr>
        <w:tc>
          <w:tcPr>
            <w:tcW w:w="1865" w:type="dxa"/>
            <w:tcBorders>
              <w:top w:val="single" w:color="000000" w:sz="6" w:space="0"/>
              <w:left w:val="single" w:color="000000" w:sz="6" w:space="0"/>
              <w:bottom w:val="single" w:color="000000" w:sz="6" w:space="0"/>
              <w:right w:val="single" w:color="000000" w:sz="6" w:space="0"/>
            </w:tcBorders>
            <w:vAlign w:val="center"/>
          </w:tcPr>
          <w:p>
            <w:pPr>
              <w:pStyle w:val="25"/>
              <w:spacing w:line="360" w:lineRule="auto"/>
              <w:jc w:val="center"/>
              <w:rPr>
                <w:rFonts w:ascii="仿宋_GB2312" w:hAnsi="仿宋_GB2312" w:eastAsia="仿宋_GB2312" w:cs="Times New Roman"/>
                <w:sz w:val="32"/>
              </w:rPr>
            </w:pPr>
            <w:r>
              <w:rPr>
                <w:rFonts w:hint="eastAsia" w:ascii="仿宋_GB2312" w:hAnsi="仿宋_GB2312" w:eastAsia="仿宋_GB2312" w:cs="Times New Roman"/>
                <w:sz w:val="32"/>
              </w:rPr>
              <w:t>人员管理评估</w:t>
            </w:r>
          </w:p>
        </w:tc>
        <w:tc>
          <w:tcPr>
            <w:tcW w:w="6580" w:type="dxa"/>
            <w:tcBorders>
              <w:top w:val="single" w:color="000000" w:sz="6" w:space="0"/>
              <w:left w:val="single" w:color="000000" w:sz="6" w:space="0"/>
              <w:bottom w:val="single" w:color="000000" w:sz="6" w:space="0"/>
              <w:right w:val="single" w:color="000000" w:sz="6" w:space="0"/>
            </w:tcBorders>
          </w:tcPr>
          <w:p>
            <w:pPr>
              <w:pStyle w:val="25"/>
              <w:spacing w:line="360" w:lineRule="auto"/>
              <w:rPr>
                <w:rFonts w:ascii="仿宋_GB2312" w:hAnsi="仿宋_GB2312" w:eastAsia="仿宋_GB2312" w:cs="Times New Roman"/>
                <w:sz w:val="32"/>
              </w:rPr>
            </w:pPr>
            <w:r>
              <w:rPr>
                <w:rFonts w:hint="eastAsia" w:ascii="仿宋_GB2312" w:hAnsi="仿宋_GB2312" w:eastAsia="仿宋_GB2312" w:cs="Times New Roman"/>
                <w:sz w:val="32"/>
              </w:rPr>
              <w:t>包括但不限于下列内容与措施：相关人员是否了解并遵守密码相关法律法规及安全管理制度，关键岗位划分情况，相关人员职责与权限划分情况，岗位责任制与人员制约、监督机制，管理和使用账号，人员培训、人员选拔，人员考核、奖惩与调离，人员保密措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46" w:hRule="atLeast"/>
          <w:jc w:val="center"/>
        </w:trPr>
        <w:tc>
          <w:tcPr>
            <w:tcW w:w="1865" w:type="dxa"/>
            <w:tcBorders>
              <w:top w:val="single" w:color="000000" w:sz="6" w:space="0"/>
              <w:left w:val="single" w:color="000000" w:sz="6" w:space="0"/>
              <w:bottom w:val="single" w:color="000000" w:sz="6" w:space="0"/>
              <w:right w:val="single" w:color="000000" w:sz="6" w:space="0"/>
            </w:tcBorders>
            <w:vAlign w:val="center"/>
          </w:tcPr>
          <w:p>
            <w:pPr>
              <w:pStyle w:val="25"/>
              <w:spacing w:line="360" w:lineRule="auto"/>
              <w:jc w:val="center"/>
              <w:rPr>
                <w:rFonts w:ascii="仿宋_GB2312" w:hAnsi="仿宋_GB2312" w:eastAsia="仿宋_GB2312" w:cs="Times New Roman"/>
                <w:sz w:val="32"/>
              </w:rPr>
            </w:pPr>
            <w:r>
              <w:rPr>
                <w:rFonts w:hint="eastAsia" w:ascii="仿宋_GB2312" w:hAnsi="仿宋_GB2312" w:eastAsia="仿宋_GB2312" w:cs="Times New Roman"/>
                <w:sz w:val="32"/>
              </w:rPr>
              <w:t>建设运行评估</w:t>
            </w:r>
          </w:p>
        </w:tc>
        <w:tc>
          <w:tcPr>
            <w:tcW w:w="6580" w:type="dxa"/>
            <w:tcBorders>
              <w:top w:val="single" w:color="000000" w:sz="6" w:space="0"/>
              <w:left w:val="single" w:color="000000" w:sz="6" w:space="0"/>
              <w:bottom w:val="single" w:color="000000" w:sz="6" w:space="0"/>
              <w:right w:val="single" w:color="000000" w:sz="6" w:space="0"/>
            </w:tcBorders>
          </w:tcPr>
          <w:p>
            <w:pPr>
              <w:pStyle w:val="25"/>
              <w:spacing w:line="360" w:lineRule="auto"/>
              <w:rPr>
                <w:rFonts w:ascii="仿宋_GB2312" w:hAnsi="仿宋_GB2312" w:eastAsia="仿宋_GB2312" w:cs="Times New Roman"/>
                <w:sz w:val="32"/>
              </w:rPr>
            </w:pPr>
            <w:r>
              <w:rPr>
                <w:rFonts w:hint="eastAsia" w:ascii="仿宋_GB2312" w:hAnsi="仿宋_GB2312" w:eastAsia="仿宋_GB2312" w:cs="Times New Roman"/>
                <w:sz w:val="32"/>
              </w:rPr>
              <w:t>包括但不限于下列内容与措施：具备系统密码应用方案，并按照密码应用方案确定密钥种类、体系以及生存周期，按照密码应用方案实施建设，信息系统正式运行前评估与整改。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46" w:hRule="atLeast"/>
          <w:jc w:val="center"/>
        </w:trPr>
        <w:tc>
          <w:tcPr>
            <w:tcW w:w="1865" w:type="dxa"/>
            <w:tcBorders>
              <w:top w:val="single" w:color="000000" w:sz="6" w:space="0"/>
              <w:left w:val="single" w:color="000000" w:sz="6" w:space="0"/>
              <w:bottom w:val="single" w:color="000000" w:sz="6" w:space="0"/>
              <w:right w:val="single" w:color="000000" w:sz="6" w:space="0"/>
            </w:tcBorders>
            <w:vAlign w:val="center"/>
          </w:tcPr>
          <w:p>
            <w:pPr>
              <w:pStyle w:val="25"/>
              <w:spacing w:line="360" w:lineRule="auto"/>
              <w:jc w:val="center"/>
              <w:rPr>
                <w:rFonts w:ascii="仿宋_GB2312" w:hAnsi="仿宋_GB2312" w:eastAsia="仿宋_GB2312" w:cs="Times New Roman"/>
                <w:sz w:val="32"/>
              </w:rPr>
            </w:pPr>
            <w:r>
              <w:rPr>
                <w:rFonts w:hint="eastAsia" w:ascii="仿宋_GB2312" w:hAnsi="仿宋_GB2312" w:eastAsia="仿宋_GB2312" w:cs="Times New Roman"/>
                <w:sz w:val="32"/>
              </w:rPr>
              <w:t>应急处置评估</w:t>
            </w:r>
          </w:p>
        </w:tc>
        <w:tc>
          <w:tcPr>
            <w:tcW w:w="6580" w:type="dxa"/>
            <w:tcBorders>
              <w:top w:val="single" w:color="000000" w:sz="6" w:space="0"/>
              <w:left w:val="single" w:color="000000" w:sz="6" w:space="0"/>
              <w:bottom w:val="single" w:color="000000" w:sz="6" w:space="0"/>
              <w:right w:val="single" w:color="000000" w:sz="6" w:space="0"/>
            </w:tcBorders>
          </w:tcPr>
          <w:p>
            <w:pPr>
              <w:pStyle w:val="25"/>
              <w:spacing w:line="360" w:lineRule="auto"/>
              <w:rPr>
                <w:rFonts w:ascii="仿宋_GB2312" w:hAnsi="仿宋_GB2312" w:eastAsia="仿宋_GB2312" w:cs="Times New Roman"/>
                <w:sz w:val="32"/>
              </w:rPr>
            </w:pPr>
            <w:r>
              <w:rPr>
                <w:rFonts w:hint="eastAsia" w:ascii="仿宋_GB2312" w:hAnsi="仿宋_GB2312" w:eastAsia="仿宋_GB2312" w:cs="Times New Roman"/>
                <w:sz w:val="32"/>
              </w:rPr>
              <w:t>包括但不限于下列内容与措施：应急预案，应急资源准备，应急情况与处置，上级主管部门应急报告，同级密码主管部门应急报告。</w:t>
            </w:r>
          </w:p>
        </w:tc>
      </w:tr>
    </w:tbl>
    <w:p>
      <w:pPr>
        <w:spacing w:line="580" w:lineRule="exact"/>
        <w:ind w:firstLine="640" w:firstLineChars="200"/>
        <w:rPr>
          <w:rFonts w:ascii="黑体" w:hAnsi="黑体" w:eastAsia="黑体"/>
          <w:sz w:val="32"/>
        </w:rPr>
      </w:pPr>
      <w:r>
        <w:rPr>
          <w:rFonts w:hint="default" w:ascii="汉仪叶叶相思体简" w:hAnsi="汉仪叶叶相思体简" w:eastAsia="黑体" w:cs="汉仪叶叶相思体简"/>
          <w:sz w:val="32"/>
        </w:rPr>
        <w:t>★</w:t>
      </w:r>
      <w:r>
        <w:rPr>
          <w:rFonts w:hint="eastAsia" w:ascii="黑体" w:hAnsi="黑体" w:eastAsia="黑体"/>
          <w:sz w:val="32"/>
        </w:rPr>
        <w:t>三、供应商资格要求</w:t>
      </w:r>
    </w:p>
    <w:p>
      <w:pPr>
        <w:spacing w:line="580" w:lineRule="exact"/>
        <w:ind w:firstLine="640" w:firstLineChars="200"/>
        <w:rPr>
          <w:rFonts w:ascii="仿宋_GB2312" w:hAnsi="仿宋_GB2312" w:eastAsia="仿宋_GB2312"/>
          <w:sz w:val="32"/>
        </w:rPr>
      </w:pPr>
      <w:r>
        <w:rPr>
          <w:rFonts w:hint="eastAsia" w:ascii="仿宋_GB2312" w:hAnsi="仿宋_GB2312" w:eastAsia="仿宋_GB2312"/>
          <w:sz w:val="32"/>
        </w:rPr>
        <w:t>1.具有独立法人资格或是具有独立承担民事责任能力的其它组织（提供营业执照或事业单位法人证书等证明资料扫描件，原件备查）。</w:t>
      </w:r>
    </w:p>
    <w:p>
      <w:pPr>
        <w:spacing w:line="580" w:lineRule="exact"/>
        <w:ind w:firstLine="640" w:firstLineChars="200"/>
        <w:rPr>
          <w:rFonts w:ascii="仿宋_GB2312" w:hAnsi="仿宋_GB2312" w:eastAsia="仿宋_GB2312"/>
          <w:sz w:val="32"/>
        </w:rPr>
      </w:pPr>
      <w:r>
        <w:rPr>
          <w:rFonts w:hint="eastAsia" w:ascii="仿宋_GB2312" w:hAnsi="仿宋_GB2312" w:eastAsia="仿宋_GB2312"/>
          <w:sz w:val="32"/>
        </w:rPr>
        <w:t>2.本项目不接受联合体投标，不得转包、分包。</w:t>
      </w:r>
    </w:p>
    <w:p>
      <w:pPr>
        <w:spacing w:line="580" w:lineRule="exact"/>
        <w:ind w:firstLine="640" w:firstLineChars="200"/>
        <w:rPr>
          <w:rFonts w:ascii="仿宋_GB2312" w:hAnsi="仿宋_GB2312" w:eastAsia="仿宋_GB2312"/>
          <w:sz w:val="32"/>
        </w:rPr>
      </w:pPr>
      <w:r>
        <w:rPr>
          <w:rFonts w:hint="eastAsia" w:ascii="仿宋_GB2312" w:hAnsi="仿宋_GB2312" w:eastAsia="仿宋_GB2312"/>
          <w:sz w:val="32"/>
        </w:rPr>
        <w:t>3.参与本项目投标前3年内，在经营活动中没有重大违法记录（由供应商在《政府采购投标及履约承诺函》中作出声明）。</w:t>
      </w:r>
    </w:p>
    <w:p>
      <w:pPr>
        <w:spacing w:line="580" w:lineRule="exact"/>
        <w:ind w:firstLine="640" w:firstLineChars="200"/>
        <w:rPr>
          <w:rFonts w:ascii="仿宋_GB2312" w:hAnsi="仿宋_GB2312" w:eastAsia="仿宋_GB2312"/>
          <w:sz w:val="32"/>
        </w:rPr>
      </w:pPr>
      <w:r>
        <w:rPr>
          <w:rFonts w:hint="eastAsia" w:ascii="仿宋_GB2312" w:hAnsi="仿宋_GB2312" w:eastAsia="仿宋_GB2312"/>
          <w:sz w:val="32"/>
        </w:rPr>
        <w:t>4.参与本项目政府采购活动时不存在被有关部门禁止参与政府采购活动且在有效期内的情况（由供应商在《政府采购投标及履约承诺函》中作出声明）。</w:t>
      </w:r>
    </w:p>
    <w:p>
      <w:pPr>
        <w:spacing w:line="580" w:lineRule="exact"/>
        <w:ind w:firstLine="640" w:firstLineChars="200"/>
        <w:rPr>
          <w:rFonts w:ascii="仿宋_GB2312" w:hAnsi="仿宋_GB2312" w:eastAsia="仿宋_GB2312"/>
          <w:sz w:val="32"/>
        </w:rPr>
      </w:pPr>
      <w:r>
        <w:rPr>
          <w:rFonts w:hint="eastAsia" w:ascii="仿宋_GB2312" w:hAnsi="仿宋_GB2312" w:eastAsia="仿宋_GB2312"/>
          <w:sz w:val="32"/>
        </w:rPr>
        <w:t>5.具备《中华人民共和国政府采购法》第二十二条第一款的条件（由供应商在《政府采购投标及履约承诺函》中作出声明）。</w:t>
      </w:r>
    </w:p>
    <w:p>
      <w:pPr>
        <w:spacing w:line="580" w:lineRule="exact"/>
        <w:ind w:firstLine="640" w:firstLineChars="200"/>
        <w:rPr>
          <w:rFonts w:ascii="仿宋_GB2312" w:hAnsi="仿宋_GB2312" w:eastAsia="仿宋_GB2312"/>
          <w:sz w:val="32"/>
        </w:rPr>
      </w:pPr>
      <w:r>
        <w:rPr>
          <w:rFonts w:hint="eastAsia" w:ascii="仿宋_GB2312" w:hAnsi="仿宋_GB2312" w:eastAsia="仿宋_GB2312"/>
          <w:sz w:val="32"/>
        </w:rPr>
        <w:t>6.未被列入失信被执行人、重大税收违法案件当事人名单、政府采购严重违法失信行为记录名单（由供应商在《政府采购投标及履约承诺函》中作出声明）。</w:t>
      </w:r>
    </w:p>
    <w:p>
      <w:pPr>
        <w:spacing w:line="580" w:lineRule="exact"/>
        <w:ind w:firstLine="640" w:firstLineChars="200"/>
        <w:rPr>
          <w:rFonts w:ascii="仿宋_GB2312" w:hAnsi="仿宋_GB2312" w:eastAsia="仿宋_GB2312"/>
          <w:sz w:val="32"/>
        </w:rPr>
      </w:pPr>
      <w:r>
        <w:rPr>
          <w:rFonts w:hint="eastAsia" w:ascii="仿宋_GB2312" w:hAnsi="仿宋_GB2312" w:eastAsia="仿宋_GB2312"/>
          <w:sz w:val="32"/>
        </w:rPr>
        <w:t>7.单位负责人为同一人或存在直接控股、管理关系的不同供应商，不得参加同一合同项下的政府采购活动；为采购项目提供整体设计、规范编制或项目管理、监理、检测等服务的供应商，不得再参加该采购项目的其他采购活动（由供应商在《政府采购投标及履约承诺函》中作出声明）。</w:t>
      </w:r>
    </w:p>
    <w:p>
      <w:pPr>
        <w:spacing w:line="580" w:lineRule="exact"/>
        <w:ind w:firstLine="640" w:firstLineChars="200"/>
        <w:rPr>
          <w:rFonts w:ascii="仿宋_GB2312" w:hAnsi="仿宋_GB2312" w:eastAsia="仿宋_GB2312"/>
          <w:sz w:val="32"/>
        </w:rPr>
      </w:pPr>
      <w:r>
        <w:rPr>
          <w:rFonts w:hint="eastAsia" w:ascii="仿宋_GB2312" w:hAnsi="仿宋_GB2312" w:eastAsia="仿宋_GB2312"/>
          <w:sz w:val="32"/>
        </w:rPr>
        <w:t>8.</w:t>
      </w:r>
      <w:r>
        <w:rPr>
          <w:rFonts w:hint="eastAsia" w:ascii="仿宋_GB2312" w:hAnsi="仿宋_GB2312" w:eastAsia="仿宋_GB2312"/>
          <w:sz w:val="32"/>
          <w:highlight w:val="none"/>
        </w:rPr>
        <w:t>须提供国家企业信用信息公示系统（http://www.gsxt.gov.cn/corp-query-homepage.html）的股权结构截图和法人关联公司等信息，并加盖公章；非企业单位符合《政府购买服务管理办法》第八条规定，提交法人登记证书。</w:t>
      </w:r>
    </w:p>
    <w:p>
      <w:pPr>
        <w:spacing w:line="580" w:lineRule="exact"/>
        <w:ind w:firstLine="640" w:firstLineChars="200"/>
        <w:rPr>
          <w:rFonts w:hint="eastAsia" w:ascii="仿宋_GB2312" w:hAnsi="仿宋_GB2312" w:eastAsia="仿宋_GB2312" w:cs="Times New Roman"/>
          <w:sz w:val="32"/>
        </w:rPr>
      </w:pPr>
      <w:r>
        <w:rPr>
          <w:rFonts w:hint="eastAsia" w:ascii="仿宋_GB2312" w:hAnsi="仿宋_GB2312" w:eastAsia="仿宋_GB2312" w:cs="Times New Roman"/>
          <w:sz w:val="32"/>
        </w:rPr>
        <w:t>9.</w:t>
      </w:r>
      <w:r>
        <w:rPr>
          <w:rFonts w:hint="eastAsia" w:ascii="仿宋_GB2312" w:hAnsi="仿宋_GB2312" w:eastAsia="仿宋_GB2312" w:cs="Times New Roman"/>
          <w:sz w:val="32"/>
          <w:lang w:val="en"/>
        </w:rPr>
        <w:t>投标</w:t>
      </w:r>
      <w:r>
        <w:rPr>
          <w:rFonts w:hint="eastAsia" w:ascii="仿宋_GB2312" w:hAnsi="仿宋_GB2312" w:eastAsia="仿宋_GB2312" w:cs="Times New Roman"/>
          <w:sz w:val="32"/>
          <w:lang w:val="en" w:eastAsia="zh-CN"/>
        </w:rPr>
        <w:t>供应商</w:t>
      </w:r>
      <w:r>
        <w:rPr>
          <w:rFonts w:hint="eastAsia" w:ascii="仿宋_GB2312" w:hAnsi="仿宋_GB2312" w:eastAsia="仿宋_GB2312" w:cs="Times New Roman"/>
          <w:sz w:val="32"/>
          <w:lang w:val="en"/>
        </w:rPr>
        <w:t>须为国家密码管理部门认定的商用密码检测机构，列入国家密码管理局官方网站（https://www.oscca.gov.cn/）最新发布的《商用密码检测机构（商用密码应用安全性评估业务）目录》。</w:t>
      </w:r>
    </w:p>
    <w:p>
      <w:pPr>
        <w:spacing w:line="580" w:lineRule="exact"/>
        <w:ind w:firstLine="640" w:firstLineChars="200"/>
        <w:jc w:val="both"/>
        <w:rPr>
          <w:rFonts w:ascii="黑体" w:hAnsi="黑体" w:eastAsia="黑体"/>
          <w:sz w:val="32"/>
        </w:rPr>
      </w:pPr>
      <w:r>
        <w:rPr>
          <w:rFonts w:hint="eastAsia" w:ascii="黑体" w:hAnsi="黑体" w:eastAsia="黑体"/>
          <w:sz w:val="32"/>
        </w:rPr>
        <w:t>四、评标定标方法</w:t>
      </w:r>
    </w:p>
    <w:p>
      <w:pPr>
        <w:spacing w:line="580" w:lineRule="exact"/>
        <w:ind w:firstLine="640" w:firstLineChars="200"/>
        <w:jc w:val="left"/>
      </w:pPr>
      <w:bookmarkStart w:id="0" w:name="OLE_LINK3"/>
      <w:r>
        <w:rPr>
          <w:rFonts w:hint="eastAsia" w:ascii="仿宋_GB2312" w:hAnsi="仿宋_GB2312" w:eastAsia="仿宋_GB2312"/>
          <w:sz w:val="32"/>
        </w:rPr>
        <w:t>本项目</w:t>
      </w:r>
      <w:r>
        <w:rPr>
          <w:rFonts w:hint="eastAsia" w:ascii="仿宋_GB2312" w:hAnsi="仿宋_GB2312" w:eastAsia="仿宋_GB2312"/>
          <w:sz w:val="32"/>
          <w:lang w:val="en-US" w:eastAsia="zh-CN"/>
        </w:rPr>
        <w:t>采用</w:t>
      </w:r>
      <w:r>
        <w:rPr>
          <w:rFonts w:hint="eastAsia" w:ascii="仿宋_GB2312" w:hAnsi="仿宋_GB2312" w:eastAsia="仿宋_GB2312"/>
          <w:sz w:val="32"/>
        </w:rPr>
        <w:t>最低价法。</w:t>
      </w:r>
    </w:p>
    <w:bookmarkEnd w:id="0"/>
    <w:p>
      <w:pPr>
        <w:spacing w:line="580" w:lineRule="exact"/>
        <w:ind w:firstLine="640" w:firstLineChars="200"/>
        <w:jc w:val="both"/>
        <w:rPr>
          <w:rFonts w:ascii="黑体" w:hAnsi="黑体" w:eastAsia="黑体"/>
          <w:sz w:val="32"/>
        </w:rPr>
      </w:pPr>
      <w:r>
        <w:rPr>
          <w:rFonts w:hint="eastAsia" w:ascii="黑体" w:hAnsi="黑体" w:eastAsia="黑体"/>
          <w:sz w:val="32"/>
        </w:rPr>
        <w:t>五、商务需求</w:t>
      </w:r>
    </w:p>
    <w:p>
      <w:pPr>
        <w:spacing w:line="580" w:lineRule="exact"/>
        <w:ind w:firstLine="640" w:firstLineChars="200"/>
        <w:rPr>
          <w:rFonts w:ascii="仿宋_GB2312" w:hAnsi="仿宋_GB2312" w:eastAsia="仿宋_GB2312"/>
          <w:sz w:val="32"/>
        </w:rPr>
      </w:pPr>
      <w:r>
        <w:rPr>
          <w:rFonts w:hint="eastAsia" w:ascii="仿宋_GB2312" w:hAnsi="仿宋_GB2312" w:eastAsia="仿宋_GB2312"/>
          <w:sz w:val="32"/>
        </w:rPr>
        <w:t>★（一）服务期：</w:t>
      </w:r>
    </w:p>
    <w:p>
      <w:pPr>
        <w:spacing w:line="580" w:lineRule="exact"/>
        <w:ind w:firstLine="640" w:firstLineChars="200"/>
        <w:rPr>
          <w:rFonts w:ascii="仿宋_GB2312" w:hAnsi="仿宋_GB2312" w:eastAsia="仿宋_GB2312"/>
          <w:sz w:val="32"/>
        </w:rPr>
      </w:pPr>
      <w:r>
        <w:rPr>
          <w:rFonts w:hint="eastAsia" w:ascii="仿宋" w:hAnsi="仿宋" w:eastAsia="仿宋" w:cs="仿宋"/>
          <w:sz w:val="32"/>
          <w:szCs w:val="32"/>
        </w:rPr>
        <w:t>自合同签订之日起</w:t>
      </w:r>
      <w:r>
        <w:rPr>
          <w:rFonts w:hint="eastAsia" w:ascii="仿宋_GB2312" w:hAnsi="仿宋_GB2312" w:eastAsia="仿宋_GB2312"/>
          <w:sz w:val="32"/>
          <w:lang w:val="en-US" w:eastAsia="zh-CN"/>
        </w:rPr>
        <w:t>8个月内投标</w:t>
      </w:r>
      <w:r>
        <w:rPr>
          <w:rFonts w:hint="eastAsia" w:ascii="仿宋" w:hAnsi="仿宋" w:eastAsia="仿宋" w:cs="仿宋"/>
          <w:kern w:val="2"/>
          <w:sz w:val="32"/>
          <w:szCs w:val="32"/>
          <w:lang w:eastAsia="zh-CN"/>
        </w:rPr>
        <w:t>供应商</w:t>
      </w:r>
      <w:r>
        <w:rPr>
          <w:rFonts w:hint="eastAsia" w:ascii="仿宋" w:hAnsi="仿宋" w:eastAsia="仿宋" w:cs="仿宋"/>
          <w:kern w:val="2"/>
          <w:sz w:val="32"/>
          <w:szCs w:val="32"/>
        </w:rPr>
        <w:t>完成</w:t>
      </w:r>
      <w:r>
        <w:rPr>
          <w:rFonts w:hint="eastAsia" w:ascii="仿宋" w:hAnsi="仿宋" w:eastAsia="仿宋" w:cs="仿宋"/>
          <w:kern w:val="2"/>
          <w:sz w:val="32"/>
          <w:szCs w:val="32"/>
          <w:lang w:val="en-US" w:eastAsia="zh-CN"/>
        </w:rPr>
        <w:t>合同约定的有关事项</w:t>
      </w:r>
      <w:r>
        <w:rPr>
          <w:rFonts w:hint="eastAsia" w:ascii="仿宋" w:hAnsi="仿宋" w:eastAsia="仿宋" w:cs="仿宋"/>
          <w:kern w:val="2"/>
          <w:sz w:val="32"/>
          <w:szCs w:val="32"/>
        </w:rPr>
        <w:t>，并通过当地密码管理局备案</w:t>
      </w:r>
      <w:r>
        <w:rPr>
          <w:rFonts w:hint="eastAsia" w:ascii="仿宋_GB2312" w:hAnsi="仿宋_GB2312" w:eastAsia="仿宋_GB2312"/>
          <w:sz w:val="32"/>
        </w:rPr>
        <w:t>，</w:t>
      </w:r>
      <w:r>
        <w:rPr>
          <w:rFonts w:hint="eastAsia" w:ascii="仿宋_GB2312" w:hAnsi="仿宋_GB2312" w:eastAsia="仿宋_GB2312"/>
          <w:sz w:val="32"/>
          <w:lang w:eastAsia="zh-CN"/>
        </w:rPr>
        <w:t>采购人</w:t>
      </w:r>
      <w:r>
        <w:rPr>
          <w:rFonts w:hint="eastAsia" w:ascii="仿宋" w:hAnsi="仿宋" w:eastAsia="仿宋" w:cs="仿宋"/>
          <w:sz w:val="32"/>
          <w:szCs w:val="32"/>
        </w:rPr>
        <w:t>付清有关费用后终止</w:t>
      </w:r>
      <w:r>
        <w:rPr>
          <w:rFonts w:hint="eastAsia" w:ascii="仿宋_GB2312" w:hAnsi="仿宋_GB2312" w:eastAsia="仿宋_GB2312"/>
          <w:sz w:val="32"/>
        </w:rPr>
        <w:t>。</w:t>
      </w:r>
    </w:p>
    <w:p>
      <w:pPr>
        <w:spacing w:line="580" w:lineRule="exact"/>
        <w:ind w:firstLine="640" w:firstLineChars="200"/>
        <w:rPr>
          <w:rFonts w:ascii="仿宋_GB2312" w:hAnsi="仿宋_GB2312" w:eastAsia="仿宋_GB2312"/>
          <w:sz w:val="32"/>
        </w:rPr>
      </w:pPr>
      <w:r>
        <w:rPr>
          <w:rFonts w:hint="eastAsia" w:ascii="仿宋_GB2312" w:hAnsi="仿宋_GB2312" w:eastAsia="仿宋_GB2312"/>
          <w:sz w:val="32"/>
        </w:rPr>
        <w:t>（二）服务地点：</w:t>
      </w:r>
      <w:r>
        <w:rPr>
          <w:rFonts w:hint="eastAsia" w:ascii="仿宋_GB2312" w:hAnsi="仿宋_GB2312" w:eastAsia="仿宋_GB2312" w:cs="仿宋_GB2312"/>
          <w:color w:val="040404"/>
          <w:sz w:val="32"/>
          <w:szCs w:val="32"/>
          <w:shd w:val="clear" w:color="auto" w:fill="FFFFFF"/>
        </w:rPr>
        <w:t>深圳市。</w:t>
      </w:r>
    </w:p>
    <w:p>
      <w:pPr>
        <w:spacing w:line="580" w:lineRule="exact"/>
        <w:ind w:firstLine="640" w:firstLineChars="200"/>
        <w:rPr>
          <w:rFonts w:ascii="仿宋_GB2312" w:hAnsi="仿宋_GB2312" w:eastAsia="仿宋_GB2312"/>
          <w:sz w:val="32"/>
        </w:rPr>
      </w:pPr>
      <w:r>
        <w:rPr>
          <w:rFonts w:hint="eastAsia" w:ascii="仿宋_GB2312" w:hAnsi="仿宋_GB2312" w:eastAsia="仿宋_GB2312"/>
          <w:sz w:val="32"/>
        </w:rPr>
        <w:t>（三）报价要求：</w:t>
      </w:r>
    </w:p>
    <w:p>
      <w:pPr>
        <w:spacing w:line="580" w:lineRule="exact"/>
        <w:ind w:firstLine="640" w:firstLineChars="200"/>
        <w:rPr>
          <w:rFonts w:ascii="仿宋_GB2312" w:hAnsi="仿宋_GB2312" w:eastAsia="仿宋_GB2312"/>
          <w:sz w:val="32"/>
        </w:rPr>
      </w:pPr>
      <w:r>
        <w:rPr>
          <w:rFonts w:hint="eastAsia" w:ascii="仿宋_GB2312" w:hAnsi="仿宋_GB2312" w:eastAsia="仿宋_GB2312"/>
          <w:sz w:val="32"/>
        </w:rPr>
        <w:t>1.本项目服务费采用包干制，应包括服务成本、包装运输成本、法定税费和企业的利润。由投标供应商根据采购文件所提供的资料自行测算投标报价；一经中标，报价总价作为中标供应商与采购人签定的合同金额。</w:t>
      </w:r>
    </w:p>
    <w:p>
      <w:pPr>
        <w:spacing w:line="580" w:lineRule="exact"/>
        <w:ind w:firstLine="640" w:firstLineChars="200"/>
        <w:rPr>
          <w:rFonts w:ascii="仿宋_GB2312" w:hAnsi="仿宋_GB2312" w:eastAsia="仿宋_GB2312"/>
          <w:sz w:val="32"/>
        </w:rPr>
      </w:pPr>
      <w:r>
        <w:rPr>
          <w:rFonts w:hint="eastAsia" w:ascii="仿宋_GB2312" w:hAnsi="仿宋_GB2312" w:eastAsia="仿宋_GB2312"/>
          <w:sz w:val="32"/>
        </w:rPr>
        <w:t>2.投标供应商应当根据本企业的成本自行决定报价，但不得以低于其企业成本的报价投标。</w:t>
      </w:r>
    </w:p>
    <w:p>
      <w:pPr>
        <w:spacing w:line="580" w:lineRule="exact"/>
        <w:ind w:firstLine="640" w:firstLineChars="200"/>
        <w:rPr>
          <w:rFonts w:ascii="仿宋_GB2312" w:hAnsi="仿宋_GB2312" w:eastAsia="仿宋_GB2312"/>
          <w:sz w:val="32"/>
        </w:rPr>
      </w:pPr>
      <w:r>
        <w:rPr>
          <w:rFonts w:hint="eastAsia" w:ascii="仿宋_GB2312" w:hAnsi="仿宋_GB2312" w:eastAsia="仿宋_GB2312"/>
          <w:sz w:val="32"/>
        </w:rPr>
        <w:t>3.投标供应商的报价不得超过项目预算金额。</w:t>
      </w:r>
    </w:p>
    <w:p>
      <w:pPr>
        <w:spacing w:line="580" w:lineRule="exact"/>
        <w:ind w:firstLine="640" w:firstLineChars="200"/>
        <w:rPr>
          <w:rFonts w:ascii="仿宋_GB2312" w:hAnsi="仿宋_GB2312" w:eastAsia="仿宋_GB2312"/>
          <w:sz w:val="32"/>
        </w:rPr>
      </w:pPr>
      <w:r>
        <w:rPr>
          <w:rFonts w:hint="eastAsia" w:ascii="仿宋_GB2312" w:hAnsi="仿宋_GB2312" w:eastAsia="仿宋_GB2312"/>
          <w:sz w:val="32"/>
        </w:rPr>
        <w:t>4.投标供应商的报价，应当是本项目采购范围和采购文件及合同条款上所列的各项内容中所述的全部，不得以任何理由予以重复。</w:t>
      </w:r>
    </w:p>
    <w:p>
      <w:pPr>
        <w:spacing w:line="580" w:lineRule="exact"/>
        <w:ind w:firstLine="640" w:firstLineChars="200"/>
        <w:rPr>
          <w:rFonts w:ascii="仿宋_GB2312" w:hAnsi="仿宋_GB2312" w:eastAsia="仿宋_GB2312"/>
          <w:sz w:val="32"/>
        </w:rPr>
      </w:pPr>
      <w:r>
        <w:rPr>
          <w:rFonts w:hint="eastAsia" w:ascii="仿宋_GB2312" w:hAnsi="仿宋_GB2312" w:eastAsia="仿宋_GB2312"/>
          <w:sz w:val="32"/>
        </w:rPr>
        <w:t>5.除非采购人通过修改采购文件予以更正，否则，投标供应商应毫无例外地按响应文件所列的清单中项目和数量填报综合单价和合价。投标供应商未填综合单价或合价的项目，在实施后，将不得以支付，并视作该项费用已包括在其它有价款的综合单价或合价内。</w:t>
      </w:r>
    </w:p>
    <w:p>
      <w:pPr>
        <w:spacing w:line="580" w:lineRule="exact"/>
        <w:ind w:firstLine="640" w:firstLineChars="200"/>
        <w:rPr>
          <w:rFonts w:ascii="仿宋_GB2312" w:hAnsi="仿宋_GB2312" w:eastAsia="仿宋_GB2312"/>
          <w:sz w:val="32"/>
        </w:rPr>
      </w:pPr>
      <w:r>
        <w:rPr>
          <w:rFonts w:hint="eastAsia" w:ascii="仿宋_GB2312" w:hAnsi="仿宋_GB2312" w:eastAsia="仿宋_GB2312"/>
          <w:sz w:val="32"/>
        </w:rPr>
        <w:t>6.投标供应商应先到项目地点踏勘以充分了解项目的位置、情况、道路及任何其它足以影响投标报价的情况，任何因忽视或误解项目情况而导致的索赔或服务期限延长申请将不获批准。</w:t>
      </w:r>
    </w:p>
    <w:p>
      <w:pPr>
        <w:spacing w:line="580" w:lineRule="exact"/>
        <w:ind w:firstLine="640" w:firstLineChars="200"/>
        <w:rPr>
          <w:rFonts w:hint="eastAsia" w:ascii="仿宋_GB2312" w:hAnsi="仿宋_GB2312" w:eastAsia="仿宋_GB2312"/>
          <w:sz w:val="32"/>
        </w:rPr>
      </w:pPr>
      <w:r>
        <w:rPr>
          <w:rFonts w:hint="eastAsia" w:ascii="仿宋_GB2312" w:hAnsi="仿宋_GB2312" w:eastAsia="仿宋_GB2312"/>
          <w:sz w:val="32"/>
        </w:rPr>
        <w:t>7.投标供应商不得期望通过索赔等方式获取补偿，否则，除可能遭到拒绝外，还可能将被作为不良行为记录在案，并可能影响其以后参加政府采购的项目投标。各投标供应商在报价时，应充分考虑报价的风险。</w:t>
      </w:r>
    </w:p>
    <w:p>
      <w:pPr>
        <w:spacing w:line="580" w:lineRule="exact"/>
        <w:ind w:firstLine="640" w:firstLineChars="200"/>
        <w:jc w:val="both"/>
        <w:rPr>
          <w:rFonts w:hint="eastAsia" w:ascii="仿宋_GB2312" w:hAnsi="仿宋_GB2312" w:eastAsia="仿宋_GB2312"/>
          <w:sz w:val="32"/>
          <w:highlight w:val="none"/>
        </w:rPr>
      </w:pPr>
      <w:r>
        <w:rPr>
          <w:rFonts w:hint="eastAsia" w:ascii="仿宋_GB2312" w:hAnsi="仿宋_GB2312" w:eastAsia="仿宋_GB2312"/>
          <w:sz w:val="32"/>
          <w:highlight w:val="none"/>
          <w:lang w:val="en-US" w:eastAsia="zh-CN"/>
        </w:rPr>
        <w:t>8</w:t>
      </w:r>
      <w:r>
        <w:rPr>
          <w:rFonts w:hint="eastAsia" w:ascii="仿宋_GB2312" w:hAnsi="仿宋_GB2312" w:eastAsia="仿宋_GB2312"/>
          <w:sz w:val="32"/>
          <w:highlight w:val="none"/>
        </w:rPr>
        <w:t>.关于异常低价审查。政府采购评审中出现下列情形之一的，评审委员会应当启动异常低价投标（响应）审查程序：</w:t>
      </w:r>
    </w:p>
    <w:p>
      <w:pPr>
        <w:spacing w:line="580" w:lineRule="exact"/>
        <w:ind w:firstLine="640" w:firstLineChars="200"/>
        <w:jc w:val="both"/>
        <w:rPr>
          <w:rFonts w:hint="eastAsia" w:ascii="仿宋_GB2312" w:hAnsi="仿宋_GB2312" w:eastAsia="仿宋_GB2312"/>
          <w:sz w:val="32"/>
          <w:highlight w:val="none"/>
        </w:rPr>
      </w:pPr>
      <w:r>
        <w:rPr>
          <w:rFonts w:hint="eastAsia" w:ascii="仿宋_GB2312" w:hAnsi="仿宋_GB2312" w:eastAsia="仿宋_GB2312"/>
          <w:sz w:val="32"/>
          <w:highlight w:val="none"/>
        </w:rPr>
        <w:t>（1）投标（响应）报价低于全部通过符合性审查供应商投标（响应）报价平均值50%的,即投标（响应)报价&lt;全部通过符合性审查供应商投标（响应）报价平均值×50%；</w:t>
      </w:r>
    </w:p>
    <w:p>
      <w:pPr>
        <w:spacing w:line="580" w:lineRule="exact"/>
        <w:ind w:firstLine="640" w:firstLineChars="200"/>
        <w:jc w:val="both"/>
        <w:rPr>
          <w:rFonts w:hint="eastAsia" w:ascii="仿宋_GB2312" w:hAnsi="仿宋_GB2312" w:eastAsia="仿宋_GB2312"/>
          <w:sz w:val="32"/>
          <w:highlight w:val="none"/>
        </w:rPr>
      </w:pPr>
      <w:r>
        <w:rPr>
          <w:rFonts w:hint="eastAsia" w:ascii="仿宋_GB2312" w:hAnsi="仿宋_GB2312" w:eastAsia="仿宋_GB2312"/>
          <w:sz w:val="32"/>
          <w:highlight w:val="none"/>
        </w:rPr>
        <w:t>（2）投标（响应）报价低于通过符合性审查的次低报价供应商投标（响应）报价50%的，即投标（响应）报价&lt;通过符合性审查的次低报价供应商投标（响应）报价×50%；</w:t>
      </w:r>
    </w:p>
    <w:p>
      <w:pPr>
        <w:spacing w:line="580" w:lineRule="exact"/>
        <w:ind w:firstLine="640" w:firstLineChars="200"/>
        <w:jc w:val="both"/>
        <w:rPr>
          <w:rFonts w:hint="eastAsia" w:ascii="仿宋_GB2312" w:hAnsi="仿宋_GB2312" w:eastAsia="仿宋_GB2312"/>
          <w:sz w:val="32"/>
          <w:highlight w:val="none"/>
        </w:rPr>
      </w:pPr>
      <w:r>
        <w:rPr>
          <w:rFonts w:hint="eastAsia" w:ascii="仿宋_GB2312" w:hAnsi="仿宋_GB2312" w:eastAsia="仿宋_GB2312"/>
          <w:sz w:val="32"/>
          <w:highlight w:val="none"/>
        </w:rPr>
        <w:t>（3）投标（响应）报价低于采购项目最高限价45%的，即投标（响应）报价&lt;采购项目最高限价×45%；</w:t>
      </w:r>
    </w:p>
    <w:p>
      <w:pPr>
        <w:spacing w:line="580" w:lineRule="exact"/>
        <w:ind w:firstLine="640" w:firstLineChars="200"/>
        <w:rPr>
          <w:highlight w:val="none"/>
        </w:rPr>
      </w:pPr>
      <w:r>
        <w:rPr>
          <w:rFonts w:hint="eastAsia" w:ascii="仿宋_GB2312" w:hAnsi="仿宋_GB2312" w:eastAsia="仿宋_GB2312"/>
          <w:sz w:val="32"/>
          <w:highlight w:val="none"/>
        </w:rPr>
        <w:t>（4）评审委员会基于专业判断，认为供应商报价过低，有可能影响产品质量或不能诚信履约的其他情形。</w:t>
      </w:r>
    </w:p>
    <w:p>
      <w:pPr>
        <w:spacing w:line="580" w:lineRule="exact"/>
        <w:ind w:firstLine="640" w:firstLineChars="200"/>
        <w:rPr>
          <w:rFonts w:ascii="仿宋_GB2312" w:hAnsi="仿宋_GB2312" w:eastAsia="仿宋_GB2312"/>
          <w:sz w:val="32"/>
        </w:rPr>
      </w:pPr>
      <w:r>
        <w:rPr>
          <w:rFonts w:hint="eastAsia" w:ascii="仿宋_GB2312" w:hAnsi="仿宋_GB2312" w:eastAsia="仿宋_GB2312"/>
          <w:sz w:val="32"/>
        </w:rPr>
        <w:t>（四）付款方式：</w:t>
      </w:r>
    </w:p>
    <w:p>
      <w:pPr>
        <w:spacing w:line="500" w:lineRule="exact"/>
        <w:ind w:firstLine="640" w:firstLineChars="200"/>
        <w:rPr>
          <w:rFonts w:hint="eastAsia" w:ascii="仿宋_GB2312" w:hAnsi="仿宋" w:eastAsia="仿宋_GB2312" w:cs="仿宋"/>
          <w:sz w:val="32"/>
          <w:szCs w:val="32"/>
          <w:highlight w:val="none"/>
        </w:rPr>
      </w:pPr>
      <w:r>
        <w:rPr>
          <w:rFonts w:hint="eastAsia" w:ascii="仿宋_GB2312" w:hAnsi="仿宋" w:eastAsia="仿宋_GB2312" w:cs="仿宋"/>
          <w:sz w:val="32"/>
          <w:szCs w:val="32"/>
          <w:highlight w:val="none"/>
          <w:lang w:eastAsia="zh-CN"/>
        </w:rPr>
        <w:t>第</w:t>
      </w:r>
      <w:r>
        <w:rPr>
          <w:rFonts w:hint="eastAsia" w:ascii="仿宋_GB2312" w:hAnsi="仿宋" w:eastAsia="仿宋_GB2312" w:cs="仿宋"/>
          <w:sz w:val="32"/>
          <w:szCs w:val="32"/>
          <w:highlight w:val="none"/>
          <w:lang w:val="en-US" w:eastAsia="zh-CN"/>
        </w:rPr>
        <w:t>1期：</w:t>
      </w:r>
      <w:r>
        <w:rPr>
          <w:rFonts w:hint="eastAsia" w:ascii="仿宋_GB2312" w:hAnsi="仿宋" w:eastAsia="仿宋_GB2312" w:cs="仿宋"/>
          <w:sz w:val="32"/>
          <w:szCs w:val="32"/>
          <w:highlight w:val="none"/>
        </w:rPr>
        <w:t>合同签</w:t>
      </w:r>
      <w:r>
        <w:rPr>
          <w:rFonts w:hint="eastAsia" w:ascii="仿宋_GB2312" w:hAnsi="仿宋" w:eastAsia="仿宋_GB2312" w:cs="仿宋"/>
          <w:sz w:val="32"/>
          <w:szCs w:val="32"/>
          <w:highlight w:val="none"/>
          <w:lang w:eastAsia="zh-CN"/>
        </w:rPr>
        <w:t>订</w:t>
      </w:r>
      <w:r>
        <w:rPr>
          <w:rFonts w:hint="eastAsia" w:ascii="仿宋_GB2312" w:hAnsi="仿宋" w:eastAsia="仿宋_GB2312" w:cs="仿宋"/>
          <w:sz w:val="32"/>
          <w:szCs w:val="32"/>
          <w:highlight w:val="none"/>
        </w:rPr>
        <w:t>后，</w:t>
      </w:r>
      <w:r>
        <w:rPr>
          <w:rFonts w:hint="eastAsia" w:ascii="仿宋_GB2312" w:hAnsi="楷体" w:eastAsia="仿宋_GB2312"/>
          <w:sz w:val="32"/>
          <w:szCs w:val="32"/>
          <w:highlight w:val="none"/>
          <w:lang w:eastAsia="zh-CN"/>
        </w:rPr>
        <w:t>收到载明相应金额的合法</w:t>
      </w:r>
      <w:r>
        <w:rPr>
          <w:rFonts w:hint="eastAsia" w:ascii="仿宋_GB2312" w:hAnsi="楷体" w:eastAsia="仿宋_GB2312"/>
          <w:sz w:val="32"/>
          <w:szCs w:val="32"/>
          <w:highlight w:val="none"/>
        </w:rPr>
        <w:t>发票后</w:t>
      </w:r>
      <w:r>
        <w:rPr>
          <w:rFonts w:hint="eastAsia" w:ascii="仿宋_GB2312" w:hAnsi="楷体" w:eastAsia="仿宋_GB2312"/>
          <w:sz w:val="32"/>
          <w:szCs w:val="32"/>
          <w:highlight w:val="none"/>
          <w:lang w:val="en-US" w:eastAsia="zh-CN"/>
        </w:rPr>
        <w:t>10个工作</w:t>
      </w:r>
      <w:r>
        <w:rPr>
          <w:rFonts w:hint="eastAsia" w:ascii="仿宋_GB2312" w:hAnsi="楷体" w:eastAsia="仿宋_GB2312"/>
          <w:sz w:val="32"/>
          <w:szCs w:val="32"/>
          <w:highlight w:val="none"/>
        </w:rPr>
        <w:t>日内，</w:t>
      </w:r>
      <w:r>
        <w:rPr>
          <w:rFonts w:hint="eastAsia" w:ascii="仿宋_GB2312" w:hAnsi="仿宋" w:eastAsia="仿宋_GB2312" w:cs="仿宋"/>
          <w:sz w:val="32"/>
          <w:szCs w:val="32"/>
          <w:highlight w:val="none"/>
        </w:rPr>
        <w:t>支付合同金额的</w:t>
      </w:r>
      <w:r>
        <w:rPr>
          <w:rFonts w:hint="eastAsia" w:ascii="仿宋_GB2312" w:hAnsi="仿宋" w:eastAsia="仿宋_GB2312" w:cs="仿宋"/>
          <w:sz w:val="32"/>
          <w:szCs w:val="32"/>
          <w:highlight w:val="none"/>
          <w:lang w:val="en-US" w:eastAsia="zh-CN"/>
        </w:rPr>
        <w:t>7</w:t>
      </w:r>
      <w:r>
        <w:rPr>
          <w:rFonts w:hint="eastAsia" w:ascii="仿宋_GB2312" w:hAnsi="仿宋" w:eastAsia="仿宋_GB2312" w:cs="仿宋"/>
          <w:sz w:val="32"/>
          <w:szCs w:val="32"/>
          <w:highlight w:val="none"/>
        </w:rPr>
        <w:t>0%的款项</w:t>
      </w:r>
      <w:r>
        <w:rPr>
          <w:rFonts w:hint="eastAsia" w:ascii="仿宋_GB2312" w:hAnsi="楷体" w:eastAsia="仿宋_GB2312"/>
          <w:sz w:val="32"/>
          <w:szCs w:val="32"/>
          <w:highlight w:val="none"/>
        </w:rPr>
        <w:t>；</w:t>
      </w:r>
    </w:p>
    <w:p>
      <w:pPr>
        <w:spacing w:line="560" w:lineRule="exact"/>
        <w:ind w:firstLine="640" w:firstLineChars="200"/>
        <w:rPr>
          <w:rFonts w:hint="eastAsia" w:ascii="仿宋_GB2312" w:hAnsi="仿宋" w:eastAsia="仿宋_GB2312" w:cs="仿宋"/>
          <w:sz w:val="32"/>
          <w:szCs w:val="32"/>
          <w:highlight w:val="none"/>
        </w:rPr>
      </w:pPr>
      <w:r>
        <w:rPr>
          <w:rFonts w:hint="eastAsia" w:ascii="仿宋_GB2312" w:hAnsi="仿宋" w:eastAsia="仿宋_GB2312" w:cs="仿宋"/>
          <w:sz w:val="32"/>
          <w:szCs w:val="32"/>
          <w:highlight w:val="none"/>
          <w:lang w:eastAsia="zh-CN"/>
        </w:rPr>
        <w:t>第</w:t>
      </w:r>
      <w:r>
        <w:rPr>
          <w:rFonts w:hint="eastAsia" w:ascii="仿宋_GB2312" w:hAnsi="仿宋" w:eastAsia="仿宋_GB2312" w:cs="仿宋"/>
          <w:sz w:val="32"/>
          <w:szCs w:val="32"/>
          <w:highlight w:val="none"/>
          <w:lang w:val="en-US" w:eastAsia="zh-CN"/>
        </w:rPr>
        <w:t>2期：</w:t>
      </w:r>
      <w:r>
        <w:rPr>
          <w:rFonts w:hint="eastAsia" w:ascii="仿宋_GB2312" w:hAnsi="仿宋_GB2312" w:eastAsia="仿宋_GB2312" w:cs="仿宋_GB2312"/>
          <w:sz w:val="32"/>
          <w:szCs w:val="32"/>
          <w:highlight w:val="none"/>
        </w:rPr>
        <w:t>投标</w:t>
      </w:r>
      <w:r>
        <w:rPr>
          <w:rFonts w:hint="eastAsia" w:ascii="仿宋_GB2312" w:hAnsi="仿宋_GB2312" w:eastAsia="仿宋_GB2312" w:cs="仿宋_GB2312"/>
          <w:sz w:val="32"/>
          <w:szCs w:val="32"/>
          <w:highlight w:val="none"/>
          <w:lang w:eastAsia="zh-CN"/>
        </w:rPr>
        <w:t>供应商</w:t>
      </w:r>
      <w:r>
        <w:rPr>
          <w:rFonts w:hint="eastAsia" w:ascii="仿宋_GB2312" w:hAnsi="仿宋_GB2312" w:eastAsia="仿宋_GB2312" w:cs="仿宋_GB2312"/>
          <w:sz w:val="32"/>
          <w:szCs w:val="32"/>
          <w:highlight w:val="none"/>
        </w:rPr>
        <w:t>出具</w:t>
      </w:r>
      <w:r>
        <w:rPr>
          <w:rFonts w:hint="eastAsia" w:ascii="仿宋_GB2312" w:hAnsi="仿宋_GB2312" w:eastAsia="仿宋_GB2312" w:cs="仿宋_GB2312"/>
          <w:sz w:val="32"/>
          <w:szCs w:val="32"/>
          <w:highlight w:val="none"/>
          <w:lang w:eastAsia="zh-CN"/>
        </w:rPr>
        <w:t>正式版商用密码应用</w:t>
      </w:r>
      <w:r>
        <w:rPr>
          <w:rFonts w:hint="eastAsia" w:ascii="仿宋_GB2312" w:hAnsi="仿宋_GB2312" w:eastAsia="仿宋_GB2312" w:cs="仿宋_GB2312"/>
          <w:sz w:val="32"/>
          <w:szCs w:val="32"/>
          <w:highlight w:val="none"/>
          <w:lang w:val="en-US" w:eastAsia="zh-CN"/>
        </w:rPr>
        <w:t>安全性评估</w:t>
      </w:r>
      <w:r>
        <w:rPr>
          <w:rFonts w:hint="eastAsia" w:ascii="仿宋_GB2312" w:hAnsi="仿宋_GB2312" w:eastAsia="仿宋_GB2312" w:cs="仿宋_GB2312"/>
          <w:sz w:val="32"/>
          <w:szCs w:val="32"/>
          <w:highlight w:val="none"/>
        </w:rPr>
        <w:t>报告（盖章版），</w:t>
      </w:r>
      <w:r>
        <w:rPr>
          <w:rFonts w:hint="eastAsia" w:ascii="仿宋_GB2312" w:hAnsi="仿宋_GB2312" w:eastAsia="仿宋_GB2312" w:cs="仿宋_GB2312"/>
          <w:sz w:val="32"/>
          <w:szCs w:val="32"/>
          <w:highlight w:val="none"/>
          <w:lang w:eastAsia="zh-CN"/>
        </w:rPr>
        <w:t>并通过深圳市密码管理局备案且财政资金下达后，</w:t>
      </w:r>
      <w:r>
        <w:rPr>
          <w:rFonts w:hint="eastAsia" w:ascii="仿宋_GB2312" w:hAnsi="仿宋" w:eastAsia="仿宋_GB2312" w:cs="仿宋"/>
          <w:sz w:val="32"/>
          <w:szCs w:val="32"/>
          <w:highlight w:val="none"/>
          <w:lang w:eastAsia="zh-CN"/>
        </w:rPr>
        <w:t>采购人</w:t>
      </w:r>
      <w:r>
        <w:rPr>
          <w:rFonts w:hint="eastAsia" w:ascii="仿宋_GB2312" w:hAnsi="楷体" w:eastAsia="仿宋_GB2312"/>
          <w:sz w:val="32"/>
          <w:szCs w:val="32"/>
          <w:highlight w:val="none"/>
        </w:rPr>
        <w:t>收到</w:t>
      </w:r>
      <w:r>
        <w:rPr>
          <w:rFonts w:hint="eastAsia" w:ascii="仿宋_GB2312" w:hAnsi="楷体" w:eastAsia="仿宋_GB2312"/>
          <w:sz w:val="32"/>
          <w:szCs w:val="32"/>
          <w:highlight w:val="none"/>
          <w:lang w:eastAsia="zh-CN"/>
        </w:rPr>
        <w:t>载明相应金额的合法</w:t>
      </w:r>
      <w:r>
        <w:rPr>
          <w:rFonts w:hint="eastAsia" w:ascii="仿宋_GB2312" w:hAnsi="楷体" w:eastAsia="仿宋_GB2312"/>
          <w:sz w:val="32"/>
          <w:szCs w:val="32"/>
          <w:highlight w:val="none"/>
        </w:rPr>
        <w:t>发票后</w:t>
      </w:r>
      <w:r>
        <w:rPr>
          <w:rFonts w:hint="eastAsia" w:ascii="仿宋_GB2312" w:hAnsi="楷体" w:eastAsia="仿宋_GB2312"/>
          <w:sz w:val="32"/>
          <w:szCs w:val="32"/>
          <w:highlight w:val="none"/>
          <w:lang w:val="en-US" w:eastAsia="zh-CN"/>
        </w:rPr>
        <w:t>10个工作</w:t>
      </w:r>
      <w:r>
        <w:rPr>
          <w:rFonts w:hint="eastAsia" w:ascii="仿宋_GB2312" w:hAnsi="楷体" w:eastAsia="仿宋_GB2312"/>
          <w:sz w:val="32"/>
          <w:szCs w:val="32"/>
          <w:highlight w:val="none"/>
        </w:rPr>
        <w:t>日内，</w:t>
      </w:r>
      <w:r>
        <w:rPr>
          <w:rFonts w:hint="eastAsia" w:ascii="仿宋_GB2312" w:hAnsi="仿宋" w:eastAsia="仿宋_GB2312" w:cs="仿宋"/>
          <w:sz w:val="32"/>
          <w:szCs w:val="32"/>
          <w:highlight w:val="none"/>
        </w:rPr>
        <w:t>支付合同金额的</w:t>
      </w:r>
      <w:r>
        <w:rPr>
          <w:rFonts w:hint="eastAsia" w:ascii="仿宋_GB2312" w:hAnsi="仿宋" w:eastAsia="仿宋_GB2312" w:cs="仿宋"/>
          <w:sz w:val="32"/>
          <w:szCs w:val="32"/>
          <w:highlight w:val="none"/>
          <w:lang w:val="en-US" w:eastAsia="zh-CN"/>
        </w:rPr>
        <w:t>3</w:t>
      </w:r>
      <w:r>
        <w:rPr>
          <w:rFonts w:hint="eastAsia" w:ascii="仿宋_GB2312" w:hAnsi="仿宋" w:eastAsia="仿宋_GB2312" w:cs="仿宋"/>
          <w:sz w:val="32"/>
          <w:szCs w:val="32"/>
          <w:highlight w:val="none"/>
        </w:rPr>
        <w:t>0%的款项</w:t>
      </w:r>
      <w:r>
        <w:rPr>
          <w:rFonts w:hint="eastAsia" w:ascii="仿宋_GB2312" w:hAnsi="楷体" w:eastAsia="仿宋_GB2312"/>
          <w:sz w:val="32"/>
          <w:szCs w:val="32"/>
          <w:highlight w:val="none"/>
        </w:rPr>
        <w:t>。</w:t>
      </w:r>
    </w:p>
    <w:p>
      <w:pPr>
        <w:spacing w:line="580" w:lineRule="exact"/>
        <w:ind w:firstLine="640" w:firstLineChars="200"/>
        <w:rPr>
          <w:rFonts w:hint="eastAsia" w:ascii="仿宋_GB2312" w:hAnsi="仿宋_GB2312" w:eastAsia="仿宋_GB2312" w:cs="Times New Roman"/>
          <w:color w:val="auto"/>
          <w:sz w:val="32"/>
          <w:highlight w:val="none"/>
        </w:rPr>
      </w:pPr>
      <w:r>
        <w:rPr>
          <w:rFonts w:hint="eastAsia" w:ascii="仿宋_GB2312" w:hAnsi="仿宋_GB2312" w:eastAsia="仿宋_GB2312" w:cs="Times New Roman"/>
          <w:sz w:val="32"/>
          <w:highlight w:val="none"/>
        </w:rPr>
        <w:t>（</w:t>
      </w:r>
      <w:r>
        <w:rPr>
          <w:rFonts w:hint="eastAsia" w:ascii="仿宋_GB2312" w:hAnsi="仿宋_GB2312" w:eastAsia="仿宋_GB2312" w:cs="Times New Roman"/>
          <w:sz w:val="32"/>
          <w:highlight w:val="none"/>
          <w:lang w:eastAsia="zh-CN"/>
        </w:rPr>
        <w:t>五</w:t>
      </w:r>
      <w:r>
        <w:rPr>
          <w:rFonts w:hint="eastAsia" w:ascii="仿宋_GB2312" w:hAnsi="仿宋_GB2312" w:eastAsia="仿宋_GB2312" w:cs="Times New Roman"/>
          <w:sz w:val="32"/>
          <w:highlight w:val="none"/>
        </w:rPr>
        <w:t>）</w:t>
      </w:r>
      <w:r>
        <w:rPr>
          <w:rFonts w:hint="eastAsia" w:ascii="仿宋_GB2312" w:hAnsi="仿宋_GB2312" w:eastAsia="仿宋_GB2312" w:cs="Times New Roman"/>
          <w:color w:val="auto"/>
          <w:sz w:val="32"/>
          <w:highlight w:val="none"/>
          <w:lang w:val="en-US" w:eastAsia="zh-CN"/>
        </w:rPr>
        <w:t>验收要求</w:t>
      </w:r>
      <w:r>
        <w:rPr>
          <w:rFonts w:hint="eastAsia" w:ascii="仿宋_GB2312" w:hAnsi="仿宋_GB2312" w:eastAsia="仿宋_GB2312" w:cs="Times New Roman"/>
          <w:color w:val="auto"/>
          <w:sz w:val="32"/>
          <w:highlight w:val="none"/>
        </w:rPr>
        <w:t>：</w:t>
      </w:r>
    </w:p>
    <w:p>
      <w:pPr>
        <w:widowControl/>
        <w:spacing w:line="360" w:lineRule="auto"/>
        <w:ind w:firstLine="640" w:firstLineChars="200"/>
      </w:pPr>
      <w:r>
        <w:rPr>
          <w:rFonts w:hint="eastAsia" w:ascii="仿宋_GB2312" w:hAnsi="仿宋_GB2312" w:eastAsia="仿宋_GB2312"/>
          <w:color w:val="auto"/>
          <w:sz w:val="32"/>
          <w:highlight w:val="none"/>
          <w:lang w:eastAsia="zh-CN"/>
        </w:rPr>
        <w:t>投标供应商</w:t>
      </w:r>
      <w:r>
        <w:rPr>
          <w:rFonts w:hint="eastAsia" w:ascii="仿宋_GB2312" w:hAnsi="仿宋_GB2312" w:eastAsia="仿宋_GB2312"/>
          <w:color w:val="auto"/>
          <w:sz w:val="32"/>
          <w:highlight w:val="none"/>
        </w:rPr>
        <w:t>根据相关评估依据完成商用密码应用安全性评估</w:t>
      </w:r>
      <w:r>
        <w:rPr>
          <w:rFonts w:hint="eastAsia" w:ascii="仿宋_GB2312" w:hAnsi="仿宋_GB2312" w:eastAsia="仿宋_GB2312"/>
          <w:color w:val="auto"/>
          <w:sz w:val="32"/>
          <w:highlight w:val="none"/>
          <w:lang w:eastAsia="zh-CN"/>
        </w:rPr>
        <w:t>，</w:t>
      </w:r>
      <w:r>
        <w:rPr>
          <w:rFonts w:hint="eastAsia" w:ascii="仿宋_GB2312" w:hAnsi="仿宋_GB2312" w:eastAsia="仿宋_GB2312"/>
          <w:color w:val="auto"/>
          <w:sz w:val="32"/>
          <w:highlight w:val="none"/>
        </w:rPr>
        <w:t>并出具加盖</w:t>
      </w:r>
      <w:r>
        <w:rPr>
          <w:rFonts w:hint="eastAsia" w:ascii="仿宋_GB2312" w:hAnsi="仿宋_GB2312" w:eastAsia="仿宋_GB2312"/>
          <w:color w:val="auto"/>
          <w:sz w:val="32"/>
          <w:highlight w:val="none"/>
          <w:lang w:eastAsia="zh-CN"/>
        </w:rPr>
        <w:t>投标供应商</w:t>
      </w:r>
      <w:r>
        <w:rPr>
          <w:rFonts w:hint="eastAsia" w:ascii="仿宋_GB2312" w:hAnsi="仿宋_GB2312" w:eastAsia="仿宋_GB2312"/>
          <w:color w:val="auto"/>
          <w:sz w:val="32"/>
          <w:highlight w:val="none"/>
        </w:rPr>
        <w:t>检验</w:t>
      </w:r>
      <w:r>
        <w:rPr>
          <w:rFonts w:hint="eastAsia" w:ascii="仿宋_GB2312" w:hAnsi="仿宋_GB2312" w:eastAsia="仿宋_GB2312"/>
          <w:sz w:val="32"/>
          <w:highlight w:val="none"/>
        </w:rPr>
        <w:t>检测</w:t>
      </w:r>
      <w:r>
        <w:rPr>
          <w:rFonts w:hint="eastAsia" w:ascii="仿宋_GB2312" w:hAnsi="仿宋_GB2312" w:eastAsia="仿宋_GB2312"/>
          <w:color w:val="auto"/>
          <w:sz w:val="32"/>
          <w:highlight w:val="none"/>
        </w:rPr>
        <w:t>专用章的</w:t>
      </w:r>
      <w:r>
        <w:rPr>
          <w:rFonts w:hint="eastAsia" w:ascii="仿宋_GB2312" w:hAnsi="仿宋_GB2312" w:eastAsia="仿宋_GB2312" w:cs="Times New Roman"/>
          <w:color w:val="auto"/>
          <w:sz w:val="32"/>
          <w:highlight w:val="none"/>
        </w:rPr>
        <w:t>深圳市政务服务一体化平台提升项目-广东省网上办事大厅深圳分厅系统、深圳市政务服务一体化平台提升项目-深圳市政务电子证照系统</w:t>
      </w:r>
      <w:r>
        <w:rPr>
          <w:rFonts w:hint="eastAsia" w:ascii="仿宋_GB2312" w:hAnsi="仿宋_GB2312" w:eastAsia="仿宋_GB2312"/>
          <w:color w:val="auto"/>
          <w:sz w:val="32"/>
        </w:rPr>
        <w:t>商用密码应用安全性评估报告（纸质</w:t>
      </w:r>
      <w:r>
        <w:rPr>
          <w:rFonts w:hint="eastAsia" w:ascii="仿宋_GB2312" w:hAnsi="仿宋_GB2312" w:eastAsia="仿宋_GB2312"/>
          <w:sz w:val="32"/>
        </w:rPr>
        <w:t>版</w:t>
      </w:r>
      <w:r>
        <w:rPr>
          <w:rFonts w:hint="eastAsia" w:ascii="仿宋_GB2312" w:hAnsi="仿宋_GB2312" w:eastAsia="仿宋_GB2312"/>
          <w:sz w:val="32"/>
          <w:lang w:val="en-US" w:eastAsia="zh-CN"/>
        </w:rPr>
        <w:t>各</w:t>
      </w:r>
      <w:r>
        <w:rPr>
          <w:rFonts w:ascii="仿宋_GB2312" w:hAnsi="仿宋_GB2312" w:eastAsia="仿宋_GB2312"/>
          <w:sz w:val="32"/>
        </w:rPr>
        <w:t>3</w:t>
      </w:r>
      <w:r>
        <w:rPr>
          <w:rFonts w:hint="eastAsia" w:ascii="仿宋_GB2312" w:hAnsi="仿宋_GB2312" w:eastAsia="仿宋_GB2312"/>
          <w:sz w:val="32"/>
        </w:rPr>
        <w:t>份，电子版</w:t>
      </w:r>
      <w:r>
        <w:rPr>
          <w:rFonts w:hint="eastAsia" w:ascii="仿宋_GB2312" w:hAnsi="仿宋_GB2312" w:eastAsia="仿宋_GB2312"/>
          <w:sz w:val="32"/>
          <w:lang w:val="en-US" w:eastAsia="zh-CN"/>
        </w:rPr>
        <w:t>各</w:t>
      </w:r>
      <w:r>
        <w:rPr>
          <w:rFonts w:ascii="仿宋_GB2312" w:hAnsi="仿宋_GB2312" w:eastAsia="仿宋_GB2312"/>
          <w:sz w:val="32"/>
        </w:rPr>
        <w:t>1</w:t>
      </w:r>
      <w:r>
        <w:rPr>
          <w:rFonts w:hint="eastAsia" w:ascii="仿宋_GB2312" w:hAnsi="仿宋_GB2312" w:eastAsia="仿宋_GB2312"/>
          <w:sz w:val="32"/>
        </w:rPr>
        <w:t>份）</w:t>
      </w:r>
      <w:r>
        <w:rPr>
          <w:rFonts w:hint="eastAsia" w:ascii="仿宋_GB2312" w:hAnsi="仿宋_GB2312" w:eastAsia="仿宋_GB2312"/>
          <w:sz w:val="32"/>
          <w:lang w:eastAsia="zh-CN"/>
        </w:rPr>
        <w:t>，</w:t>
      </w:r>
      <w:r>
        <w:rPr>
          <w:rFonts w:hint="eastAsia" w:ascii="仿宋_GB2312" w:hAnsi="仿宋_GB2312" w:eastAsia="仿宋_GB2312"/>
          <w:sz w:val="32"/>
          <w:highlight w:val="none"/>
        </w:rPr>
        <w:t>作为项目成果，供</w:t>
      </w:r>
      <w:r>
        <w:rPr>
          <w:rFonts w:hint="eastAsia" w:ascii="仿宋_GB2312" w:hAnsi="仿宋_GB2312" w:eastAsia="仿宋_GB2312"/>
          <w:sz w:val="32"/>
          <w:highlight w:val="none"/>
          <w:lang w:eastAsia="zh-CN"/>
        </w:rPr>
        <w:t>采购人</w:t>
      </w:r>
      <w:r>
        <w:rPr>
          <w:rFonts w:hint="eastAsia" w:ascii="仿宋_GB2312" w:hAnsi="仿宋_GB2312" w:eastAsia="仿宋_GB2312"/>
          <w:sz w:val="32"/>
          <w:highlight w:val="none"/>
        </w:rPr>
        <w:t>验收确认。</w:t>
      </w:r>
      <w:r>
        <w:rPr>
          <w:rFonts w:hint="eastAsia" w:ascii="仿宋_GB2312" w:hAnsi="仿宋_GB2312" w:eastAsia="仿宋_GB2312"/>
          <w:sz w:val="32"/>
          <w:highlight w:val="none"/>
          <w:lang w:eastAsia="zh-CN"/>
        </w:rPr>
        <w:t>项目成果</w:t>
      </w:r>
      <w:r>
        <w:rPr>
          <w:rFonts w:hint="eastAsia" w:ascii="仿宋_GB2312" w:hAnsi="仿宋_GB2312" w:eastAsia="仿宋_GB2312"/>
          <w:sz w:val="32"/>
          <w:lang w:eastAsia="zh-CN"/>
        </w:rPr>
        <w:t>通过深圳市密码管理局备案，视为项目通过终验，</w:t>
      </w:r>
      <w:r>
        <w:rPr>
          <w:rFonts w:hint="eastAsia" w:ascii="仿宋_GB2312" w:hAnsi="仿宋_GB2312" w:eastAsia="仿宋_GB2312" w:cs="Times New Roman"/>
          <w:sz w:val="32"/>
          <w:lang w:val="en-US" w:eastAsia="zh-CN"/>
        </w:rPr>
        <w:t>具体以合同约定为准。</w:t>
      </w:r>
    </w:p>
    <w:p>
      <w:pPr>
        <w:spacing w:line="580" w:lineRule="exact"/>
        <w:ind w:firstLine="640" w:firstLineChars="200"/>
        <w:jc w:val="both"/>
        <w:rPr>
          <w:rFonts w:ascii="仿宋_GB2312" w:hAnsi="仿宋_GB2312" w:eastAsia="仿宋_GB2312"/>
          <w:sz w:val="32"/>
        </w:rPr>
      </w:pPr>
      <w:r>
        <w:rPr>
          <w:rFonts w:hint="eastAsia" w:ascii="仿宋_GB2312" w:hAnsi="仿宋_GB2312" w:eastAsia="仿宋_GB2312"/>
          <w:sz w:val="32"/>
        </w:rPr>
        <w:t>（</w:t>
      </w:r>
      <w:r>
        <w:rPr>
          <w:rFonts w:hint="eastAsia" w:ascii="仿宋_GB2312" w:hAnsi="仿宋_GB2312" w:eastAsia="仿宋_GB2312"/>
          <w:sz w:val="32"/>
          <w:lang w:val="en-US" w:eastAsia="zh-CN"/>
        </w:rPr>
        <w:t>六</w:t>
      </w:r>
      <w:r>
        <w:rPr>
          <w:rFonts w:hint="eastAsia" w:ascii="仿宋_GB2312" w:hAnsi="仿宋_GB2312" w:eastAsia="仿宋_GB2312"/>
          <w:sz w:val="32"/>
        </w:rPr>
        <w:t>）履约担保金：</w:t>
      </w:r>
      <w:r>
        <w:rPr>
          <w:rFonts w:hint="eastAsia" w:ascii="仿宋_GB2312" w:hAnsi="仿宋_GB2312" w:eastAsia="仿宋_GB2312"/>
          <w:sz w:val="32"/>
          <w:lang w:val="en-US" w:eastAsia="zh-CN"/>
        </w:rPr>
        <w:t>无</w:t>
      </w:r>
    </w:p>
    <w:p>
      <w:pPr>
        <w:spacing w:line="580" w:lineRule="exact"/>
        <w:ind w:firstLine="640" w:firstLineChars="200"/>
        <w:jc w:val="both"/>
        <w:rPr>
          <w:rFonts w:hint="eastAsia" w:ascii="仿宋_GB2312" w:hAnsi="仿宋_GB2312" w:eastAsia="仿宋_GB2312"/>
          <w:sz w:val="32"/>
          <w:lang w:eastAsia="zh-CN"/>
        </w:rPr>
      </w:pPr>
      <w:r>
        <w:rPr>
          <w:rFonts w:hint="eastAsia" w:ascii="仿宋_GB2312" w:hAnsi="仿宋_GB2312" w:eastAsia="仿宋_GB2312"/>
          <w:sz w:val="32"/>
          <w:lang w:eastAsia="zh-CN"/>
        </w:rPr>
        <w:t>（</w:t>
      </w:r>
      <w:r>
        <w:rPr>
          <w:rFonts w:hint="eastAsia" w:ascii="仿宋_GB2312" w:hAnsi="仿宋_GB2312" w:eastAsia="仿宋_GB2312"/>
          <w:sz w:val="32"/>
          <w:lang w:val="en-US" w:eastAsia="zh-CN"/>
        </w:rPr>
        <w:t>七</w:t>
      </w:r>
      <w:r>
        <w:rPr>
          <w:rFonts w:hint="eastAsia" w:ascii="仿宋_GB2312" w:hAnsi="仿宋_GB2312" w:eastAsia="仿宋_GB2312"/>
          <w:sz w:val="32"/>
          <w:lang w:eastAsia="zh-CN"/>
        </w:rPr>
        <w:t>）项目人员安排要求：</w:t>
      </w:r>
    </w:p>
    <w:p>
      <w:pPr>
        <w:spacing w:line="580" w:lineRule="exact"/>
        <w:ind w:firstLine="640" w:firstLineChars="200"/>
        <w:rPr>
          <w:rFonts w:ascii="仿宋_GB2312" w:hAnsi="仿宋_GB2312" w:eastAsia="仿宋_GB2312"/>
          <w:sz w:val="32"/>
        </w:rPr>
      </w:pPr>
      <w:r>
        <w:rPr>
          <w:rFonts w:hint="eastAsia" w:ascii="仿宋_GB2312" w:hAnsi="仿宋_GB2312" w:eastAsia="仿宋_GB2312"/>
          <w:sz w:val="32"/>
          <w:lang w:eastAsia="zh-CN"/>
        </w:rPr>
        <w:t>投标供应商</w:t>
      </w:r>
      <w:r>
        <w:rPr>
          <w:rFonts w:hint="eastAsia" w:ascii="仿宋_GB2312" w:hAnsi="仿宋_GB2312" w:eastAsia="仿宋_GB2312"/>
          <w:sz w:val="32"/>
        </w:rPr>
        <w:t>应指派固定的团队为本项目提供专业服务，服务团队成员不得少于</w:t>
      </w:r>
      <w:r>
        <w:rPr>
          <w:rFonts w:ascii="仿宋_GB2312" w:hAnsi="仿宋_GB2312" w:eastAsia="仿宋_GB2312"/>
          <w:sz w:val="32"/>
        </w:rPr>
        <w:t>5</w:t>
      </w:r>
      <w:r>
        <w:rPr>
          <w:rFonts w:hint="eastAsia" w:ascii="仿宋_GB2312" w:hAnsi="仿宋_GB2312" w:eastAsia="仿宋_GB2312"/>
          <w:sz w:val="32"/>
        </w:rPr>
        <w:t>人（1名项目</w:t>
      </w:r>
      <w:r>
        <w:rPr>
          <w:rFonts w:hint="eastAsia" w:ascii="仿宋_GB2312" w:hAnsi="仿宋_GB2312" w:eastAsia="仿宋_GB2312"/>
          <w:sz w:val="32"/>
          <w:lang w:val="en-US" w:eastAsia="zh-CN"/>
        </w:rPr>
        <w:t>负责人</w:t>
      </w:r>
      <w:r>
        <w:rPr>
          <w:rFonts w:hint="eastAsia" w:ascii="仿宋_GB2312" w:hAnsi="仿宋_GB2312" w:eastAsia="仿宋_GB2312"/>
          <w:sz w:val="32"/>
        </w:rPr>
        <w:t>、1名技术负责人、</w:t>
      </w:r>
      <w:r>
        <w:rPr>
          <w:rFonts w:ascii="仿宋_GB2312" w:hAnsi="仿宋_GB2312" w:eastAsia="仿宋_GB2312"/>
          <w:sz w:val="32"/>
        </w:rPr>
        <w:t>3</w:t>
      </w:r>
      <w:r>
        <w:rPr>
          <w:rFonts w:hint="eastAsia" w:ascii="仿宋_GB2312" w:hAnsi="仿宋_GB2312" w:eastAsia="仿宋_GB2312"/>
          <w:sz w:val="32"/>
        </w:rPr>
        <w:t>名测评实施人员）。项目</w:t>
      </w:r>
      <w:r>
        <w:rPr>
          <w:rFonts w:hint="eastAsia" w:ascii="仿宋_GB2312" w:hAnsi="仿宋_GB2312" w:eastAsia="仿宋_GB2312"/>
          <w:sz w:val="32"/>
          <w:lang w:val="en-US" w:eastAsia="zh-CN"/>
        </w:rPr>
        <w:t>负责人</w:t>
      </w:r>
      <w:r>
        <w:rPr>
          <w:rFonts w:hint="eastAsia" w:ascii="仿宋_GB2312" w:hAnsi="仿宋_GB2312" w:eastAsia="仿宋_GB2312"/>
          <w:sz w:val="32"/>
        </w:rPr>
        <w:t>应具备研究生学历及以上，</w:t>
      </w:r>
      <w:r>
        <w:rPr>
          <w:rFonts w:ascii="仿宋_GB2312" w:hAnsi="仿宋_GB2312" w:eastAsia="仿宋_GB2312"/>
          <w:sz w:val="32"/>
        </w:rPr>
        <w:t>3</w:t>
      </w:r>
      <w:r>
        <w:rPr>
          <w:rFonts w:hint="eastAsia" w:ascii="仿宋_GB2312" w:hAnsi="仿宋_GB2312" w:eastAsia="仿宋_GB2312"/>
          <w:sz w:val="32"/>
        </w:rPr>
        <w:t>年以上从事商用密码应用安全性评估服务项目管理工作经验。其它人员不低于本科学历，</w:t>
      </w:r>
      <w:r>
        <w:rPr>
          <w:rFonts w:ascii="仿宋_GB2312" w:hAnsi="仿宋_GB2312" w:eastAsia="仿宋_GB2312"/>
          <w:sz w:val="32"/>
        </w:rPr>
        <w:t>2</w:t>
      </w:r>
      <w:r>
        <w:rPr>
          <w:rFonts w:hint="eastAsia" w:ascii="仿宋_GB2312" w:hAnsi="仿宋_GB2312" w:eastAsia="仿宋_GB2312"/>
          <w:sz w:val="32"/>
        </w:rPr>
        <w:t>年以上从事商用密码应用安全性评估工作经验。</w:t>
      </w:r>
    </w:p>
    <w:p>
      <w:pPr>
        <w:spacing w:line="580" w:lineRule="exact"/>
        <w:ind w:firstLine="640" w:firstLineChars="200"/>
        <w:rPr>
          <w:rFonts w:ascii="仿宋_GB2312" w:hAnsi="仿宋_GB2312" w:eastAsia="仿宋_GB2312"/>
          <w:sz w:val="32"/>
        </w:rPr>
      </w:pPr>
      <w:r>
        <w:rPr>
          <w:rFonts w:hint="eastAsia" w:ascii="仿宋_GB2312" w:hAnsi="仿宋_GB2312" w:eastAsia="仿宋_GB2312"/>
          <w:sz w:val="32"/>
          <w:lang w:eastAsia="zh-CN"/>
        </w:rPr>
        <w:t>供应商</w:t>
      </w:r>
      <w:r>
        <w:rPr>
          <w:rFonts w:hint="eastAsia" w:ascii="仿宋_GB2312" w:hAnsi="仿宋_GB2312" w:eastAsia="仿宋_GB2312"/>
          <w:sz w:val="32"/>
        </w:rPr>
        <w:t>如确需调整服务团队成员，须书面向</w:t>
      </w:r>
      <w:r>
        <w:rPr>
          <w:rFonts w:hint="eastAsia" w:ascii="仿宋_GB2312" w:hAnsi="仿宋_GB2312" w:eastAsia="仿宋_GB2312"/>
          <w:sz w:val="32"/>
          <w:lang w:eastAsia="zh-CN"/>
        </w:rPr>
        <w:t>采购人</w:t>
      </w:r>
      <w:r>
        <w:rPr>
          <w:rFonts w:hint="eastAsia" w:ascii="仿宋_GB2312" w:hAnsi="仿宋_GB2312" w:eastAsia="仿宋_GB2312"/>
          <w:sz w:val="32"/>
        </w:rPr>
        <w:t>提出申请，经</w:t>
      </w:r>
      <w:r>
        <w:rPr>
          <w:rFonts w:hint="eastAsia" w:ascii="仿宋_GB2312" w:hAnsi="仿宋_GB2312" w:eastAsia="仿宋_GB2312"/>
          <w:sz w:val="32"/>
          <w:lang w:eastAsia="zh-CN"/>
        </w:rPr>
        <w:t>采购人</w:t>
      </w:r>
      <w:r>
        <w:rPr>
          <w:rFonts w:hint="eastAsia" w:ascii="仿宋_GB2312" w:hAnsi="仿宋_GB2312" w:eastAsia="仿宋_GB2312"/>
          <w:sz w:val="32"/>
        </w:rPr>
        <w:t>书面同意方可调整团队人员，调入人员的资历和从业经验不低于调出人员，否则视为违约行为，</w:t>
      </w:r>
      <w:r>
        <w:rPr>
          <w:rFonts w:hint="eastAsia" w:ascii="仿宋_GB2312" w:hAnsi="仿宋_GB2312" w:eastAsia="仿宋_GB2312"/>
          <w:sz w:val="32"/>
          <w:lang w:eastAsia="zh-CN"/>
        </w:rPr>
        <w:t>采购人</w:t>
      </w:r>
      <w:r>
        <w:rPr>
          <w:rFonts w:hint="eastAsia" w:ascii="仿宋_GB2312" w:hAnsi="仿宋_GB2312" w:eastAsia="仿宋_GB2312"/>
          <w:sz w:val="32"/>
        </w:rPr>
        <w:t>有权终止服务合同。</w:t>
      </w:r>
    </w:p>
    <w:p>
      <w:pPr>
        <w:pageBreakBefore w:val="0"/>
        <w:kinsoku/>
        <w:overflowPunct/>
        <w:topLinePunct w:val="0"/>
        <w:bidi w:val="0"/>
        <w:spacing w:line="560" w:lineRule="exact"/>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w:t>
      </w:r>
      <w:r>
        <w:rPr>
          <w:rFonts w:hint="eastAsia" w:ascii="仿宋_GB2312" w:hAnsi="仿宋_GB2312" w:eastAsia="仿宋_GB2312"/>
          <w:sz w:val="32"/>
          <w:lang w:val="en-US" w:eastAsia="zh-CN"/>
        </w:rPr>
        <w:t>八</w:t>
      </w:r>
      <w:r>
        <w:rPr>
          <w:rFonts w:hint="eastAsia" w:ascii="仿宋_GB2312" w:hAnsi="宋体" w:eastAsia="仿宋_GB2312"/>
          <w:sz w:val="32"/>
          <w:szCs w:val="32"/>
        </w:rPr>
        <w:t>）知识产权归属：</w:t>
      </w:r>
    </w:p>
    <w:p>
      <w:pPr>
        <w:pageBreakBefore w:val="0"/>
        <w:kinsoku/>
        <w:overflowPunct/>
        <w:topLinePunct w:val="0"/>
        <w:bidi w:val="0"/>
        <w:spacing w:line="560" w:lineRule="exact"/>
        <w:ind w:firstLine="640" w:firstLineChars="200"/>
        <w:jc w:val="left"/>
        <w:rPr>
          <w:rFonts w:hint="eastAsia" w:ascii="仿宋_GB2312" w:hAnsi="宋体" w:eastAsia="仿宋_GB2312"/>
          <w:color w:val="auto"/>
          <w:sz w:val="32"/>
          <w:szCs w:val="32"/>
          <w:highlight w:val="none"/>
          <w:lang w:val="en-US" w:eastAsia="zh-CN"/>
        </w:rPr>
      </w:pPr>
      <w:r>
        <w:rPr>
          <w:rFonts w:hint="eastAsia" w:ascii="仿宋_GB2312" w:hAnsi="宋体" w:eastAsia="仿宋_GB2312"/>
          <w:color w:val="auto"/>
          <w:sz w:val="32"/>
          <w:szCs w:val="32"/>
          <w:highlight w:val="none"/>
          <w:lang w:val="en-US" w:eastAsia="zh-CN"/>
        </w:rPr>
        <w:t>1.为履行本项目所规定的内容及义务，投标供应商产出的服务成果知识产权归采购人所有。</w:t>
      </w:r>
    </w:p>
    <w:p>
      <w:pPr>
        <w:widowControl/>
        <w:shd w:val="clear" w:color="auto" w:fill="FFFFFF"/>
        <w:spacing w:after="150" w:line="560" w:lineRule="exact"/>
        <w:ind w:firstLine="640" w:firstLineChars="200"/>
        <w:jc w:val="left"/>
        <w:rPr>
          <w:rFonts w:hint="eastAsia"/>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highlight w:val="none"/>
          <w:lang w:eastAsia="zh-CN"/>
        </w:rPr>
        <w:t>投标供应商</w:t>
      </w:r>
      <w:r>
        <w:rPr>
          <w:rFonts w:hint="eastAsia" w:ascii="仿宋_GB2312" w:hAnsi="仿宋_GB2312" w:eastAsia="仿宋_GB2312" w:cs="仿宋_GB2312"/>
          <w:sz w:val="32"/>
          <w:szCs w:val="32"/>
          <w:highlight w:val="none"/>
        </w:rPr>
        <w:t>应保证本项目的投标技术、服务或其他任何一部分不会产生因第三方提出侵犯其专利权、商标权或其他知识产权而引起的法律或经济纠纷；如因第三方提出其专利权、商标权或其他知识产权的侵权之诉，则一切法律责任由</w:t>
      </w:r>
      <w:r>
        <w:rPr>
          <w:rFonts w:hint="eastAsia" w:ascii="仿宋_GB2312" w:hAnsi="仿宋_GB2312" w:eastAsia="仿宋_GB2312" w:cs="仿宋_GB2312"/>
          <w:sz w:val="32"/>
          <w:szCs w:val="32"/>
          <w:highlight w:val="none"/>
          <w:lang w:eastAsia="zh-CN"/>
        </w:rPr>
        <w:t>投标供应商</w:t>
      </w:r>
      <w:r>
        <w:rPr>
          <w:rFonts w:hint="eastAsia" w:ascii="仿宋_GB2312" w:hAnsi="仿宋_GB2312" w:eastAsia="仿宋_GB2312" w:cs="仿宋_GB2312"/>
          <w:sz w:val="32"/>
          <w:szCs w:val="32"/>
          <w:highlight w:val="none"/>
        </w:rPr>
        <w:t>承担。</w:t>
      </w:r>
    </w:p>
    <w:p>
      <w:pPr>
        <w:spacing w:line="580" w:lineRule="exact"/>
        <w:ind w:firstLine="640" w:firstLineChars="200"/>
        <w:rPr>
          <w:rFonts w:ascii="仿宋_GB2312" w:hAnsi="仿宋_GB2312" w:eastAsia="仿宋_GB2312"/>
          <w:sz w:val="32"/>
        </w:rPr>
      </w:pPr>
      <w:r>
        <w:rPr>
          <w:rFonts w:hint="eastAsia" w:ascii="仿宋_GB2312" w:hAnsi="仿宋_GB2312" w:eastAsia="仿宋_GB2312"/>
          <w:sz w:val="32"/>
        </w:rPr>
        <w:t>（</w:t>
      </w:r>
      <w:r>
        <w:rPr>
          <w:rFonts w:hint="eastAsia" w:ascii="仿宋_GB2312" w:hAnsi="仿宋_GB2312" w:eastAsia="仿宋_GB2312"/>
          <w:sz w:val="32"/>
          <w:lang w:val="en-US" w:eastAsia="zh-CN"/>
        </w:rPr>
        <w:t>九</w:t>
      </w:r>
      <w:r>
        <w:rPr>
          <w:rFonts w:hint="eastAsia" w:ascii="仿宋_GB2312" w:hAnsi="仿宋_GB2312" w:eastAsia="仿宋_GB2312"/>
          <w:sz w:val="32"/>
        </w:rPr>
        <w:t>）违约责任：</w:t>
      </w:r>
    </w:p>
    <w:p>
      <w:pPr>
        <w:widowControl/>
        <w:shd w:val="clear" w:color="auto" w:fill="FFFFFF"/>
        <w:spacing w:after="150"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投标供应商</w:t>
      </w:r>
      <w:r>
        <w:rPr>
          <w:rFonts w:hint="eastAsia" w:ascii="仿宋_GB2312" w:hAnsi="仿宋_GB2312" w:eastAsia="仿宋_GB2312" w:cs="仿宋_GB2312"/>
          <w:sz w:val="32"/>
          <w:szCs w:val="32"/>
          <w:highlight w:val="none"/>
        </w:rPr>
        <w:t>在合同履行过程中，不履行或不按照合同约定适格履行均构成违约，采购人有权解除合同，投标供应商应承担违约责任并赔偿损失；具体违约责任约定详见合同。</w:t>
      </w:r>
    </w:p>
    <w:p>
      <w:pPr>
        <w:spacing w:line="520" w:lineRule="exact"/>
        <w:ind w:firstLine="640" w:firstLineChars="200"/>
        <w:rPr>
          <w:rFonts w:hint="eastAsia" w:ascii="仿宋_GB2312" w:hAnsi="仿宋_GB2312" w:eastAsia="仿宋_GB2312" w:cs="Times New Roman"/>
          <w:sz w:val="32"/>
          <w:highlight w:val="none"/>
        </w:rPr>
      </w:pPr>
      <w:r>
        <w:rPr>
          <w:rFonts w:hint="eastAsia" w:ascii="仿宋_GB2312" w:hAnsi="仿宋_GB2312" w:eastAsia="仿宋_GB2312" w:cs="Times New Roman"/>
          <w:sz w:val="32"/>
          <w:highlight w:val="none"/>
        </w:rPr>
        <w:t>（</w:t>
      </w:r>
      <w:r>
        <w:rPr>
          <w:rFonts w:hint="eastAsia" w:ascii="仿宋_GB2312" w:hAnsi="仿宋_GB2312" w:eastAsia="仿宋_GB2312" w:cs="Times New Roman"/>
          <w:sz w:val="32"/>
          <w:highlight w:val="none"/>
          <w:lang w:val="en-US" w:eastAsia="zh-CN"/>
        </w:rPr>
        <w:t>十</w:t>
      </w:r>
      <w:r>
        <w:rPr>
          <w:rFonts w:hint="eastAsia" w:ascii="仿宋_GB2312" w:hAnsi="仿宋_GB2312" w:eastAsia="仿宋_GB2312" w:cs="Times New Roman"/>
          <w:sz w:val="32"/>
          <w:highlight w:val="none"/>
        </w:rPr>
        <w:t>）争议解决方式和地点：</w:t>
      </w:r>
    </w:p>
    <w:p>
      <w:pPr>
        <w:spacing w:line="520" w:lineRule="exact"/>
        <w:ind w:firstLine="640" w:firstLineChars="200"/>
        <w:rPr>
          <w:rFonts w:ascii="楷体_GB2312" w:hAnsi="楷体_GB2312" w:eastAsia="楷体_GB2312" w:cs="楷体_GB2312"/>
          <w:sz w:val="32"/>
        </w:rPr>
      </w:pPr>
      <w:r>
        <w:rPr>
          <w:rFonts w:hint="eastAsia" w:ascii="仿宋_GB2312" w:hAnsi="仿宋_GB2312" w:eastAsia="仿宋_GB2312"/>
          <w:sz w:val="32"/>
        </w:rPr>
        <w:t>采购人和</w:t>
      </w:r>
      <w:r>
        <w:rPr>
          <w:rFonts w:hint="eastAsia" w:ascii="仿宋_GB2312" w:hAnsi="仿宋_GB2312" w:eastAsia="仿宋_GB2312"/>
          <w:sz w:val="32"/>
          <w:lang w:val="en-US" w:eastAsia="zh-CN"/>
        </w:rPr>
        <w:t>投标</w:t>
      </w:r>
      <w:r>
        <w:rPr>
          <w:rFonts w:hint="eastAsia" w:ascii="仿宋_GB2312" w:hAnsi="宋体" w:eastAsia="仿宋_GB2312"/>
          <w:sz w:val="32"/>
          <w:szCs w:val="32"/>
        </w:rPr>
        <w:t>供应商</w:t>
      </w:r>
      <w:r>
        <w:rPr>
          <w:rFonts w:hint="eastAsia" w:ascii="仿宋_GB2312" w:hAnsi="仿宋_GB2312" w:eastAsia="仿宋_GB2312"/>
          <w:sz w:val="32"/>
        </w:rPr>
        <w:t>因合同履行发生争议，应当友好协商解决；如协商不成，任何一方均有权将争议向</w:t>
      </w:r>
      <w:r>
        <w:rPr>
          <w:rFonts w:hint="eastAsia" w:ascii="仿宋_GB2312" w:hAnsi="仿宋_GB2312" w:eastAsia="仿宋_GB2312"/>
          <w:sz w:val="32"/>
          <w:lang w:eastAsia="zh-CN"/>
        </w:rPr>
        <w:t>采购人</w:t>
      </w:r>
      <w:r>
        <w:rPr>
          <w:rFonts w:hint="eastAsia" w:ascii="仿宋_GB2312" w:hAnsi="仿宋_GB2312" w:eastAsia="仿宋_GB2312"/>
          <w:sz w:val="32"/>
        </w:rPr>
        <w:t>所在地有管辖权的人民法院起诉。</w:t>
      </w:r>
    </w:p>
    <w:p>
      <w:pPr>
        <w:widowControl/>
        <w:spacing w:line="560" w:lineRule="exact"/>
        <w:ind w:firstLine="640" w:firstLineChars="200"/>
        <w:jc w:val="left"/>
        <w:rPr>
          <w:rFonts w:hint="eastAsia" w:ascii="仿宋_GB2312" w:hAnsi="仿宋_GB2312" w:eastAsia="仿宋_GB2312" w:cs="Times New Roman"/>
          <w:sz w:val="32"/>
          <w:highlight w:val="none"/>
        </w:rPr>
      </w:pPr>
      <w:r>
        <w:rPr>
          <w:rFonts w:hint="eastAsia" w:ascii="仿宋_GB2312" w:hAnsi="仿宋_GB2312" w:eastAsia="仿宋_GB2312" w:cs="Times New Roman"/>
          <w:sz w:val="32"/>
          <w:highlight w:val="none"/>
        </w:rPr>
        <w:t>（</w:t>
      </w:r>
      <w:r>
        <w:rPr>
          <w:rFonts w:hint="eastAsia" w:ascii="仿宋_GB2312" w:hAnsi="仿宋_GB2312" w:eastAsia="仿宋_GB2312" w:cs="Times New Roman"/>
          <w:sz w:val="32"/>
          <w:highlight w:val="none"/>
          <w:lang w:val="en-US" w:eastAsia="zh-CN"/>
        </w:rPr>
        <w:t>十一</w:t>
      </w:r>
      <w:r>
        <w:rPr>
          <w:rFonts w:hint="eastAsia" w:ascii="仿宋_GB2312" w:hAnsi="仿宋_GB2312" w:eastAsia="仿宋_GB2312" w:cs="Times New Roman"/>
          <w:sz w:val="32"/>
          <w:highlight w:val="none"/>
        </w:rPr>
        <w:t>）保密要求：</w:t>
      </w:r>
    </w:p>
    <w:p>
      <w:pPr>
        <w:widowControl/>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sz w:val="32"/>
          <w:lang w:eastAsia="zh-CN"/>
        </w:rPr>
        <w:t>投标供应商</w:t>
      </w:r>
      <w:r>
        <w:rPr>
          <w:rFonts w:hint="eastAsia" w:ascii="仿宋_GB2312" w:hAnsi="仿宋_GB2312" w:eastAsia="仿宋_GB2312"/>
          <w:sz w:val="32"/>
        </w:rPr>
        <w:t>有为</w:t>
      </w:r>
      <w:r>
        <w:rPr>
          <w:rFonts w:hint="eastAsia" w:ascii="仿宋_GB2312" w:hAnsi="仿宋_GB2312" w:eastAsia="仿宋_GB2312"/>
          <w:sz w:val="32"/>
          <w:lang w:val="en-US" w:eastAsia="zh-CN"/>
        </w:rPr>
        <w:t>采购人</w:t>
      </w:r>
      <w:r>
        <w:rPr>
          <w:rFonts w:hint="eastAsia" w:ascii="仿宋_GB2312" w:hAnsi="仿宋_GB2312" w:eastAsia="仿宋_GB2312"/>
          <w:sz w:val="32"/>
        </w:rPr>
        <w:t>保守本项目秘密的义务，</w:t>
      </w:r>
      <w:r>
        <w:rPr>
          <w:rFonts w:hint="eastAsia" w:ascii="仿宋_GB2312" w:hAnsi="仿宋_GB2312" w:eastAsia="仿宋_GB2312"/>
          <w:sz w:val="32"/>
          <w:lang w:eastAsia="zh-CN"/>
        </w:rPr>
        <w:t>投标供应商</w:t>
      </w:r>
      <w:r>
        <w:rPr>
          <w:rFonts w:hint="eastAsia" w:ascii="仿宋_GB2312" w:hAnsi="仿宋_GB2312" w:eastAsia="仿宋_GB2312"/>
          <w:sz w:val="32"/>
        </w:rPr>
        <w:t>应对本项目的内容、因履行本项目或在本项目期间获得的或收到的采购人的商务、财务、技术、产品的信息、用户资料或其他标明保密的文件或信息的内容(简称“保密资料”)保守秘密，未经采购人书面事先同意，不得向本项目以外的任何第三方披露。</w:t>
      </w:r>
    </w:p>
    <w:p>
      <w:pPr>
        <w:spacing w:line="580" w:lineRule="exact"/>
        <w:ind w:firstLine="642" w:firstLineChars="200"/>
        <w:jc w:val="both"/>
        <w:rPr>
          <w:rFonts w:hint="eastAsia" w:ascii="仿宋_GB2312" w:hAnsi="仿宋" w:eastAsia="仿宋_GB2312" w:cs="仿宋"/>
          <w:b/>
          <w:bCs w:val="0"/>
          <w:sz w:val="32"/>
          <w:szCs w:val="32"/>
          <w:lang w:val="en-US" w:eastAsia="zh-CN"/>
        </w:rPr>
      </w:pPr>
      <w:r>
        <w:rPr>
          <w:rFonts w:hint="eastAsia" w:ascii="仿宋_GB2312" w:hAnsi="仿宋_GB2312" w:eastAsia="仿宋_GB2312"/>
          <w:b/>
          <w:bCs/>
          <w:sz w:val="32"/>
          <w:lang w:eastAsia="zh-CN"/>
        </w:rPr>
        <w:t>（</w:t>
      </w:r>
      <w:r>
        <w:rPr>
          <w:rFonts w:hint="eastAsia" w:ascii="仿宋_GB2312" w:hAnsi="仿宋_GB2312" w:eastAsia="仿宋_GB2312"/>
          <w:b/>
          <w:bCs/>
          <w:sz w:val="32"/>
          <w:lang w:val="en-US" w:eastAsia="zh-CN"/>
        </w:rPr>
        <w:t>十二</w:t>
      </w:r>
      <w:r>
        <w:rPr>
          <w:rFonts w:hint="eastAsia" w:ascii="仿宋_GB2312" w:hAnsi="仿宋_GB2312" w:eastAsia="仿宋_GB2312"/>
          <w:b/>
          <w:bCs/>
          <w:sz w:val="32"/>
          <w:lang w:eastAsia="zh-CN"/>
        </w:rPr>
        <w:t>）本国产品要求。本国产品标准适用于货物，包括政府采购货物项目和服务项目中涉及的货物</w:t>
      </w:r>
      <w:r>
        <w:rPr>
          <w:rFonts w:hint="eastAsia" w:ascii="仿宋_GB2312" w:hAnsi="仿宋_GB2312" w:eastAsia="仿宋_GB2312"/>
          <w:sz w:val="32"/>
          <w:lang w:eastAsia="zh-CN"/>
        </w:rPr>
        <w:t>，相关要求如下：</w:t>
      </w:r>
    </w:p>
    <w:p>
      <w:pPr>
        <w:spacing w:line="580" w:lineRule="exact"/>
        <w:ind w:firstLine="640" w:firstLineChars="20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1.采购活动中既有本国产品又有非本国产品参与本项目竞争的，依法对符合本国产品标准的产品给予20%的价格扣除，用扣除后的价格参与评审</w:t>
      </w:r>
      <w:r>
        <w:rPr>
          <w:rFonts w:hint="eastAsia" w:ascii="仿宋_GB2312" w:hAnsi="仿宋_GB2312" w:eastAsia="仿宋_GB2312" w:cs="仿宋_GB2312"/>
          <w:sz w:val="32"/>
          <w:szCs w:val="32"/>
          <w:lang w:val="en-US" w:eastAsia="zh-CN"/>
        </w:rPr>
        <w:t>。</w:t>
      </w:r>
    </w:p>
    <w:p>
      <w:pPr>
        <w:spacing w:line="58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2.当采购项目或者采购包中含有多种产品，供应商为该采购项目或者采购包提供的符合本国产品标准的产品成本之和占该供应商提供的全部产品成本之和的比例达到80%以上时，依法对该供应商提供的全部产品给予20%的价格扣除，</w:t>
      </w:r>
      <w:r>
        <w:rPr>
          <w:rFonts w:hint="eastAsia" w:ascii="仿宋_GB2312" w:hAnsi="仿宋_GB2312" w:eastAsia="仿宋_GB2312" w:cs="仿宋_GB2312"/>
          <w:sz w:val="32"/>
          <w:szCs w:val="32"/>
          <w:lang w:val="en-US" w:eastAsia="zh-CN"/>
        </w:rPr>
        <w:t>用扣除后的价格参与评审。</w:t>
      </w:r>
    </w:p>
    <w:p>
      <w:pPr>
        <w:spacing w:line="58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3.根据《国务院办公厅关于在政府采购中实施本国产品标准及相关政策的通知》（国办发〔2025〕34号）的规定，供应商若提供的产品符合通知要求，请</w:t>
      </w:r>
      <w:r>
        <w:rPr>
          <w:rFonts w:hint="eastAsia" w:ascii="仿宋_GB2312" w:hAnsi="仿宋_GB2312" w:eastAsia="仿宋_GB2312" w:cs="仿宋_GB2312"/>
          <w:sz w:val="32"/>
          <w:szCs w:val="32"/>
          <w:lang w:val="en-US" w:eastAsia="zh-CN"/>
        </w:rPr>
        <w:t>出具完整性、准确性</w:t>
      </w:r>
      <w:r>
        <w:rPr>
          <w:rFonts w:hint="eastAsia" w:ascii="仿宋_GB2312" w:hAnsi="仿宋_GB2312" w:eastAsia="仿宋_GB2312" w:cs="仿宋_GB2312"/>
          <w:b/>
          <w:bCs/>
          <w:sz w:val="32"/>
          <w:szCs w:val="32"/>
          <w:lang w:val="en-US" w:eastAsia="zh-CN"/>
        </w:rPr>
        <w:t>《关于符合本国产品标准的声明函》</w:t>
      </w:r>
      <w:r>
        <w:rPr>
          <w:rFonts w:hint="eastAsia" w:ascii="仿宋_GB2312" w:hAnsi="仿宋_GB2312" w:eastAsia="仿宋_GB2312" w:cs="仿宋_GB2312"/>
          <w:sz w:val="32"/>
          <w:szCs w:val="32"/>
          <w:lang w:val="en-US" w:eastAsia="zh-CN"/>
        </w:rPr>
        <w:t>（简称《声明函》见附件）。</w:t>
      </w:r>
    </w:p>
    <w:p>
      <w:pPr>
        <w:spacing w:line="580" w:lineRule="exact"/>
        <w:ind w:firstLine="640" w:firstLineChars="200"/>
        <w:jc w:val="both"/>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声明函》内容含义不明确、同类事项与投标（响应）文件表述不一致或者有明显文字错误等情况的，供应商应当以书面形式作出必要的澄清、说明或者补正。经澄清、说明或者补正仍不符合要求的，供应商提供的相关产品视为不符合本国产品标准。</w:t>
      </w:r>
    </w:p>
    <w:p>
      <w:pPr>
        <w:spacing w:line="580" w:lineRule="exact"/>
        <w:ind w:firstLine="640" w:firstLineChars="200"/>
        <w:jc w:val="both"/>
        <w:rPr>
          <w:rFonts w:hint="eastAsia" w:ascii="仿宋_GB2312" w:hAnsi="仿宋_GB2312" w:eastAsia="仿宋_GB2312"/>
          <w:sz w:val="32"/>
          <w:lang w:eastAsia="zh-CN"/>
        </w:rPr>
      </w:pPr>
      <w:r>
        <w:rPr>
          <w:rFonts w:hint="eastAsia" w:ascii="仿宋_GB2312" w:hAnsi="仿宋_GB2312" w:eastAsia="仿宋_GB2312"/>
          <w:sz w:val="32"/>
        </w:rPr>
        <w:t>（</w:t>
      </w:r>
      <w:r>
        <w:rPr>
          <w:rFonts w:hint="eastAsia" w:ascii="仿宋_GB2312" w:hAnsi="仿宋_GB2312" w:eastAsia="仿宋_GB2312"/>
          <w:sz w:val="32"/>
          <w:lang w:val="en-US" w:eastAsia="zh-CN"/>
        </w:rPr>
        <w:t>十三</w:t>
      </w:r>
      <w:r>
        <w:rPr>
          <w:rFonts w:hint="eastAsia" w:ascii="仿宋_GB2312" w:hAnsi="仿宋_GB2312" w:eastAsia="仿宋_GB2312"/>
          <w:sz w:val="32"/>
        </w:rPr>
        <w:t>）其他：</w:t>
      </w:r>
    </w:p>
    <w:p>
      <w:pPr>
        <w:widowControl/>
        <w:shd w:val="clear" w:color="auto" w:fill="FFFFFF"/>
        <w:spacing w:after="150" w:line="560" w:lineRule="exact"/>
        <w:ind w:firstLine="640"/>
        <w:jc w:val="both"/>
        <w:rPr>
          <w:color w:val="auto"/>
          <w:highlight w:val="none"/>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投标</w:t>
      </w:r>
      <w:r>
        <w:rPr>
          <w:rFonts w:hint="eastAsia" w:ascii="仿宋_GB2312" w:hAnsi="仿宋_GB2312" w:eastAsia="仿宋_GB2312" w:cs="仿宋_GB2312"/>
          <w:color w:val="auto"/>
          <w:sz w:val="32"/>
          <w:szCs w:val="32"/>
          <w:highlight w:val="none"/>
        </w:rPr>
        <w:t>供应商须提供纸质投标文件和纸质投标文件的电子版等投标资料。</w:t>
      </w:r>
    </w:p>
    <w:p>
      <w:pPr>
        <w:ind w:firstLine="640" w:firstLineChars="200"/>
        <w:jc w:val="both"/>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lang w:val="en-US" w:eastAsia="zh-CN"/>
        </w:rPr>
        <w:t>2.</w:t>
      </w:r>
      <w:r>
        <w:rPr>
          <w:rFonts w:hint="eastAsia" w:ascii="仿宋_GB2312" w:hAnsi="宋体" w:eastAsia="仿宋_GB2312"/>
          <w:color w:val="auto"/>
          <w:sz w:val="32"/>
          <w:szCs w:val="32"/>
          <w:highlight w:val="none"/>
        </w:rPr>
        <w:t>投标</w:t>
      </w:r>
      <w:r>
        <w:rPr>
          <w:rFonts w:hint="eastAsia" w:ascii="仿宋_GB2312" w:hAnsi="宋体" w:eastAsia="仿宋_GB2312"/>
          <w:color w:val="auto"/>
          <w:sz w:val="32"/>
          <w:szCs w:val="32"/>
          <w:highlight w:val="none"/>
          <w:lang w:eastAsia="zh-CN"/>
        </w:rPr>
        <w:t>供应商</w:t>
      </w:r>
      <w:r>
        <w:rPr>
          <w:rFonts w:hint="eastAsia" w:ascii="仿宋_GB2312" w:hAnsi="宋体" w:eastAsia="仿宋_GB2312"/>
          <w:color w:val="auto"/>
          <w:sz w:val="32"/>
          <w:szCs w:val="32"/>
          <w:highlight w:val="none"/>
        </w:rPr>
        <w:t>须提交《政府采购违法行为风险知悉确认书》（附件</w:t>
      </w:r>
      <w:r>
        <w:rPr>
          <w:rFonts w:hint="eastAsia" w:ascii="仿宋_GB2312" w:hAnsi="宋体" w:eastAsia="仿宋_GB2312"/>
          <w:color w:val="auto"/>
          <w:sz w:val="32"/>
          <w:szCs w:val="32"/>
          <w:highlight w:val="none"/>
          <w:lang w:val="en-US" w:eastAsia="zh-CN"/>
        </w:rPr>
        <w:t>2</w:t>
      </w:r>
      <w:r>
        <w:rPr>
          <w:rFonts w:hint="eastAsia" w:ascii="仿宋_GB2312" w:hAnsi="宋体" w:eastAsia="仿宋_GB2312"/>
          <w:color w:val="auto"/>
          <w:sz w:val="32"/>
          <w:szCs w:val="32"/>
          <w:highlight w:val="none"/>
        </w:rPr>
        <w:t>），由负责人或投标授权代表签字并加盖单位公章。</w:t>
      </w:r>
    </w:p>
    <w:p>
      <w:pPr>
        <w:pStyle w:val="14"/>
        <w:ind w:left="0" w:leftChars="0" w:firstLine="640" w:firstLineChars="200"/>
        <w:jc w:val="both"/>
        <w:rPr>
          <w:rFonts w:hint="eastAsia" w:ascii="仿宋_GB2312" w:hAnsi="宋体" w:eastAsia="仿宋_GB2312" w:cs="Times New Roman"/>
          <w:color w:val="auto"/>
          <w:kern w:val="2"/>
          <w:sz w:val="32"/>
          <w:szCs w:val="32"/>
          <w:highlight w:val="none"/>
          <w:lang w:val="en-US" w:eastAsia="zh-CN" w:bidi="ar-SA"/>
        </w:rPr>
      </w:pPr>
      <w:r>
        <w:rPr>
          <w:rFonts w:hint="eastAsia" w:ascii="仿宋_GB2312" w:hAnsi="宋体" w:eastAsia="仿宋_GB2312" w:cs="Times New Roman"/>
          <w:color w:val="auto"/>
          <w:kern w:val="2"/>
          <w:sz w:val="32"/>
          <w:szCs w:val="32"/>
          <w:highlight w:val="none"/>
          <w:lang w:val="en-US" w:eastAsia="zh-CN" w:bidi="ar-SA"/>
        </w:rPr>
        <w:t>3.投标供应商须提交加盖公章的《供应商基本情况表》（附件3）。</w:t>
      </w:r>
    </w:p>
    <w:p>
      <w:pPr>
        <w:ind w:firstLine="640" w:firstLineChars="200"/>
      </w:pPr>
      <w:r>
        <w:rPr>
          <w:rFonts w:hint="eastAsia" w:ascii="仿宋_GB2312" w:hAnsi="仿宋_GB2312" w:eastAsia="仿宋_GB2312"/>
          <w:sz w:val="32"/>
          <w:lang w:val="en-US" w:eastAsia="zh-CN"/>
        </w:rPr>
        <w:t>4.参与深圳市政府采购活动的供应商可凭借所获取的深圳市政府采购中标（成交）通知书和采购合同，向参与订单融资业务的金融机构提出融资申请，金融机构以各自信贷政策为基础，为中标（成交）供应商提供融资授信，详情可登录深圳要素交易金融服务平台（网址：https://finance.szexgrp.com/gtm/web/guarantee/#/）。</w:t>
      </w:r>
    </w:p>
    <w:p>
      <w:pPr>
        <w:spacing w:line="580" w:lineRule="exact"/>
        <w:ind w:firstLine="645"/>
        <w:rPr>
          <w:rFonts w:hint="eastAsia" w:ascii="仿宋_GB2312" w:hAnsi="仿宋" w:eastAsia="仿宋_GB2312" w:cs="仿宋"/>
          <w:bCs/>
          <w:sz w:val="32"/>
          <w:szCs w:val="32"/>
          <w:lang w:eastAsia="zh-CN"/>
        </w:rPr>
      </w:pPr>
      <w:r>
        <w:rPr>
          <w:rFonts w:hint="eastAsia" w:ascii="仿宋_GB2312" w:hAnsi="仿宋" w:eastAsia="仿宋_GB2312" w:cs="仿宋"/>
          <w:bCs/>
          <w:sz w:val="32"/>
          <w:szCs w:val="32"/>
        </w:rPr>
        <w:t>附件</w:t>
      </w:r>
      <w:r>
        <w:rPr>
          <w:rFonts w:ascii="仿宋_GB2312" w:hAnsi="仿宋" w:eastAsia="仿宋_GB2312" w:cs="仿宋"/>
          <w:bCs/>
          <w:sz w:val="32"/>
          <w:szCs w:val="32"/>
        </w:rPr>
        <w:t>：1.</w:t>
      </w:r>
      <w:r>
        <w:rPr>
          <w:rFonts w:hint="eastAsia" w:ascii="仿宋_GB2312" w:hAnsi="仿宋" w:eastAsia="仿宋_GB2312" w:cs="仿宋"/>
          <w:bCs/>
          <w:sz w:val="32"/>
          <w:szCs w:val="32"/>
          <w:lang w:val="en-US" w:eastAsia="zh-CN"/>
        </w:rPr>
        <w:t>政府采购违法行为风险知悉确认书</w:t>
      </w:r>
    </w:p>
    <w:p>
      <w:pPr>
        <w:spacing w:line="580" w:lineRule="exact"/>
        <w:ind w:firstLine="1600" w:firstLineChars="500"/>
        <w:rPr>
          <w:rFonts w:hint="eastAsia" w:ascii="仿宋_GB2312" w:hAnsi="仿宋" w:eastAsia="仿宋_GB2312" w:cs="仿宋"/>
          <w:bCs/>
          <w:sz w:val="32"/>
          <w:szCs w:val="32"/>
        </w:rPr>
      </w:pPr>
      <w:r>
        <w:rPr>
          <w:rFonts w:hint="eastAsia" w:ascii="仿宋_GB2312" w:hAnsi="仿宋" w:eastAsia="仿宋_GB2312" w:cs="仿宋"/>
          <w:bCs/>
          <w:sz w:val="32"/>
          <w:szCs w:val="32"/>
          <w:lang w:val="en-US" w:eastAsia="zh-CN"/>
        </w:rPr>
        <w:t>2.</w:t>
      </w:r>
      <w:r>
        <w:rPr>
          <w:rFonts w:hint="eastAsia" w:ascii="仿宋_GB2312" w:hAnsi="宋体" w:eastAsia="仿宋_GB2312"/>
          <w:color w:val="auto"/>
          <w:sz w:val="32"/>
          <w:szCs w:val="32"/>
          <w:highlight w:val="none"/>
        </w:rPr>
        <w:t>供应商基本情况表</w:t>
      </w:r>
    </w:p>
    <w:p>
      <w:pPr>
        <w:spacing w:line="580" w:lineRule="exact"/>
        <w:ind w:firstLine="1600" w:firstLineChars="500"/>
        <w:rPr>
          <w:rFonts w:hint="default" w:ascii="仿宋_GB2312" w:hAnsi="仿宋" w:eastAsia="仿宋_GB2312" w:cs="仿宋"/>
          <w:bCs/>
          <w:sz w:val="32"/>
          <w:szCs w:val="32"/>
          <w:lang w:val="en-US" w:eastAsia="zh-CN"/>
        </w:rPr>
      </w:pPr>
      <w:r>
        <w:rPr>
          <w:rFonts w:hint="eastAsia" w:ascii="仿宋_GB2312" w:hAnsi="仿宋" w:eastAsia="仿宋_GB2312" w:cs="仿宋"/>
          <w:bCs/>
          <w:sz w:val="32"/>
          <w:szCs w:val="32"/>
          <w:lang w:val="en-US" w:eastAsia="zh-CN"/>
        </w:rPr>
        <w:t>3.</w:t>
      </w:r>
      <w:r>
        <w:rPr>
          <w:rFonts w:ascii="仿宋_GB2312" w:hAnsi="仿宋" w:eastAsia="仿宋_GB2312" w:cs="仿宋"/>
          <w:bCs/>
          <w:sz w:val="32"/>
          <w:szCs w:val="32"/>
        </w:rPr>
        <w:t>偏离表</w:t>
      </w:r>
    </w:p>
    <w:p>
      <w:pPr>
        <w:spacing w:line="580" w:lineRule="exact"/>
        <w:ind w:firstLine="1600" w:firstLineChars="500"/>
        <w:rPr>
          <w:rFonts w:hint="eastAsia" w:ascii="仿宋_GB2312" w:hAnsi="仿宋" w:eastAsia="仿宋_GB2312" w:cs="仿宋"/>
          <w:bCs/>
          <w:sz w:val="32"/>
          <w:szCs w:val="32"/>
          <w:lang w:val="en-US" w:eastAsia="zh-CN"/>
        </w:rPr>
      </w:pPr>
      <w:r>
        <w:rPr>
          <w:rFonts w:hint="eastAsia" w:ascii="仿宋_GB2312" w:hAnsi="仿宋" w:eastAsia="仿宋_GB2312" w:cs="仿宋"/>
          <w:bCs/>
          <w:sz w:val="32"/>
          <w:szCs w:val="32"/>
          <w:lang w:val="en-US" w:eastAsia="zh-CN"/>
        </w:rPr>
        <w:t>4.关于符合本国产品标准的声明函</w:t>
      </w:r>
    </w:p>
    <w:p>
      <w:pPr>
        <w:spacing w:line="580" w:lineRule="exact"/>
        <w:ind w:firstLine="1600" w:firstLineChars="500"/>
        <w:rPr>
          <w:rFonts w:hint="eastAsia" w:ascii="仿宋_GB2312" w:hAnsi="仿宋" w:eastAsia="仿宋_GB2312" w:cs="仿宋"/>
          <w:bCs/>
          <w:sz w:val="32"/>
          <w:szCs w:val="32"/>
          <w:lang w:val="en-US" w:eastAsia="zh-CN"/>
        </w:rPr>
      </w:pPr>
    </w:p>
    <w:p>
      <w:pPr>
        <w:autoSpaceDE w:val="0"/>
        <w:autoSpaceDN w:val="0"/>
        <w:adjustRightInd w:val="0"/>
        <w:spacing w:line="520" w:lineRule="exact"/>
        <w:jc w:val="center"/>
        <w:rPr>
          <w:rFonts w:ascii="方正小标宋_GBK" w:hAnsi="方正小标宋_GBK" w:eastAsia="方正小标宋_GBK" w:cs="方正小标宋_GBK"/>
          <w:color w:val="auto"/>
          <w:kern w:val="0"/>
          <w:sz w:val="44"/>
          <w:szCs w:val="44"/>
          <w:highlight w:val="none"/>
        </w:rPr>
      </w:pPr>
    </w:p>
    <w:p>
      <w:pPr>
        <w:rPr>
          <w:rFonts w:hint="eastAsia" w:ascii="方正小标宋_GBK" w:hAnsi="方正小标宋_GBK" w:eastAsia="方正小标宋_GBK" w:cs="方正小标宋_GBK"/>
          <w:color w:val="auto"/>
          <w:kern w:val="0"/>
          <w:sz w:val="44"/>
          <w:szCs w:val="44"/>
          <w:highlight w:val="none"/>
        </w:rPr>
      </w:pPr>
    </w:p>
    <w:p>
      <w:pPr>
        <w:rPr>
          <w:rFonts w:hint="eastAsia" w:ascii="仿宋_GB2312" w:hAnsi="仿宋" w:eastAsia="仿宋_GB2312" w:cs="仿宋"/>
          <w:bCs/>
          <w:sz w:val="32"/>
          <w:szCs w:val="32"/>
        </w:rPr>
      </w:pPr>
      <w:r>
        <w:rPr>
          <w:rFonts w:hint="eastAsia" w:ascii="仿宋_GB2312" w:hAnsi="仿宋" w:eastAsia="仿宋_GB2312" w:cs="仿宋"/>
          <w:bCs/>
          <w:sz w:val="32"/>
          <w:szCs w:val="32"/>
        </w:rPr>
        <w:br w:type="page"/>
      </w:r>
    </w:p>
    <w:p>
      <w:pPr>
        <w:spacing w:line="580" w:lineRule="exact"/>
        <w:rPr>
          <w:rFonts w:hint="eastAsia" w:ascii="仿宋_GB2312" w:hAnsi="仿宋" w:eastAsia="仿宋_GB2312" w:cs="仿宋"/>
          <w:bCs/>
          <w:sz w:val="32"/>
          <w:szCs w:val="32"/>
          <w:lang w:val="en-US" w:eastAsia="zh-CN"/>
        </w:rPr>
      </w:pPr>
      <w:r>
        <w:rPr>
          <w:rFonts w:hint="eastAsia" w:ascii="仿宋_GB2312" w:hAnsi="仿宋" w:eastAsia="仿宋_GB2312" w:cs="仿宋"/>
          <w:bCs/>
          <w:sz w:val="32"/>
          <w:szCs w:val="32"/>
        </w:rPr>
        <w:t>附件</w:t>
      </w:r>
      <w:r>
        <w:rPr>
          <w:rFonts w:hint="eastAsia" w:ascii="仿宋_GB2312" w:hAnsi="仿宋" w:eastAsia="仿宋_GB2312" w:cs="仿宋"/>
          <w:bCs/>
          <w:sz w:val="32"/>
          <w:szCs w:val="32"/>
          <w:lang w:val="en-US" w:eastAsia="zh-CN"/>
        </w:rPr>
        <w:t>1</w:t>
      </w:r>
    </w:p>
    <w:p>
      <w:pPr>
        <w:spacing w:line="580" w:lineRule="exact"/>
        <w:rPr>
          <w:rFonts w:hint="eastAsia" w:ascii="仿宋_GB2312" w:hAnsi="仿宋" w:eastAsia="仿宋_GB2312" w:cs="仿宋"/>
          <w:bCs/>
          <w:sz w:val="32"/>
          <w:szCs w:val="32"/>
          <w:lang w:val="en-US" w:eastAsia="zh-CN"/>
        </w:rPr>
      </w:pPr>
    </w:p>
    <w:p>
      <w:pPr>
        <w:autoSpaceDE w:val="0"/>
        <w:autoSpaceDN w:val="0"/>
        <w:adjustRightInd w:val="0"/>
        <w:spacing w:line="520" w:lineRule="exact"/>
        <w:jc w:val="center"/>
        <w:rPr>
          <w:rFonts w:ascii="方正小标宋_GBK" w:hAnsi="方正小标宋_GBK" w:eastAsia="方正小标宋_GBK" w:cs="方正小标宋_GBK"/>
          <w:color w:val="auto"/>
          <w:kern w:val="0"/>
          <w:sz w:val="44"/>
          <w:szCs w:val="44"/>
          <w:highlight w:val="none"/>
        </w:rPr>
      </w:pPr>
      <w:r>
        <w:rPr>
          <w:rFonts w:hint="eastAsia" w:ascii="方正小标宋_GBK" w:hAnsi="方正小标宋_GBK" w:eastAsia="方正小标宋_GBK" w:cs="方正小标宋_GBK"/>
          <w:color w:val="auto"/>
          <w:kern w:val="0"/>
          <w:sz w:val="44"/>
          <w:szCs w:val="44"/>
          <w:highlight w:val="none"/>
        </w:rPr>
        <w:t>政府采购违法行为风险知悉确认书</w:t>
      </w:r>
    </w:p>
    <w:p>
      <w:pPr>
        <w:spacing w:line="520" w:lineRule="exact"/>
        <w:ind w:firstLine="560" w:firstLineChars="200"/>
        <w:rPr>
          <w:rFonts w:ascii="仿宋_GB2312" w:hAnsi="仿宋_GB2312" w:eastAsia="仿宋_GB2312" w:cs="仿宋_GB2312"/>
          <w:color w:val="auto"/>
          <w:sz w:val="28"/>
          <w:szCs w:val="28"/>
          <w:highlight w:val="none"/>
        </w:rPr>
      </w:pPr>
    </w:p>
    <w:p>
      <w:pPr>
        <w:spacing w:line="520" w:lineRule="exact"/>
        <w:ind w:firstLine="560" w:firstLineChars="200"/>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sz w:val="28"/>
          <w:szCs w:val="28"/>
          <w:highlight w:val="none"/>
        </w:rPr>
        <w:t>本公司在投标前已充分知悉以下情形为参与政府采购活动时的重大风险事项，并承诺已对下述风险提示事项重点排查，做到严谨、诚信、依法依规参与政府采购活动。</w:t>
      </w:r>
    </w:p>
    <w:p>
      <w:pPr>
        <w:spacing w:line="520" w:lineRule="exact"/>
        <w:ind w:firstLine="562"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一、本公司已充分知悉“隐瞒真实情况，提供虚假资料”的法定情形，相关情形包括但不限于</w:t>
      </w:r>
      <w:r>
        <w:rPr>
          <w:rFonts w:hint="eastAsia" w:ascii="仿宋_GB2312" w:hAnsi="仿宋_GB2312" w:eastAsia="仿宋_GB2312" w:cs="仿宋_GB2312"/>
          <w:color w:val="auto"/>
          <w:sz w:val="28"/>
          <w:szCs w:val="28"/>
          <w:highlight w:val="none"/>
        </w:rPr>
        <w:t>：</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（一）通过转让或者租借等方式从其他单位获取资格或者资质证书投标的。</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（二）由其他单位或者其他单位负责人在投标供应商编制的投标文件上加盖印章或者签字的。</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（三）项目负责人或者主要技术人员不是本单位人员的。</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（四）投标保证金不是从投标供应商基本账户转出的。</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（五）其他隐瞒真实情况、提供虚假资料的行为。</w:t>
      </w:r>
    </w:p>
    <w:p>
      <w:pPr>
        <w:spacing w:line="520" w:lineRule="exact"/>
        <w:ind w:firstLine="562"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二、本公司已充分知悉“与其他采购参加人串通投标”的法定情形，相关情形包括但不限于：</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（一）投标供应商之间相互约定给予未中标的供应商利益补偿。 </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（二）不同投标供应商的法定代表人、主要经营负责人、项目投标授权代表人、项目负责人、主要技术人员为同一人、属同一单位或者在同一单位缴纳社会保险。</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（三）不同投标供应商的投标文件由同一单位或者同一人编制，或者由同一人分阶段参与编制的。</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（四）不同投标供应商的投标文件或部分投标文件相互混装。</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（五）不同投标供应商的投标文件内容存在非正常一致。</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（六）由同一单位工作人员为两家以上（含两家）供应商进行同一项投标活动的。</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（七）不同投标供应商的投标报价呈规律性差异。</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（八）不同投标供应商的投标保证金从同一单位或者个人的账户转出。</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（九）主管部门依照法律、法规认定的其他情形。</w:t>
      </w:r>
    </w:p>
    <w:p>
      <w:pPr>
        <w:spacing w:line="520" w:lineRule="exact"/>
        <w:ind w:firstLine="562" w:firstLineChars="200"/>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三、本公司已充分知悉下列情形所对应的法律风险，并在投标前已对相关风险事项进行排查。</w:t>
      </w:r>
    </w:p>
    <w:p>
      <w:pPr>
        <w:spacing w:line="520" w:lineRule="exact"/>
        <w:ind w:firstLine="560" w:firstLineChars="200"/>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color w:val="auto"/>
          <w:sz w:val="28"/>
          <w:szCs w:val="28"/>
          <w:highlight w:val="none"/>
        </w:rPr>
        <w:t>（一）对于从其他主体获取的投标资料，供应商应审慎核查，确保投标资料的真实性。</w:t>
      </w:r>
      <w:r>
        <w:rPr>
          <w:rFonts w:hint="eastAsia" w:ascii="仿宋_GB2312" w:hAnsi="仿宋_GB2312" w:eastAsia="仿宋_GB2312" w:cs="仿宋_GB2312"/>
          <w:b/>
          <w:bCs/>
          <w:color w:val="auto"/>
          <w:sz w:val="28"/>
          <w:szCs w:val="28"/>
          <w:highlight w:val="none"/>
        </w:rPr>
        <w:t>如主管部门查实投标文件中存在虚假资料的，无论相关资料是否由第三方或本公司员工提供，均不影响主管部门对供应商存在“隐瞒真实情况，提供虚假资料”违法行为的认定。</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（二）对于涉及国家机关出具的公文、证件、证明材料等文件，一旦涉嫌虚假，经查实，主管部门将依法从严处理，并移送有关部门追究法律责任；涉嫌犯罪的，主管部门将一并移送司法机关追究法律责任。</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（三）对于涉及安全生产、特种作业、抢险救灾、防疫等政府采购项目，供应商实施提供虚假资料、串通投标等违法行为的，主管部门将依法从严处理。 </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spacing w:line="520" w:lineRule="exact"/>
        <w:ind w:firstLine="560" w:firstLineChars="2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（六）单位负责人为同一人或者存在直接控股、管理关系的不同供应商，不得参加同一合同项下的政府采购活动。相关情形如查实，依法作投标无效处理；涉嫌串通投标等违法行为的，主管部门将依法调查处理。</w:t>
      </w:r>
    </w:p>
    <w:p>
      <w:pPr>
        <w:spacing w:line="520" w:lineRule="exact"/>
        <w:ind w:firstLine="562" w:firstLineChars="200"/>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四、本公司已充分知悉政府采购违法、违规行为的法律后果。</w:t>
      </w:r>
      <w:r>
        <w:rPr>
          <w:rFonts w:hint="eastAsia" w:ascii="仿宋_GB2312" w:hAnsi="仿宋_GB2312" w:eastAsia="仿宋_GB2312" w:cs="仿宋_GB2312"/>
          <w:color w:val="auto"/>
          <w:sz w:val="28"/>
          <w:szCs w:val="28"/>
          <w:highlight w:val="none"/>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以下文字请投标供应商抄写并确认：“本公司已仔细阅读《政府采购违法行为风险知悉确认书》，充分知悉违法行为的法律后果，并承诺将严谨、诚信、依法依规参与政府采购活动”。</w:t>
      </w:r>
    </w:p>
    <w:p>
      <w:pPr>
        <w:spacing w:line="520" w:lineRule="exact"/>
        <w:rPr>
          <w:rFonts w:ascii="仿宋_GB2312" w:hAnsi="仿宋_GB2312" w:eastAsia="仿宋_GB2312" w:cs="仿宋_GB2312"/>
          <w:color w:val="auto"/>
          <w:sz w:val="28"/>
          <w:szCs w:val="28"/>
          <w:highlight w:val="none"/>
        </w:rPr>
      </w:pPr>
    </w:p>
    <w:p>
      <w:pPr>
        <w:pStyle w:val="2"/>
        <w:ind w:firstLine="0" w:firstLineChars="0"/>
        <w:rPr>
          <w:rFonts w:ascii="仿宋_GB2312" w:hAnsi="仿宋_GB2312" w:eastAsia="仿宋_GB2312" w:cs="仿宋_GB2312"/>
          <w:color w:val="auto"/>
          <w:sz w:val="36"/>
          <w:szCs w:val="36"/>
          <w:highlight w:val="none"/>
          <w:u w:val="single"/>
        </w:rPr>
      </w:pPr>
      <w:r>
        <w:rPr>
          <w:rFonts w:hint="eastAsia" w:ascii="仿宋_GB2312" w:hAnsi="仿宋_GB2312" w:eastAsia="仿宋_GB2312" w:cs="仿宋_GB2312"/>
          <w:color w:val="auto"/>
          <w:sz w:val="36"/>
          <w:szCs w:val="36"/>
          <w:highlight w:val="none"/>
          <w:u w:val="single"/>
        </w:rPr>
        <w:t xml:space="preserve">                                              </w:t>
      </w:r>
    </w:p>
    <w:p>
      <w:pPr>
        <w:pStyle w:val="3"/>
        <w:ind w:left="0" w:leftChars="0" w:firstLine="0" w:firstLineChars="0"/>
        <w:rPr>
          <w:rFonts w:ascii="仿宋_GB2312" w:hAnsi="仿宋_GB2312" w:eastAsia="仿宋_GB2312" w:cs="仿宋_GB2312"/>
          <w:color w:val="auto"/>
          <w:sz w:val="36"/>
          <w:szCs w:val="36"/>
          <w:highlight w:val="none"/>
        </w:rPr>
      </w:pPr>
      <w:r>
        <w:rPr>
          <w:rFonts w:hint="eastAsia" w:ascii="仿宋_GB2312" w:hAnsi="仿宋_GB2312" w:eastAsia="仿宋_GB2312" w:cs="仿宋_GB2312"/>
          <w:color w:val="auto"/>
          <w:sz w:val="36"/>
          <w:szCs w:val="36"/>
          <w:highlight w:val="none"/>
          <w:u w:val="single"/>
        </w:rPr>
        <w:t xml:space="preserve">                                              </w:t>
      </w:r>
    </w:p>
    <w:p>
      <w:pPr>
        <w:pStyle w:val="13"/>
        <w:jc w:val="both"/>
        <w:rPr>
          <w:rFonts w:ascii="仿宋_GB2312" w:hAnsi="仿宋_GB2312" w:eastAsia="仿宋_GB2312" w:cs="仿宋_GB2312"/>
          <w:color w:val="auto"/>
          <w:sz w:val="36"/>
          <w:szCs w:val="36"/>
          <w:highlight w:val="none"/>
          <w:u w:val="single"/>
        </w:rPr>
      </w:pPr>
      <w:r>
        <w:rPr>
          <w:rFonts w:hint="eastAsia" w:ascii="仿宋_GB2312" w:hAnsi="仿宋_GB2312" w:eastAsia="仿宋_GB2312" w:cs="仿宋_GB2312"/>
          <w:color w:val="auto"/>
          <w:sz w:val="36"/>
          <w:szCs w:val="36"/>
          <w:highlight w:val="none"/>
          <w:u w:val="single"/>
        </w:rPr>
        <w:t xml:space="preserve">                                              </w:t>
      </w:r>
    </w:p>
    <w:p>
      <w:pPr>
        <w:pStyle w:val="13"/>
        <w:jc w:val="both"/>
        <w:rPr>
          <w:color w:val="auto"/>
          <w:highlight w:val="none"/>
        </w:rPr>
      </w:pPr>
      <w:r>
        <w:rPr>
          <w:rFonts w:hint="eastAsia" w:ascii="仿宋_GB2312" w:hAnsi="仿宋_GB2312" w:eastAsia="仿宋_GB2312" w:cs="仿宋_GB2312"/>
          <w:color w:val="auto"/>
          <w:sz w:val="36"/>
          <w:szCs w:val="36"/>
          <w:highlight w:val="none"/>
          <w:u w:val="single"/>
        </w:rPr>
        <w:t xml:space="preserve">                                              </w:t>
      </w:r>
    </w:p>
    <w:p>
      <w:pPr>
        <w:wordWrap w:val="0"/>
        <w:spacing w:line="520" w:lineRule="exact"/>
        <w:jc w:val="righ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负责人/投标授权代表签名：                    </w:t>
      </w:r>
    </w:p>
    <w:p>
      <w:pPr>
        <w:wordWrap w:val="0"/>
        <w:spacing w:line="520" w:lineRule="exact"/>
        <w:ind w:firstLine="2800" w:firstLineChars="1000"/>
        <w:jc w:val="righ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知悉人（公章）：                    </w:t>
      </w:r>
    </w:p>
    <w:p>
      <w:pPr>
        <w:wordWrap w:val="0"/>
        <w:spacing w:line="360" w:lineRule="auto"/>
        <w:jc w:val="right"/>
        <w:rPr>
          <w:rFonts w:ascii="仿宋_GB2312" w:hAnsi="仿宋_GB2312" w:eastAsia="仿宋_GB2312" w:cs="仿宋_GB2312"/>
          <w:color w:val="auto"/>
          <w:sz w:val="28"/>
          <w:szCs w:val="28"/>
          <w:highlight w:val="none"/>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color w:val="auto"/>
          <w:sz w:val="28"/>
          <w:szCs w:val="28"/>
          <w:highlight w:val="none"/>
        </w:rPr>
        <w:t>日期：</w:t>
      </w:r>
      <w:r>
        <w:rPr>
          <w:rFonts w:ascii="仿宋_GB2312" w:hAnsi="仿宋_GB2312" w:eastAsia="仿宋_GB2312" w:cs="仿宋_GB2312"/>
          <w:color w:val="auto"/>
          <w:sz w:val="28"/>
          <w:szCs w:val="28"/>
          <w:highlight w:val="none"/>
        </w:rPr>
        <w:t xml:space="preserve">                    </w:t>
      </w:r>
    </w:p>
    <w:p>
      <w:pPr>
        <w:spacing w:line="580" w:lineRule="exact"/>
        <w:rPr>
          <w:rFonts w:hint="eastAsia" w:ascii="仿宋_GB2312" w:hAnsi="仿宋" w:eastAsia="仿宋_GB2312" w:cs="仿宋"/>
          <w:bCs/>
          <w:kern w:val="2"/>
          <w:sz w:val="32"/>
          <w:szCs w:val="32"/>
          <w:u w:val="none"/>
          <w:lang w:val="en-US" w:eastAsia="zh-CN" w:bidi="ar-SA"/>
        </w:rPr>
      </w:pPr>
      <w:r>
        <w:rPr>
          <w:rFonts w:hint="eastAsia" w:ascii="仿宋_GB2312" w:hAnsi="仿宋" w:eastAsia="仿宋_GB2312" w:cs="仿宋"/>
          <w:bCs/>
          <w:kern w:val="2"/>
          <w:sz w:val="32"/>
          <w:szCs w:val="32"/>
          <w:u w:val="none"/>
          <w:lang w:val="en-US" w:eastAsia="zh-CN" w:bidi="ar-SA"/>
        </w:rPr>
        <w:t>附件2</w:t>
      </w:r>
    </w:p>
    <w:p>
      <w:pPr>
        <w:pStyle w:val="13"/>
        <w:snapToGrid w:val="0"/>
        <w:spacing w:before="0" w:after="0" w:line="240" w:lineRule="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供应商基本情况表</w:t>
      </w:r>
    </w:p>
    <w:p>
      <w:pP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填表单位：（加盖单位公章）</w:t>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 xml:space="preserve">   填表日期：    年   月   日</w:t>
      </w:r>
    </w:p>
    <w:tbl>
      <w:tblPr>
        <w:tblStyle w:val="16"/>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606"/>
        <w:gridCol w:w="947"/>
        <w:gridCol w:w="791"/>
        <w:gridCol w:w="1200"/>
        <w:gridCol w:w="1500"/>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采购人</w:t>
            </w:r>
          </w:p>
        </w:tc>
        <w:tc>
          <w:tcPr>
            <w:tcW w:w="2553"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项目名称</w:t>
            </w:r>
          </w:p>
        </w:tc>
        <w:tc>
          <w:tcPr>
            <w:tcW w:w="2985"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投标（响应）供应商</w:t>
            </w:r>
          </w:p>
        </w:tc>
        <w:tc>
          <w:tcPr>
            <w:tcW w:w="2553"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供应商统一社会信用代码</w:t>
            </w:r>
          </w:p>
        </w:tc>
        <w:tc>
          <w:tcPr>
            <w:tcW w:w="2985"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6" w:type="dxa"/>
            <w:tcBorders>
              <w:bottom w:val="single" w:color="auto" w:sz="4" w:space="0"/>
            </w:tcBorders>
            <w:noWrap w:val="0"/>
            <w:vAlign w:val="center"/>
          </w:tcPr>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序号</w:t>
            </w:r>
          </w:p>
        </w:tc>
        <w:tc>
          <w:tcPr>
            <w:tcW w:w="2282" w:type="dxa"/>
            <w:gridSpan w:val="2"/>
            <w:tcBorders>
              <w:bottom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职务</w:t>
            </w:r>
          </w:p>
        </w:tc>
        <w:tc>
          <w:tcPr>
            <w:tcW w:w="947" w:type="dxa"/>
            <w:tcBorders>
              <w:bottom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姓名</w:t>
            </w:r>
          </w:p>
        </w:tc>
        <w:tc>
          <w:tcPr>
            <w:tcW w:w="1991" w:type="dxa"/>
            <w:gridSpan w:val="2"/>
            <w:tcBorders>
              <w:bottom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身份证号码</w:t>
            </w:r>
          </w:p>
        </w:tc>
        <w:tc>
          <w:tcPr>
            <w:tcW w:w="1500" w:type="dxa"/>
            <w:tcBorders>
              <w:bottom w:val="single" w:color="auto" w:sz="4" w:space="0"/>
            </w:tcBorders>
            <w:noWrap w:val="0"/>
            <w:vAlign w:val="center"/>
          </w:tcPr>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劳动合同</w:t>
            </w:r>
          </w:p>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关系单位</w:t>
            </w:r>
          </w:p>
        </w:tc>
        <w:tc>
          <w:tcPr>
            <w:tcW w:w="1485" w:type="dxa"/>
            <w:tcBorders>
              <w:bottom w:val="single" w:color="auto" w:sz="4" w:space="0"/>
            </w:tcBorders>
            <w:noWrap w:val="0"/>
            <w:vAlign w:val="center"/>
          </w:tcPr>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缴纳社会</w:t>
            </w:r>
          </w:p>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2"/>
                <w:szCs w:val="22"/>
                <w:highlight w:val="none"/>
              </w:rPr>
              <w:t>法定代表人</w:t>
            </w:r>
            <w:r>
              <w:rPr>
                <w:rFonts w:hint="eastAsia" w:ascii="方正仿宋_GBK" w:hAnsi="方正仿宋_GBK" w:eastAsia="方正仿宋_GBK" w:cs="方正仿宋_GBK"/>
                <w:color w:val="auto"/>
                <w:sz w:val="22"/>
                <w:szCs w:val="22"/>
                <w:highlight w:val="none"/>
                <w:lang w:val="en-US" w:eastAsia="zh-CN"/>
              </w:rPr>
              <w:t>/单位负责人/主要经营负责人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2"/>
                <w:szCs w:val="22"/>
                <w:highlight w:val="none"/>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noWrap w:val="0"/>
            <w:vAlign w:val="center"/>
          </w:tcPr>
          <w:p>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3</w:t>
            </w:r>
          </w:p>
        </w:tc>
        <w:tc>
          <w:tcPr>
            <w:tcW w:w="2282" w:type="dxa"/>
            <w:gridSpan w:val="2"/>
            <w:tcBorders>
              <w:top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项目负责人</w:t>
            </w:r>
          </w:p>
        </w:tc>
        <w:tc>
          <w:tcPr>
            <w:tcW w:w="947" w:type="dxa"/>
            <w:tcBorders>
              <w:top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6" w:type="dxa"/>
            <w:noWrap w:val="0"/>
            <w:vAlign w:val="center"/>
          </w:tcPr>
          <w:p>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4</w:t>
            </w:r>
          </w:p>
        </w:tc>
        <w:tc>
          <w:tcPr>
            <w:tcW w:w="2282"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主要技术人员</w:t>
            </w:r>
          </w:p>
        </w:tc>
        <w:tc>
          <w:tcPr>
            <w:tcW w:w="947"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485"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5</w:t>
            </w:r>
          </w:p>
        </w:tc>
        <w:tc>
          <w:tcPr>
            <w:tcW w:w="2282" w:type="dxa"/>
            <w:gridSpan w:val="2"/>
            <w:noWrap w:val="0"/>
            <w:vAlign w:val="center"/>
          </w:tcPr>
          <w:p>
            <w:pPr>
              <w:pStyle w:val="2"/>
              <w:snapToGrid w:val="0"/>
              <w:ind w:left="0" w:leftChars="0" w:firstLine="0" w:firstLineChars="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color w:val="auto"/>
                <w:sz w:val="24"/>
                <w:szCs w:val="24"/>
                <w:highlight w:val="none"/>
              </w:rPr>
              <w:t>投标文件</w:t>
            </w:r>
            <w:r>
              <w:rPr>
                <w:rFonts w:hint="eastAsia" w:ascii="方正仿宋_GBK" w:hAnsi="方正仿宋_GBK" w:eastAsia="方正仿宋_GBK" w:cs="方正仿宋_GBK"/>
                <w:color w:val="auto"/>
                <w:sz w:val="24"/>
                <w:szCs w:val="24"/>
                <w:highlight w:val="none"/>
                <w:lang w:eastAsia="zh-CN"/>
              </w:rPr>
              <w:t>编制人员</w:t>
            </w:r>
          </w:p>
        </w:tc>
        <w:tc>
          <w:tcPr>
            <w:tcW w:w="947"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485"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pPr>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noWrap w:val="0"/>
            <w:vAlign w:val="center"/>
          </w:tcPr>
          <w:p>
            <w:pPr>
              <w:jc w:val="center"/>
              <w:rPr>
                <w:rFonts w:hint="eastAsia" w:ascii="方正仿宋_GBK" w:hAnsi="方正仿宋_GBK" w:eastAsia="方正仿宋_GBK" w:cs="方正仿宋_GBK"/>
                <w:b/>
                <w:bCs/>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序号</w:t>
            </w:r>
          </w:p>
        </w:tc>
        <w:tc>
          <w:tcPr>
            <w:tcW w:w="2282" w:type="dxa"/>
            <w:gridSpan w:val="2"/>
            <w:tcBorders>
              <w:bottom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关联关系类型</w:t>
            </w:r>
          </w:p>
        </w:tc>
        <w:tc>
          <w:tcPr>
            <w:tcW w:w="1738" w:type="dxa"/>
            <w:gridSpan w:val="2"/>
            <w:tcBorders>
              <w:bottom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关联主体名称</w:t>
            </w:r>
          </w:p>
        </w:tc>
        <w:tc>
          <w:tcPr>
            <w:tcW w:w="4185" w:type="dxa"/>
            <w:gridSpan w:val="3"/>
            <w:tcBorders>
              <w:bottom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控股股东</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18"/>
                <w:szCs w:val="18"/>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管理关系</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说明：同一关联关系类型有多个主体的，应分行填写。</w:t>
            </w:r>
          </w:p>
        </w:tc>
      </w:tr>
    </w:tbl>
    <w:p>
      <w:pPr>
        <w:sectPr>
          <w:pgSz w:w="11906" w:h="16838"/>
          <w:pgMar w:top="1440" w:right="1800" w:bottom="1440" w:left="1800" w:header="851" w:footer="992" w:gutter="0"/>
          <w:cols w:space="425" w:num="1"/>
          <w:docGrid w:type="lines" w:linePitch="312" w:charSpace="0"/>
        </w:sectPr>
      </w:pPr>
    </w:p>
    <w:p>
      <w:pPr>
        <w:spacing w:line="580" w:lineRule="exact"/>
        <w:rPr>
          <w:rFonts w:hint="eastAsia" w:ascii="仿宋_GB2312" w:hAnsi="仿宋" w:eastAsia="仿宋_GB2312" w:cs="仿宋"/>
          <w:bCs/>
          <w:kern w:val="2"/>
          <w:sz w:val="32"/>
          <w:szCs w:val="32"/>
          <w:u w:val="none"/>
          <w:lang w:val="en-US" w:eastAsia="zh-CN" w:bidi="ar-SA"/>
        </w:rPr>
      </w:pPr>
      <w:r>
        <w:rPr>
          <w:rFonts w:hint="eastAsia" w:ascii="仿宋_GB2312" w:hAnsi="仿宋" w:eastAsia="仿宋_GB2312" w:cs="仿宋"/>
          <w:bCs/>
          <w:kern w:val="2"/>
          <w:sz w:val="32"/>
          <w:szCs w:val="32"/>
          <w:u w:val="none"/>
          <w:lang w:val="en-US" w:eastAsia="zh-CN" w:bidi="ar-SA"/>
        </w:rPr>
        <w:t>附件3</w:t>
      </w:r>
    </w:p>
    <w:p>
      <w:pPr>
        <w:spacing w:line="560" w:lineRule="exact"/>
        <w:ind w:right="-1"/>
        <w:jc w:val="center"/>
        <w:rPr>
          <w:rFonts w:ascii="方正小标宋_GBK" w:hAnsi="仿宋" w:eastAsia="方正小标宋_GBK" w:cs="仿宋"/>
          <w:sz w:val="44"/>
          <w:szCs w:val="44"/>
        </w:rPr>
      </w:pPr>
      <w:r>
        <w:rPr>
          <w:rFonts w:hint="eastAsia" w:ascii="方正小标宋_GBK" w:hAnsi="仿宋" w:eastAsia="方正小标宋_GBK" w:cs="仿宋"/>
          <w:sz w:val="44"/>
          <w:szCs w:val="44"/>
        </w:rPr>
        <w:t>偏 离 表</w:t>
      </w:r>
    </w:p>
    <w:p>
      <w:pPr>
        <w:spacing w:line="560" w:lineRule="exact"/>
        <w:ind w:right="640"/>
        <w:rPr>
          <w:rFonts w:ascii="仿宋" w:hAnsi="仿宋" w:eastAsia="仿宋" w:cs="仿宋"/>
          <w:sz w:val="32"/>
          <w:szCs w:val="32"/>
        </w:rPr>
      </w:pPr>
    </w:p>
    <w:p>
      <w:pPr>
        <w:spacing w:line="560" w:lineRule="exact"/>
        <w:ind w:right="640"/>
        <w:rPr>
          <w:rFonts w:ascii="仿宋" w:hAnsi="仿宋" w:eastAsia="仿宋" w:cs="仿宋"/>
          <w:sz w:val="26"/>
          <w:szCs w:val="26"/>
        </w:rPr>
      </w:pPr>
      <w:r>
        <w:rPr>
          <w:rFonts w:hint="eastAsia" w:ascii="仿宋" w:hAnsi="仿宋" w:eastAsia="仿宋" w:cs="仿宋"/>
          <w:sz w:val="26"/>
          <w:szCs w:val="26"/>
        </w:rPr>
        <w:t xml:space="preserve">项目名称：             </w:t>
      </w:r>
      <w:r>
        <w:rPr>
          <w:rFonts w:ascii="仿宋" w:hAnsi="仿宋" w:eastAsia="仿宋" w:cs="仿宋"/>
          <w:sz w:val="26"/>
          <w:szCs w:val="26"/>
        </w:rPr>
        <w:t xml:space="preserve">          </w:t>
      </w:r>
      <w:r>
        <w:rPr>
          <w:rFonts w:hint="eastAsia" w:ascii="仿宋" w:hAnsi="仿宋" w:eastAsia="仿宋" w:cs="仿宋"/>
          <w:sz w:val="26"/>
          <w:szCs w:val="26"/>
        </w:rPr>
        <w:t xml:space="preserve">         项目编号：      </w:t>
      </w:r>
      <w:r>
        <w:rPr>
          <w:rFonts w:ascii="仿宋" w:hAnsi="仿宋" w:eastAsia="仿宋" w:cs="仿宋"/>
          <w:sz w:val="26"/>
          <w:szCs w:val="26"/>
        </w:rPr>
        <w:t xml:space="preserve"> </w:t>
      </w:r>
      <w:r>
        <w:rPr>
          <w:rFonts w:hint="eastAsia" w:ascii="仿宋" w:hAnsi="仿宋" w:eastAsia="仿宋" w:cs="仿宋"/>
          <w:sz w:val="26"/>
          <w:szCs w:val="26"/>
        </w:rPr>
        <w:t xml:space="preserve">     </w:t>
      </w:r>
    </w:p>
    <w:tbl>
      <w:tblPr>
        <w:tblStyle w:val="15"/>
        <w:tblW w:w="9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985"/>
        <w:gridCol w:w="2976"/>
        <w:gridCol w:w="2694"/>
        <w:gridCol w:w="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tcPr>
          <w:p>
            <w:pPr>
              <w:spacing w:before="100" w:beforeAutospacing="1" w:after="100" w:afterAutospacing="1"/>
              <w:jc w:val="center"/>
              <w:rPr>
                <w:b/>
                <w:szCs w:val="21"/>
              </w:rPr>
            </w:pPr>
            <w:r>
              <w:rPr>
                <w:rFonts w:hint="eastAsia"/>
                <w:b/>
                <w:szCs w:val="21"/>
              </w:rPr>
              <w:t>序号</w:t>
            </w:r>
          </w:p>
        </w:tc>
        <w:tc>
          <w:tcPr>
            <w:tcW w:w="1985" w:type="dxa"/>
            <w:shd w:val="clear" w:color="auto" w:fill="auto"/>
          </w:tcPr>
          <w:p>
            <w:pPr>
              <w:spacing w:before="100" w:beforeAutospacing="1" w:after="100" w:afterAutospacing="1"/>
              <w:jc w:val="center"/>
              <w:rPr>
                <w:b/>
                <w:szCs w:val="21"/>
              </w:rPr>
            </w:pPr>
            <w:r>
              <w:rPr>
                <w:rFonts w:hint="eastAsia"/>
                <w:b/>
                <w:szCs w:val="21"/>
              </w:rPr>
              <w:t>需求文件条目号</w:t>
            </w:r>
          </w:p>
        </w:tc>
        <w:tc>
          <w:tcPr>
            <w:tcW w:w="2976" w:type="dxa"/>
            <w:shd w:val="clear" w:color="auto" w:fill="auto"/>
          </w:tcPr>
          <w:p>
            <w:pPr>
              <w:spacing w:before="100" w:beforeAutospacing="1" w:after="100" w:afterAutospacing="1"/>
              <w:jc w:val="center"/>
              <w:rPr>
                <w:b/>
                <w:szCs w:val="21"/>
              </w:rPr>
            </w:pPr>
            <w:r>
              <w:rPr>
                <w:rFonts w:hint="eastAsia"/>
                <w:b/>
                <w:szCs w:val="21"/>
              </w:rPr>
              <w:t>需求文件条款</w:t>
            </w:r>
          </w:p>
        </w:tc>
        <w:tc>
          <w:tcPr>
            <w:tcW w:w="2694" w:type="dxa"/>
            <w:shd w:val="clear" w:color="auto" w:fill="auto"/>
          </w:tcPr>
          <w:p>
            <w:pPr>
              <w:spacing w:before="100" w:beforeAutospacing="1" w:after="100" w:afterAutospacing="1"/>
              <w:jc w:val="center"/>
              <w:rPr>
                <w:b/>
                <w:szCs w:val="21"/>
              </w:rPr>
            </w:pPr>
            <w:r>
              <w:rPr>
                <w:rFonts w:hint="eastAsia"/>
                <w:b/>
                <w:szCs w:val="21"/>
              </w:rPr>
              <w:t>投标文件条款</w:t>
            </w:r>
          </w:p>
        </w:tc>
        <w:tc>
          <w:tcPr>
            <w:tcW w:w="815" w:type="dxa"/>
            <w:shd w:val="clear" w:color="auto" w:fill="auto"/>
          </w:tcPr>
          <w:p>
            <w:pPr>
              <w:spacing w:before="100" w:beforeAutospacing="1" w:after="100" w:afterAutospacing="1"/>
              <w:jc w:val="center"/>
              <w:rPr>
                <w:b/>
                <w:szCs w:val="21"/>
              </w:rPr>
            </w:pPr>
            <w:r>
              <w:rPr>
                <w:rFonts w:hint="eastAsia"/>
                <w:b/>
                <w:szCs w:val="21"/>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74" w:type="dxa"/>
            <w:gridSpan w:val="5"/>
            <w:shd w:val="clear" w:color="auto" w:fill="auto"/>
          </w:tcPr>
          <w:p>
            <w:pPr>
              <w:spacing w:before="100" w:beforeAutospacing="1" w:after="100" w:afterAutospacing="1"/>
              <w:jc w:val="center"/>
              <w:rPr>
                <w:b/>
                <w:szCs w:val="21"/>
              </w:rPr>
            </w:pPr>
            <w:r>
              <w:rPr>
                <w:rFonts w:hint="eastAsia"/>
                <w:b/>
                <w:szCs w:val="21"/>
              </w:rPr>
              <w:t>技术部分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tcPr>
          <w:p>
            <w:pPr>
              <w:spacing w:before="100" w:beforeAutospacing="1" w:after="100" w:afterAutospacing="1"/>
              <w:rPr>
                <w:szCs w:val="21"/>
              </w:rPr>
            </w:pPr>
          </w:p>
        </w:tc>
        <w:tc>
          <w:tcPr>
            <w:tcW w:w="1985" w:type="dxa"/>
            <w:shd w:val="clear" w:color="auto" w:fill="auto"/>
          </w:tcPr>
          <w:p>
            <w:pPr>
              <w:spacing w:before="100" w:beforeAutospacing="1" w:after="100" w:afterAutospacing="1"/>
              <w:rPr>
                <w:rFonts w:ascii="仿宋_GB2312" w:hAnsi="仿宋_GB2312" w:eastAsia="仿宋_GB2312" w:cs="仿宋_GB2312"/>
                <w:szCs w:val="21"/>
              </w:rPr>
            </w:pPr>
          </w:p>
        </w:tc>
        <w:tc>
          <w:tcPr>
            <w:tcW w:w="2976" w:type="dxa"/>
            <w:shd w:val="clear" w:color="auto" w:fill="auto"/>
          </w:tcPr>
          <w:p>
            <w:pPr>
              <w:spacing w:before="100" w:beforeAutospacing="1" w:after="100" w:afterAutospacing="1"/>
              <w:rPr>
                <w:rFonts w:ascii="仿宋_GB2312" w:hAnsi="仿宋_GB2312" w:eastAsia="仿宋_GB2312" w:cs="仿宋_GB2312"/>
                <w:szCs w:val="21"/>
              </w:rPr>
            </w:pPr>
          </w:p>
        </w:tc>
        <w:tc>
          <w:tcPr>
            <w:tcW w:w="2694" w:type="dxa"/>
            <w:shd w:val="clear" w:color="auto" w:fill="auto"/>
          </w:tcPr>
          <w:p>
            <w:pPr>
              <w:spacing w:before="100" w:beforeAutospacing="1" w:after="100" w:afterAutospacing="1"/>
              <w:rPr>
                <w:szCs w:val="21"/>
              </w:rPr>
            </w:pPr>
          </w:p>
        </w:tc>
        <w:tc>
          <w:tcPr>
            <w:tcW w:w="815" w:type="dxa"/>
            <w:shd w:val="clear" w:color="auto" w:fill="auto"/>
          </w:tcPr>
          <w:p>
            <w:pPr>
              <w:spacing w:before="100" w:beforeAutospacing="1" w:after="100" w:afterAutospacing="1"/>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4" w:type="dxa"/>
            <w:shd w:val="clear" w:color="auto" w:fill="auto"/>
          </w:tcPr>
          <w:p>
            <w:pPr>
              <w:spacing w:before="100" w:beforeAutospacing="1" w:after="100" w:afterAutospacing="1"/>
              <w:rPr>
                <w:szCs w:val="21"/>
              </w:rPr>
            </w:pPr>
          </w:p>
        </w:tc>
        <w:tc>
          <w:tcPr>
            <w:tcW w:w="1985" w:type="dxa"/>
            <w:shd w:val="clear" w:color="auto" w:fill="auto"/>
          </w:tcPr>
          <w:p>
            <w:pPr>
              <w:spacing w:before="100" w:beforeAutospacing="1" w:after="100" w:afterAutospacing="1"/>
              <w:rPr>
                <w:rFonts w:ascii="仿宋_GB2312" w:hAnsi="仿宋_GB2312" w:eastAsia="仿宋_GB2312" w:cs="仿宋_GB2312"/>
                <w:szCs w:val="21"/>
              </w:rPr>
            </w:pPr>
          </w:p>
        </w:tc>
        <w:tc>
          <w:tcPr>
            <w:tcW w:w="2976" w:type="dxa"/>
            <w:shd w:val="clear" w:color="auto" w:fill="auto"/>
          </w:tcPr>
          <w:p>
            <w:pPr>
              <w:spacing w:before="100" w:beforeAutospacing="1" w:after="100" w:afterAutospacing="1"/>
              <w:rPr>
                <w:rFonts w:ascii="仿宋_GB2312" w:hAnsi="仿宋_GB2312" w:eastAsia="仿宋_GB2312" w:cs="仿宋_GB2312"/>
                <w:szCs w:val="21"/>
              </w:rPr>
            </w:pPr>
          </w:p>
        </w:tc>
        <w:tc>
          <w:tcPr>
            <w:tcW w:w="2694" w:type="dxa"/>
            <w:shd w:val="clear" w:color="auto" w:fill="auto"/>
          </w:tcPr>
          <w:p>
            <w:pPr>
              <w:spacing w:before="100" w:beforeAutospacing="1" w:after="100" w:afterAutospacing="1"/>
              <w:rPr>
                <w:szCs w:val="21"/>
              </w:rPr>
            </w:pPr>
          </w:p>
        </w:tc>
        <w:tc>
          <w:tcPr>
            <w:tcW w:w="815" w:type="dxa"/>
            <w:shd w:val="clear" w:color="auto" w:fill="auto"/>
          </w:tcPr>
          <w:p>
            <w:pPr>
              <w:spacing w:before="100" w:beforeAutospacing="1" w:after="100" w:afterAutospacing="1"/>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tcPr>
          <w:p>
            <w:pPr>
              <w:spacing w:before="100" w:beforeAutospacing="1" w:after="100" w:afterAutospacing="1"/>
              <w:rPr>
                <w:szCs w:val="21"/>
              </w:rPr>
            </w:pPr>
          </w:p>
        </w:tc>
        <w:tc>
          <w:tcPr>
            <w:tcW w:w="1985" w:type="dxa"/>
            <w:shd w:val="clear" w:color="auto" w:fill="auto"/>
          </w:tcPr>
          <w:p>
            <w:pPr>
              <w:spacing w:before="100" w:beforeAutospacing="1" w:after="100" w:afterAutospacing="1"/>
              <w:rPr>
                <w:rFonts w:ascii="仿宋_GB2312" w:hAnsi="仿宋_GB2312" w:eastAsia="仿宋_GB2312" w:cs="仿宋_GB2312"/>
                <w:szCs w:val="21"/>
              </w:rPr>
            </w:pPr>
          </w:p>
        </w:tc>
        <w:tc>
          <w:tcPr>
            <w:tcW w:w="2976" w:type="dxa"/>
            <w:shd w:val="clear" w:color="auto" w:fill="auto"/>
          </w:tcPr>
          <w:p>
            <w:pPr>
              <w:spacing w:before="100" w:beforeAutospacing="1" w:after="100" w:afterAutospacing="1"/>
              <w:rPr>
                <w:rFonts w:ascii="仿宋_GB2312" w:hAnsi="仿宋_GB2312" w:eastAsia="仿宋_GB2312" w:cs="仿宋_GB2312"/>
                <w:szCs w:val="21"/>
              </w:rPr>
            </w:pPr>
          </w:p>
        </w:tc>
        <w:tc>
          <w:tcPr>
            <w:tcW w:w="2694" w:type="dxa"/>
            <w:shd w:val="clear" w:color="auto" w:fill="auto"/>
          </w:tcPr>
          <w:p>
            <w:pPr>
              <w:spacing w:before="100" w:beforeAutospacing="1" w:after="100" w:afterAutospacing="1"/>
              <w:rPr>
                <w:szCs w:val="21"/>
              </w:rPr>
            </w:pPr>
          </w:p>
        </w:tc>
        <w:tc>
          <w:tcPr>
            <w:tcW w:w="815" w:type="dxa"/>
            <w:shd w:val="clear" w:color="auto" w:fill="auto"/>
          </w:tcPr>
          <w:p>
            <w:pPr>
              <w:spacing w:before="100" w:beforeAutospacing="1" w:after="100" w:afterAutospacing="1"/>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tcPr>
          <w:p>
            <w:pPr>
              <w:spacing w:before="100" w:beforeAutospacing="1" w:after="100" w:afterAutospacing="1"/>
              <w:rPr>
                <w:szCs w:val="21"/>
              </w:rPr>
            </w:pPr>
          </w:p>
        </w:tc>
        <w:tc>
          <w:tcPr>
            <w:tcW w:w="1985" w:type="dxa"/>
            <w:shd w:val="clear" w:color="auto" w:fill="auto"/>
          </w:tcPr>
          <w:p>
            <w:pPr>
              <w:spacing w:before="100" w:beforeAutospacing="1" w:after="100" w:afterAutospacing="1"/>
              <w:rPr>
                <w:rFonts w:ascii="仿宋_GB2312" w:hAnsi="仿宋_GB2312" w:eastAsia="仿宋_GB2312" w:cs="仿宋_GB2312"/>
                <w:szCs w:val="21"/>
              </w:rPr>
            </w:pPr>
          </w:p>
        </w:tc>
        <w:tc>
          <w:tcPr>
            <w:tcW w:w="2976" w:type="dxa"/>
            <w:shd w:val="clear" w:color="auto" w:fill="auto"/>
          </w:tcPr>
          <w:p>
            <w:pPr>
              <w:spacing w:before="100" w:beforeAutospacing="1" w:after="100" w:afterAutospacing="1"/>
              <w:rPr>
                <w:szCs w:val="21"/>
              </w:rPr>
            </w:pPr>
          </w:p>
        </w:tc>
        <w:tc>
          <w:tcPr>
            <w:tcW w:w="2694" w:type="dxa"/>
            <w:shd w:val="clear" w:color="auto" w:fill="auto"/>
          </w:tcPr>
          <w:p>
            <w:pPr>
              <w:spacing w:before="100" w:beforeAutospacing="1" w:after="100" w:afterAutospacing="1"/>
              <w:rPr>
                <w:szCs w:val="21"/>
              </w:rPr>
            </w:pPr>
          </w:p>
        </w:tc>
        <w:tc>
          <w:tcPr>
            <w:tcW w:w="815" w:type="dxa"/>
            <w:shd w:val="clear" w:color="auto" w:fill="auto"/>
          </w:tcPr>
          <w:p>
            <w:pPr>
              <w:spacing w:before="100" w:beforeAutospacing="1" w:after="100" w:afterAutospacing="1"/>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tcPr>
          <w:p>
            <w:pPr>
              <w:spacing w:before="100" w:beforeAutospacing="1" w:after="100" w:afterAutospacing="1"/>
              <w:rPr>
                <w:szCs w:val="21"/>
              </w:rPr>
            </w:pPr>
          </w:p>
        </w:tc>
        <w:tc>
          <w:tcPr>
            <w:tcW w:w="1985" w:type="dxa"/>
            <w:shd w:val="clear" w:color="auto" w:fill="auto"/>
          </w:tcPr>
          <w:p>
            <w:pPr>
              <w:spacing w:before="100" w:beforeAutospacing="1" w:after="100" w:afterAutospacing="1"/>
              <w:rPr>
                <w:rFonts w:ascii="仿宋_GB2312" w:hAnsi="仿宋_GB2312" w:eastAsia="仿宋_GB2312" w:cs="仿宋_GB2312"/>
                <w:szCs w:val="21"/>
              </w:rPr>
            </w:pPr>
          </w:p>
        </w:tc>
        <w:tc>
          <w:tcPr>
            <w:tcW w:w="2976" w:type="dxa"/>
            <w:shd w:val="clear" w:color="auto" w:fill="auto"/>
          </w:tcPr>
          <w:p>
            <w:pPr>
              <w:spacing w:before="100" w:beforeAutospacing="1" w:after="100" w:afterAutospacing="1"/>
              <w:rPr>
                <w:szCs w:val="21"/>
              </w:rPr>
            </w:pPr>
          </w:p>
        </w:tc>
        <w:tc>
          <w:tcPr>
            <w:tcW w:w="2694" w:type="dxa"/>
            <w:shd w:val="clear" w:color="auto" w:fill="auto"/>
          </w:tcPr>
          <w:p>
            <w:pPr>
              <w:spacing w:before="100" w:beforeAutospacing="1" w:after="100" w:afterAutospacing="1"/>
              <w:rPr>
                <w:szCs w:val="21"/>
              </w:rPr>
            </w:pPr>
          </w:p>
        </w:tc>
        <w:tc>
          <w:tcPr>
            <w:tcW w:w="815" w:type="dxa"/>
            <w:shd w:val="clear" w:color="auto" w:fill="auto"/>
          </w:tcPr>
          <w:p>
            <w:pPr>
              <w:spacing w:before="100" w:beforeAutospacing="1" w:after="100" w:afterAutospacing="1"/>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4" w:type="dxa"/>
            <w:shd w:val="clear" w:color="auto" w:fill="auto"/>
          </w:tcPr>
          <w:p>
            <w:pPr>
              <w:spacing w:before="100" w:beforeAutospacing="1" w:after="100" w:afterAutospacing="1"/>
              <w:rPr>
                <w:szCs w:val="21"/>
              </w:rPr>
            </w:pPr>
          </w:p>
        </w:tc>
        <w:tc>
          <w:tcPr>
            <w:tcW w:w="1985" w:type="dxa"/>
            <w:shd w:val="clear" w:color="auto" w:fill="auto"/>
          </w:tcPr>
          <w:p>
            <w:pPr>
              <w:spacing w:before="100" w:beforeAutospacing="1" w:after="100" w:afterAutospacing="1"/>
              <w:rPr>
                <w:rFonts w:ascii="仿宋_GB2312" w:hAnsi="仿宋_GB2312" w:eastAsia="仿宋_GB2312" w:cs="仿宋_GB2312"/>
                <w:szCs w:val="21"/>
              </w:rPr>
            </w:pPr>
          </w:p>
        </w:tc>
        <w:tc>
          <w:tcPr>
            <w:tcW w:w="2976" w:type="dxa"/>
            <w:shd w:val="clear" w:color="auto" w:fill="auto"/>
          </w:tcPr>
          <w:p>
            <w:pPr>
              <w:spacing w:before="100" w:beforeAutospacing="1" w:after="100" w:afterAutospacing="1"/>
              <w:rPr>
                <w:szCs w:val="21"/>
              </w:rPr>
            </w:pPr>
          </w:p>
        </w:tc>
        <w:tc>
          <w:tcPr>
            <w:tcW w:w="2694" w:type="dxa"/>
            <w:shd w:val="clear" w:color="auto" w:fill="auto"/>
          </w:tcPr>
          <w:p>
            <w:pPr>
              <w:spacing w:before="100" w:beforeAutospacing="1" w:after="100" w:afterAutospacing="1"/>
              <w:rPr>
                <w:szCs w:val="21"/>
              </w:rPr>
            </w:pPr>
          </w:p>
        </w:tc>
        <w:tc>
          <w:tcPr>
            <w:tcW w:w="815" w:type="dxa"/>
            <w:shd w:val="clear" w:color="auto" w:fill="auto"/>
          </w:tcPr>
          <w:p>
            <w:pPr>
              <w:spacing w:before="100" w:beforeAutospacing="1" w:after="100" w:afterAutospacing="1"/>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tcPr>
          <w:p>
            <w:pPr>
              <w:spacing w:before="100" w:beforeAutospacing="1" w:after="100" w:afterAutospacing="1"/>
              <w:rPr>
                <w:szCs w:val="21"/>
              </w:rPr>
            </w:pPr>
          </w:p>
        </w:tc>
        <w:tc>
          <w:tcPr>
            <w:tcW w:w="1985" w:type="dxa"/>
            <w:shd w:val="clear" w:color="auto" w:fill="auto"/>
          </w:tcPr>
          <w:p>
            <w:pPr>
              <w:spacing w:before="100" w:beforeAutospacing="1" w:after="100" w:afterAutospacing="1"/>
              <w:rPr>
                <w:rFonts w:ascii="仿宋_GB2312" w:hAnsi="仿宋_GB2312" w:eastAsia="仿宋_GB2312" w:cs="仿宋_GB2312"/>
                <w:szCs w:val="21"/>
              </w:rPr>
            </w:pPr>
          </w:p>
        </w:tc>
        <w:tc>
          <w:tcPr>
            <w:tcW w:w="2976" w:type="dxa"/>
            <w:shd w:val="clear" w:color="auto" w:fill="auto"/>
          </w:tcPr>
          <w:p>
            <w:pPr>
              <w:spacing w:before="100" w:beforeAutospacing="1" w:after="100" w:afterAutospacing="1"/>
              <w:rPr>
                <w:szCs w:val="21"/>
              </w:rPr>
            </w:pPr>
          </w:p>
        </w:tc>
        <w:tc>
          <w:tcPr>
            <w:tcW w:w="2694" w:type="dxa"/>
            <w:shd w:val="clear" w:color="auto" w:fill="auto"/>
          </w:tcPr>
          <w:p>
            <w:pPr>
              <w:spacing w:before="100" w:beforeAutospacing="1" w:after="100" w:afterAutospacing="1"/>
              <w:rPr>
                <w:szCs w:val="21"/>
              </w:rPr>
            </w:pPr>
          </w:p>
        </w:tc>
        <w:tc>
          <w:tcPr>
            <w:tcW w:w="815" w:type="dxa"/>
            <w:shd w:val="clear" w:color="auto" w:fill="auto"/>
          </w:tcPr>
          <w:p>
            <w:pPr>
              <w:spacing w:before="100" w:beforeAutospacing="1" w:after="100" w:afterAutospacing="1"/>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tcPr>
          <w:p>
            <w:pPr>
              <w:spacing w:before="100" w:beforeAutospacing="1" w:after="100" w:afterAutospacing="1"/>
              <w:rPr>
                <w:szCs w:val="21"/>
              </w:rPr>
            </w:pPr>
          </w:p>
        </w:tc>
        <w:tc>
          <w:tcPr>
            <w:tcW w:w="1985" w:type="dxa"/>
            <w:shd w:val="clear" w:color="auto" w:fill="auto"/>
          </w:tcPr>
          <w:p>
            <w:pPr>
              <w:spacing w:before="100" w:beforeAutospacing="1" w:after="100" w:afterAutospacing="1"/>
              <w:rPr>
                <w:rFonts w:ascii="仿宋_GB2312" w:hAnsi="仿宋_GB2312" w:eastAsia="仿宋_GB2312" w:cs="仿宋_GB2312"/>
                <w:szCs w:val="21"/>
              </w:rPr>
            </w:pPr>
          </w:p>
        </w:tc>
        <w:tc>
          <w:tcPr>
            <w:tcW w:w="2976" w:type="dxa"/>
            <w:shd w:val="clear" w:color="auto" w:fill="auto"/>
          </w:tcPr>
          <w:p>
            <w:pPr>
              <w:spacing w:before="100" w:beforeAutospacing="1" w:after="100" w:afterAutospacing="1"/>
              <w:rPr>
                <w:szCs w:val="21"/>
              </w:rPr>
            </w:pPr>
          </w:p>
        </w:tc>
        <w:tc>
          <w:tcPr>
            <w:tcW w:w="2694" w:type="dxa"/>
            <w:shd w:val="clear" w:color="auto" w:fill="auto"/>
          </w:tcPr>
          <w:p>
            <w:pPr>
              <w:spacing w:before="100" w:beforeAutospacing="1" w:after="100" w:afterAutospacing="1"/>
              <w:rPr>
                <w:szCs w:val="21"/>
              </w:rPr>
            </w:pPr>
          </w:p>
        </w:tc>
        <w:tc>
          <w:tcPr>
            <w:tcW w:w="815" w:type="dxa"/>
            <w:shd w:val="clear" w:color="auto" w:fill="auto"/>
          </w:tcPr>
          <w:p>
            <w:pPr>
              <w:spacing w:before="100" w:beforeAutospacing="1" w:after="100" w:afterAutospacing="1"/>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tcPr>
          <w:p>
            <w:pPr>
              <w:spacing w:before="100" w:beforeAutospacing="1" w:after="100" w:afterAutospacing="1"/>
              <w:rPr>
                <w:szCs w:val="21"/>
              </w:rPr>
            </w:pPr>
          </w:p>
        </w:tc>
        <w:tc>
          <w:tcPr>
            <w:tcW w:w="1985" w:type="dxa"/>
            <w:shd w:val="clear" w:color="auto" w:fill="auto"/>
          </w:tcPr>
          <w:p>
            <w:pPr>
              <w:spacing w:before="100" w:beforeAutospacing="1" w:after="100" w:afterAutospacing="1"/>
              <w:rPr>
                <w:rFonts w:ascii="仿宋_GB2312" w:hAnsi="仿宋_GB2312" w:eastAsia="仿宋_GB2312" w:cs="仿宋_GB2312"/>
                <w:szCs w:val="21"/>
              </w:rPr>
            </w:pPr>
          </w:p>
        </w:tc>
        <w:tc>
          <w:tcPr>
            <w:tcW w:w="2976" w:type="dxa"/>
            <w:shd w:val="clear" w:color="auto" w:fill="auto"/>
          </w:tcPr>
          <w:p>
            <w:pPr>
              <w:spacing w:before="100" w:beforeAutospacing="1" w:after="100" w:afterAutospacing="1"/>
              <w:rPr>
                <w:szCs w:val="21"/>
              </w:rPr>
            </w:pPr>
          </w:p>
        </w:tc>
        <w:tc>
          <w:tcPr>
            <w:tcW w:w="2694" w:type="dxa"/>
            <w:shd w:val="clear" w:color="auto" w:fill="auto"/>
          </w:tcPr>
          <w:p>
            <w:pPr>
              <w:spacing w:before="100" w:beforeAutospacing="1" w:after="100" w:afterAutospacing="1"/>
              <w:rPr>
                <w:szCs w:val="21"/>
              </w:rPr>
            </w:pPr>
          </w:p>
        </w:tc>
        <w:tc>
          <w:tcPr>
            <w:tcW w:w="815" w:type="dxa"/>
            <w:shd w:val="clear" w:color="auto" w:fill="auto"/>
          </w:tcPr>
          <w:p>
            <w:pPr>
              <w:spacing w:before="100" w:beforeAutospacing="1" w:after="100" w:afterAutospacing="1"/>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4" w:type="dxa"/>
            <w:shd w:val="clear" w:color="auto" w:fill="auto"/>
          </w:tcPr>
          <w:p>
            <w:pPr>
              <w:spacing w:before="100" w:beforeAutospacing="1" w:after="100" w:afterAutospacing="1"/>
              <w:rPr>
                <w:szCs w:val="21"/>
              </w:rPr>
            </w:pPr>
          </w:p>
        </w:tc>
        <w:tc>
          <w:tcPr>
            <w:tcW w:w="1985" w:type="dxa"/>
            <w:shd w:val="clear" w:color="auto" w:fill="auto"/>
          </w:tcPr>
          <w:p>
            <w:pPr>
              <w:spacing w:before="100" w:beforeAutospacing="1" w:after="100" w:afterAutospacing="1"/>
              <w:rPr>
                <w:rFonts w:ascii="仿宋_GB2312" w:hAnsi="仿宋_GB2312" w:eastAsia="仿宋_GB2312" w:cs="仿宋_GB2312"/>
                <w:szCs w:val="21"/>
              </w:rPr>
            </w:pPr>
          </w:p>
        </w:tc>
        <w:tc>
          <w:tcPr>
            <w:tcW w:w="2976" w:type="dxa"/>
            <w:shd w:val="clear" w:color="auto" w:fill="auto"/>
          </w:tcPr>
          <w:p>
            <w:pPr>
              <w:spacing w:before="100" w:beforeAutospacing="1" w:after="100" w:afterAutospacing="1"/>
              <w:rPr>
                <w:szCs w:val="21"/>
              </w:rPr>
            </w:pPr>
          </w:p>
        </w:tc>
        <w:tc>
          <w:tcPr>
            <w:tcW w:w="2694" w:type="dxa"/>
            <w:shd w:val="clear" w:color="auto" w:fill="auto"/>
          </w:tcPr>
          <w:p>
            <w:pPr>
              <w:spacing w:before="100" w:beforeAutospacing="1" w:after="100" w:afterAutospacing="1"/>
              <w:rPr>
                <w:szCs w:val="21"/>
              </w:rPr>
            </w:pPr>
          </w:p>
        </w:tc>
        <w:tc>
          <w:tcPr>
            <w:tcW w:w="815" w:type="dxa"/>
            <w:shd w:val="clear" w:color="auto" w:fill="auto"/>
          </w:tcPr>
          <w:p>
            <w:pPr>
              <w:spacing w:before="100" w:beforeAutospacing="1" w:after="100" w:afterAutospacing="1"/>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74" w:type="dxa"/>
            <w:gridSpan w:val="5"/>
            <w:shd w:val="clear" w:color="auto" w:fill="auto"/>
          </w:tcPr>
          <w:p>
            <w:pPr>
              <w:spacing w:before="100" w:beforeAutospacing="1" w:after="100" w:afterAutospacing="1"/>
              <w:jc w:val="center"/>
              <w:rPr>
                <w:b/>
                <w:szCs w:val="21"/>
              </w:rPr>
            </w:pPr>
            <w:r>
              <w:rPr>
                <w:rFonts w:hint="eastAsia"/>
                <w:b/>
                <w:szCs w:val="21"/>
              </w:rPr>
              <w:t>商务</w:t>
            </w:r>
            <w:r>
              <w:rPr>
                <w:b/>
                <w:szCs w:val="21"/>
              </w:rPr>
              <w:t>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tcPr>
          <w:p>
            <w:pPr>
              <w:spacing w:before="100" w:beforeAutospacing="1" w:after="100" w:afterAutospacing="1"/>
              <w:rPr>
                <w:szCs w:val="21"/>
              </w:rPr>
            </w:pPr>
          </w:p>
        </w:tc>
        <w:tc>
          <w:tcPr>
            <w:tcW w:w="1985" w:type="dxa"/>
            <w:shd w:val="clear" w:color="auto" w:fill="auto"/>
          </w:tcPr>
          <w:p>
            <w:pPr>
              <w:spacing w:before="100" w:beforeAutospacing="1" w:after="100" w:afterAutospacing="1"/>
              <w:rPr>
                <w:szCs w:val="21"/>
              </w:rPr>
            </w:pPr>
          </w:p>
        </w:tc>
        <w:tc>
          <w:tcPr>
            <w:tcW w:w="2976" w:type="dxa"/>
            <w:shd w:val="clear" w:color="auto" w:fill="auto"/>
          </w:tcPr>
          <w:p>
            <w:pPr>
              <w:spacing w:before="100" w:beforeAutospacing="1" w:after="100" w:afterAutospacing="1"/>
              <w:rPr>
                <w:szCs w:val="21"/>
              </w:rPr>
            </w:pPr>
          </w:p>
        </w:tc>
        <w:tc>
          <w:tcPr>
            <w:tcW w:w="2694" w:type="dxa"/>
            <w:shd w:val="clear" w:color="auto" w:fill="auto"/>
          </w:tcPr>
          <w:p>
            <w:pPr>
              <w:spacing w:before="100" w:beforeAutospacing="1" w:after="100" w:afterAutospacing="1"/>
              <w:rPr>
                <w:szCs w:val="21"/>
              </w:rPr>
            </w:pPr>
          </w:p>
        </w:tc>
        <w:tc>
          <w:tcPr>
            <w:tcW w:w="815" w:type="dxa"/>
            <w:shd w:val="clear" w:color="auto" w:fill="auto"/>
          </w:tcPr>
          <w:p>
            <w:pPr>
              <w:spacing w:before="100" w:beforeAutospacing="1" w:after="100" w:afterAutospacing="1"/>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tcPr>
          <w:p>
            <w:pPr>
              <w:spacing w:before="100" w:beforeAutospacing="1" w:after="100" w:afterAutospacing="1"/>
              <w:rPr>
                <w:szCs w:val="21"/>
              </w:rPr>
            </w:pPr>
          </w:p>
        </w:tc>
        <w:tc>
          <w:tcPr>
            <w:tcW w:w="1985" w:type="dxa"/>
            <w:shd w:val="clear" w:color="auto" w:fill="auto"/>
          </w:tcPr>
          <w:p>
            <w:pPr>
              <w:spacing w:before="100" w:beforeAutospacing="1" w:after="100" w:afterAutospacing="1"/>
              <w:rPr>
                <w:szCs w:val="21"/>
              </w:rPr>
            </w:pPr>
          </w:p>
        </w:tc>
        <w:tc>
          <w:tcPr>
            <w:tcW w:w="2976" w:type="dxa"/>
            <w:shd w:val="clear" w:color="auto" w:fill="auto"/>
          </w:tcPr>
          <w:p>
            <w:pPr>
              <w:spacing w:before="100" w:beforeAutospacing="1" w:after="100" w:afterAutospacing="1"/>
              <w:rPr>
                <w:szCs w:val="21"/>
              </w:rPr>
            </w:pPr>
          </w:p>
        </w:tc>
        <w:tc>
          <w:tcPr>
            <w:tcW w:w="2694" w:type="dxa"/>
            <w:shd w:val="clear" w:color="auto" w:fill="auto"/>
          </w:tcPr>
          <w:p>
            <w:pPr>
              <w:spacing w:before="100" w:beforeAutospacing="1" w:after="100" w:afterAutospacing="1"/>
              <w:rPr>
                <w:szCs w:val="21"/>
              </w:rPr>
            </w:pPr>
          </w:p>
        </w:tc>
        <w:tc>
          <w:tcPr>
            <w:tcW w:w="815" w:type="dxa"/>
            <w:shd w:val="clear" w:color="auto" w:fill="auto"/>
          </w:tcPr>
          <w:p>
            <w:pPr>
              <w:spacing w:before="100" w:beforeAutospacing="1" w:after="100" w:afterAutospacing="1"/>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4" w:type="dxa"/>
            <w:shd w:val="clear" w:color="auto" w:fill="auto"/>
          </w:tcPr>
          <w:p>
            <w:pPr>
              <w:spacing w:before="100" w:beforeAutospacing="1" w:after="100" w:afterAutospacing="1"/>
              <w:rPr>
                <w:szCs w:val="21"/>
              </w:rPr>
            </w:pPr>
          </w:p>
        </w:tc>
        <w:tc>
          <w:tcPr>
            <w:tcW w:w="1985" w:type="dxa"/>
            <w:shd w:val="clear" w:color="auto" w:fill="auto"/>
          </w:tcPr>
          <w:p>
            <w:pPr>
              <w:spacing w:before="100" w:beforeAutospacing="1" w:after="100" w:afterAutospacing="1"/>
              <w:rPr>
                <w:szCs w:val="21"/>
              </w:rPr>
            </w:pPr>
          </w:p>
        </w:tc>
        <w:tc>
          <w:tcPr>
            <w:tcW w:w="2976" w:type="dxa"/>
            <w:shd w:val="clear" w:color="auto" w:fill="auto"/>
          </w:tcPr>
          <w:p>
            <w:pPr>
              <w:spacing w:before="100" w:beforeAutospacing="1" w:after="100" w:afterAutospacing="1"/>
              <w:rPr>
                <w:szCs w:val="21"/>
              </w:rPr>
            </w:pPr>
          </w:p>
        </w:tc>
        <w:tc>
          <w:tcPr>
            <w:tcW w:w="2694" w:type="dxa"/>
            <w:shd w:val="clear" w:color="auto" w:fill="auto"/>
          </w:tcPr>
          <w:p>
            <w:pPr>
              <w:spacing w:before="100" w:beforeAutospacing="1" w:after="100" w:afterAutospacing="1"/>
              <w:rPr>
                <w:szCs w:val="21"/>
              </w:rPr>
            </w:pPr>
          </w:p>
        </w:tc>
        <w:tc>
          <w:tcPr>
            <w:tcW w:w="815" w:type="dxa"/>
            <w:shd w:val="clear" w:color="auto" w:fill="auto"/>
          </w:tcPr>
          <w:p>
            <w:pPr>
              <w:spacing w:before="100" w:beforeAutospacing="1" w:after="100" w:afterAutospacing="1"/>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tcPr>
          <w:p>
            <w:pPr>
              <w:spacing w:before="100" w:beforeAutospacing="1" w:after="100" w:afterAutospacing="1"/>
              <w:rPr>
                <w:szCs w:val="21"/>
              </w:rPr>
            </w:pPr>
          </w:p>
        </w:tc>
        <w:tc>
          <w:tcPr>
            <w:tcW w:w="1985" w:type="dxa"/>
            <w:shd w:val="clear" w:color="auto" w:fill="auto"/>
          </w:tcPr>
          <w:p>
            <w:pPr>
              <w:spacing w:before="100" w:beforeAutospacing="1" w:after="100" w:afterAutospacing="1"/>
              <w:rPr>
                <w:szCs w:val="21"/>
              </w:rPr>
            </w:pPr>
          </w:p>
        </w:tc>
        <w:tc>
          <w:tcPr>
            <w:tcW w:w="2976" w:type="dxa"/>
            <w:shd w:val="clear" w:color="auto" w:fill="auto"/>
          </w:tcPr>
          <w:p>
            <w:pPr>
              <w:spacing w:before="100" w:beforeAutospacing="1" w:after="100" w:afterAutospacing="1"/>
              <w:rPr>
                <w:szCs w:val="21"/>
              </w:rPr>
            </w:pPr>
          </w:p>
        </w:tc>
        <w:tc>
          <w:tcPr>
            <w:tcW w:w="2694" w:type="dxa"/>
            <w:shd w:val="clear" w:color="auto" w:fill="auto"/>
          </w:tcPr>
          <w:p>
            <w:pPr>
              <w:spacing w:before="100" w:beforeAutospacing="1" w:after="100" w:afterAutospacing="1"/>
              <w:rPr>
                <w:szCs w:val="21"/>
              </w:rPr>
            </w:pPr>
          </w:p>
        </w:tc>
        <w:tc>
          <w:tcPr>
            <w:tcW w:w="815" w:type="dxa"/>
            <w:shd w:val="clear" w:color="auto" w:fill="auto"/>
          </w:tcPr>
          <w:p>
            <w:pPr>
              <w:spacing w:before="100" w:beforeAutospacing="1" w:after="100" w:afterAutospacing="1"/>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tcPr>
          <w:p>
            <w:pPr>
              <w:spacing w:before="100" w:beforeAutospacing="1" w:after="100" w:afterAutospacing="1"/>
              <w:rPr>
                <w:szCs w:val="21"/>
              </w:rPr>
            </w:pPr>
          </w:p>
        </w:tc>
        <w:tc>
          <w:tcPr>
            <w:tcW w:w="1985" w:type="dxa"/>
            <w:shd w:val="clear" w:color="auto" w:fill="auto"/>
          </w:tcPr>
          <w:p>
            <w:pPr>
              <w:spacing w:before="100" w:beforeAutospacing="1" w:after="100" w:afterAutospacing="1"/>
              <w:rPr>
                <w:szCs w:val="21"/>
              </w:rPr>
            </w:pPr>
          </w:p>
        </w:tc>
        <w:tc>
          <w:tcPr>
            <w:tcW w:w="2976" w:type="dxa"/>
            <w:shd w:val="clear" w:color="auto" w:fill="auto"/>
          </w:tcPr>
          <w:p>
            <w:pPr>
              <w:spacing w:before="100" w:beforeAutospacing="1" w:after="100" w:afterAutospacing="1"/>
              <w:rPr>
                <w:szCs w:val="21"/>
              </w:rPr>
            </w:pPr>
          </w:p>
        </w:tc>
        <w:tc>
          <w:tcPr>
            <w:tcW w:w="2694" w:type="dxa"/>
            <w:shd w:val="clear" w:color="auto" w:fill="auto"/>
          </w:tcPr>
          <w:p>
            <w:pPr>
              <w:spacing w:before="100" w:beforeAutospacing="1" w:after="100" w:afterAutospacing="1"/>
              <w:rPr>
                <w:szCs w:val="21"/>
              </w:rPr>
            </w:pPr>
          </w:p>
        </w:tc>
        <w:tc>
          <w:tcPr>
            <w:tcW w:w="815" w:type="dxa"/>
            <w:shd w:val="clear" w:color="auto" w:fill="auto"/>
          </w:tcPr>
          <w:p>
            <w:pPr>
              <w:spacing w:before="100" w:beforeAutospacing="1" w:after="100" w:afterAutospacing="1"/>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tcPr>
          <w:p>
            <w:pPr>
              <w:spacing w:before="100" w:beforeAutospacing="1" w:after="100" w:afterAutospacing="1"/>
              <w:rPr>
                <w:szCs w:val="21"/>
              </w:rPr>
            </w:pPr>
          </w:p>
        </w:tc>
        <w:tc>
          <w:tcPr>
            <w:tcW w:w="1985" w:type="dxa"/>
            <w:shd w:val="clear" w:color="auto" w:fill="auto"/>
          </w:tcPr>
          <w:p>
            <w:pPr>
              <w:spacing w:before="100" w:beforeAutospacing="1" w:after="100" w:afterAutospacing="1"/>
              <w:rPr>
                <w:szCs w:val="21"/>
              </w:rPr>
            </w:pPr>
          </w:p>
        </w:tc>
        <w:tc>
          <w:tcPr>
            <w:tcW w:w="2976" w:type="dxa"/>
            <w:shd w:val="clear" w:color="auto" w:fill="auto"/>
          </w:tcPr>
          <w:p>
            <w:pPr>
              <w:spacing w:before="100" w:beforeAutospacing="1" w:after="100" w:afterAutospacing="1"/>
              <w:rPr>
                <w:szCs w:val="21"/>
              </w:rPr>
            </w:pPr>
          </w:p>
        </w:tc>
        <w:tc>
          <w:tcPr>
            <w:tcW w:w="2694" w:type="dxa"/>
            <w:shd w:val="clear" w:color="auto" w:fill="auto"/>
          </w:tcPr>
          <w:p>
            <w:pPr>
              <w:spacing w:before="100" w:beforeAutospacing="1" w:after="100" w:afterAutospacing="1"/>
              <w:rPr>
                <w:szCs w:val="21"/>
              </w:rPr>
            </w:pPr>
          </w:p>
        </w:tc>
        <w:tc>
          <w:tcPr>
            <w:tcW w:w="815" w:type="dxa"/>
            <w:shd w:val="clear" w:color="auto" w:fill="auto"/>
          </w:tcPr>
          <w:p>
            <w:pPr>
              <w:spacing w:before="100" w:beforeAutospacing="1" w:after="100" w:afterAutospacing="1"/>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4" w:type="dxa"/>
            <w:shd w:val="clear" w:color="auto" w:fill="auto"/>
          </w:tcPr>
          <w:p>
            <w:pPr>
              <w:spacing w:before="100" w:beforeAutospacing="1" w:after="100" w:afterAutospacing="1"/>
              <w:rPr>
                <w:szCs w:val="21"/>
              </w:rPr>
            </w:pPr>
          </w:p>
        </w:tc>
        <w:tc>
          <w:tcPr>
            <w:tcW w:w="1985" w:type="dxa"/>
            <w:shd w:val="clear" w:color="auto" w:fill="auto"/>
          </w:tcPr>
          <w:p>
            <w:pPr>
              <w:spacing w:before="100" w:beforeAutospacing="1" w:after="100" w:afterAutospacing="1"/>
              <w:rPr>
                <w:rFonts w:ascii="仿宋_GB2312" w:hAnsi="仿宋_GB2312" w:eastAsia="仿宋_GB2312" w:cs="仿宋_GB2312"/>
                <w:color w:val="000000"/>
                <w:szCs w:val="21"/>
              </w:rPr>
            </w:pPr>
          </w:p>
        </w:tc>
        <w:tc>
          <w:tcPr>
            <w:tcW w:w="2976" w:type="dxa"/>
            <w:shd w:val="clear" w:color="auto" w:fill="auto"/>
          </w:tcPr>
          <w:p>
            <w:pPr>
              <w:spacing w:before="100" w:beforeAutospacing="1" w:after="100" w:afterAutospacing="1"/>
              <w:rPr>
                <w:rFonts w:ascii="仿宋_GB2312" w:hAnsi="仿宋" w:eastAsia="仿宋_GB2312" w:cs="仿宋"/>
                <w:szCs w:val="21"/>
              </w:rPr>
            </w:pPr>
          </w:p>
        </w:tc>
        <w:tc>
          <w:tcPr>
            <w:tcW w:w="2694" w:type="dxa"/>
            <w:shd w:val="clear" w:color="auto" w:fill="auto"/>
          </w:tcPr>
          <w:p>
            <w:pPr>
              <w:spacing w:before="100" w:beforeAutospacing="1" w:after="100" w:afterAutospacing="1"/>
              <w:rPr>
                <w:szCs w:val="21"/>
              </w:rPr>
            </w:pPr>
          </w:p>
        </w:tc>
        <w:tc>
          <w:tcPr>
            <w:tcW w:w="815" w:type="dxa"/>
            <w:shd w:val="clear" w:color="auto" w:fill="auto"/>
          </w:tcPr>
          <w:p>
            <w:pPr>
              <w:spacing w:before="100" w:beforeAutospacing="1" w:after="100" w:afterAutospacing="1"/>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tcPr>
          <w:p>
            <w:pPr>
              <w:spacing w:before="100" w:beforeAutospacing="1" w:after="100" w:afterAutospacing="1"/>
              <w:rPr>
                <w:szCs w:val="21"/>
              </w:rPr>
            </w:pPr>
          </w:p>
        </w:tc>
        <w:tc>
          <w:tcPr>
            <w:tcW w:w="1985" w:type="dxa"/>
            <w:shd w:val="clear" w:color="auto" w:fill="auto"/>
          </w:tcPr>
          <w:p>
            <w:pPr>
              <w:spacing w:before="100" w:beforeAutospacing="1" w:after="100" w:afterAutospacing="1"/>
              <w:rPr>
                <w:szCs w:val="21"/>
              </w:rPr>
            </w:pPr>
          </w:p>
        </w:tc>
        <w:tc>
          <w:tcPr>
            <w:tcW w:w="2976" w:type="dxa"/>
            <w:shd w:val="clear" w:color="auto" w:fill="auto"/>
          </w:tcPr>
          <w:p>
            <w:pPr>
              <w:spacing w:before="100" w:beforeAutospacing="1" w:after="100" w:afterAutospacing="1"/>
              <w:rPr>
                <w:szCs w:val="21"/>
              </w:rPr>
            </w:pPr>
          </w:p>
        </w:tc>
        <w:tc>
          <w:tcPr>
            <w:tcW w:w="2694" w:type="dxa"/>
            <w:shd w:val="clear" w:color="auto" w:fill="auto"/>
          </w:tcPr>
          <w:p>
            <w:pPr>
              <w:spacing w:before="100" w:beforeAutospacing="1" w:after="100" w:afterAutospacing="1"/>
              <w:rPr>
                <w:szCs w:val="21"/>
              </w:rPr>
            </w:pPr>
          </w:p>
        </w:tc>
        <w:tc>
          <w:tcPr>
            <w:tcW w:w="815" w:type="dxa"/>
            <w:shd w:val="clear" w:color="auto" w:fill="auto"/>
          </w:tcPr>
          <w:p>
            <w:pPr>
              <w:spacing w:before="100" w:beforeAutospacing="1" w:after="100" w:afterAutospacing="1"/>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tcPr>
          <w:p>
            <w:pPr>
              <w:spacing w:before="100" w:beforeAutospacing="1" w:after="100" w:afterAutospacing="1"/>
              <w:rPr>
                <w:szCs w:val="21"/>
              </w:rPr>
            </w:pPr>
          </w:p>
        </w:tc>
        <w:tc>
          <w:tcPr>
            <w:tcW w:w="1985" w:type="dxa"/>
            <w:shd w:val="clear" w:color="auto" w:fill="auto"/>
          </w:tcPr>
          <w:p>
            <w:pPr>
              <w:spacing w:before="100" w:beforeAutospacing="1" w:after="100" w:afterAutospacing="1"/>
              <w:rPr>
                <w:szCs w:val="21"/>
              </w:rPr>
            </w:pPr>
          </w:p>
        </w:tc>
        <w:tc>
          <w:tcPr>
            <w:tcW w:w="2976" w:type="dxa"/>
            <w:shd w:val="clear" w:color="auto" w:fill="auto"/>
          </w:tcPr>
          <w:p>
            <w:pPr>
              <w:spacing w:before="100" w:beforeAutospacing="1" w:after="100" w:afterAutospacing="1"/>
              <w:rPr>
                <w:szCs w:val="21"/>
              </w:rPr>
            </w:pPr>
          </w:p>
        </w:tc>
        <w:tc>
          <w:tcPr>
            <w:tcW w:w="2694" w:type="dxa"/>
            <w:shd w:val="clear" w:color="auto" w:fill="auto"/>
          </w:tcPr>
          <w:p>
            <w:pPr>
              <w:spacing w:before="100" w:beforeAutospacing="1" w:after="100" w:afterAutospacing="1"/>
              <w:rPr>
                <w:szCs w:val="21"/>
              </w:rPr>
            </w:pPr>
          </w:p>
        </w:tc>
        <w:tc>
          <w:tcPr>
            <w:tcW w:w="815" w:type="dxa"/>
            <w:shd w:val="clear" w:color="auto" w:fill="auto"/>
          </w:tcPr>
          <w:p>
            <w:pPr>
              <w:spacing w:before="100" w:beforeAutospacing="1" w:after="100" w:afterAutospacing="1"/>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tcPr>
          <w:p>
            <w:pPr>
              <w:spacing w:before="100" w:beforeAutospacing="1" w:after="100" w:afterAutospacing="1"/>
              <w:rPr>
                <w:szCs w:val="21"/>
              </w:rPr>
            </w:pPr>
          </w:p>
        </w:tc>
        <w:tc>
          <w:tcPr>
            <w:tcW w:w="1985" w:type="dxa"/>
            <w:shd w:val="clear" w:color="auto" w:fill="auto"/>
          </w:tcPr>
          <w:p>
            <w:pPr>
              <w:spacing w:before="100" w:beforeAutospacing="1" w:after="100" w:afterAutospacing="1"/>
              <w:rPr>
                <w:szCs w:val="21"/>
              </w:rPr>
            </w:pPr>
          </w:p>
        </w:tc>
        <w:tc>
          <w:tcPr>
            <w:tcW w:w="2976" w:type="dxa"/>
            <w:shd w:val="clear" w:color="auto" w:fill="auto"/>
          </w:tcPr>
          <w:p>
            <w:pPr>
              <w:spacing w:before="100" w:beforeAutospacing="1" w:after="100" w:afterAutospacing="1"/>
              <w:rPr>
                <w:szCs w:val="21"/>
              </w:rPr>
            </w:pPr>
          </w:p>
        </w:tc>
        <w:tc>
          <w:tcPr>
            <w:tcW w:w="2694" w:type="dxa"/>
            <w:shd w:val="clear" w:color="auto" w:fill="auto"/>
          </w:tcPr>
          <w:p>
            <w:pPr>
              <w:spacing w:before="100" w:beforeAutospacing="1" w:after="100" w:afterAutospacing="1"/>
              <w:rPr>
                <w:szCs w:val="21"/>
              </w:rPr>
            </w:pPr>
          </w:p>
        </w:tc>
        <w:tc>
          <w:tcPr>
            <w:tcW w:w="815" w:type="dxa"/>
            <w:shd w:val="clear" w:color="auto" w:fill="auto"/>
          </w:tcPr>
          <w:p>
            <w:pPr>
              <w:spacing w:before="100" w:beforeAutospacing="1" w:after="100" w:afterAutospacing="1"/>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4" w:type="dxa"/>
            <w:shd w:val="clear" w:color="auto" w:fill="auto"/>
          </w:tcPr>
          <w:p>
            <w:pPr>
              <w:spacing w:before="100" w:beforeAutospacing="1" w:after="100" w:afterAutospacing="1"/>
              <w:rPr>
                <w:szCs w:val="21"/>
              </w:rPr>
            </w:pPr>
          </w:p>
        </w:tc>
        <w:tc>
          <w:tcPr>
            <w:tcW w:w="1985" w:type="dxa"/>
            <w:shd w:val="clear" w:color="auto" w:fill="auto"/>
          </w:tcPr>
          <w:p>
            <w:pPr>
              <w:spacing w:before="100" w:beforeAutospacing="1" w:after="100" w:afterAutospacing="1"/>
              <w:rPr>
                <w:szCs w:val="21"/>
              </w:rPr>
            </w:pPr>
          </w:p>
        </w:tc>
        <w:tc>
          <w:tcPr>
            <w:tcW w:w="2976" w:type="dxa"/>
            <w:shd w:val="clear" w:color="auto" w:fill="auto"/>
          </w:tcPr>
          <w:p>
            <w:pPr>
              <w:spacing w:before="100" w:beforeAutospacing="1" w:after="100" w:afterAutospacing="1"/>
              <w:rPr>
                <w:szCs w:val="21"/>
              </w:rPr>
            </w:pPr>
          </w:p>
        </w:tc>
        <w:tc>
          <w:tcPr>
            <w:tcW w:w="2694" w:type="dxa"/>
            <w:shd w:val="clear" w:color="auto" w:fill="auto"/>
          </w:tcPr>
          <w:p>
            <w:pPr>
              <w:spacing w:before="100" w:beforeAutospacing="1" w:after="100" w:afterAutospacing="1"/>
              <w:rPr>
                <w:szCs w:val="21"/>
              </w:rPr>
            </w:pPr>
          </w:p>
        </w:tc>
        <w:tc>
          <w:tcPr>
            <w:tcW w:w="815" w:type="dxa"/>
            <w:shd w:val="clear" w:color="auto" w:fill="auto"/>
          </w:tcPr>
          <w:p>
            <w:pPr>
              <w:spacing w:before="100" w:beforeAutospacing="1" w:after="100" w:afterAutospacing="1"/>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tcPr>
          <w:p>
            <w:pPr>
              <w:spacing w:before="100" w:beforeAutospacing="1" w:after="100" w:afterAutospacing="1"/>
              <w:rPr>
                <w:szCs w:val="21"/>
              </w:rPr>
            </w:pPr>
          </w:p>
        </w:tc>
        <w:tc>
          <w:tcPr>
            <w:tcW w:w="1985" w:type="dxa"/>
            <w:shd w:val="clear" w:color="auto" w:fill="auto"/>
          </w:tcPr>
          <w:p>
            <w:pPr>
              <w:spacing w:before="100" w:beforeAutospacing="1" w:after="100" w:afterAutospacing="1"/>
              <w:rPr>
                <w:szCs w:val="21"/>
              </w:rPr>
            </w:pPr>
          </w:p>
        </w:tc>
        <w:tc>
          <w:tcPr>
            <w:tcW w:w="2976" w:type="dxa"/>
            <w:shd w:val="clear" w:color="auto" w:fill="auto"/>
          </w:tcPr>
          <w:p>
            <w:pPr>
              <w:spacing w:before="100" w:beforeAutospacing="1" w:after="100" w:afterAutospacing="1"/>
              <w:rPr>
                <w:szCs w:val="21"/>
              </w:rPr>
            </w:pPr>
          </w:p>
        </w:tc>
        <w:tc>
          <w:tcPr>
            <w:tcW w:w="2694" w:type="dxa"/>
            <w:shd w:val="clear" w:color="auto" w:fill="auto"/>
          </w:tcPr>
          <w:p>
            <w:pPr>
              <w:spacing w:before="100" w:beforeAutospacing="1" w:after="100" w:afterAutospacing="1"/>
              <w:rPr>
                <w:szCs w:val="21"/>
              </w:rPr>
            </w:pPr>
          </w:p>
        </w:tc>
        <w:tc>
          <w:tcPr>
            <w:tcW w:w="815" w:type="dxa"/>
            <w:shd w:val="clear" w:color="auto" w:fill="auto"/>
          </w:tcPr>
          <w:p>
            <w:pPr>
              <w:spacing w:before="100" w:beforeAutospacing="1" w:after="100" w:afterAutospacing="1"/>
              <w:rPr>
                <w:szCs w:val="21"/>
              </w:rPr>
            </w:pPr>
          </w:p>
        </w:tc>
      </w:tr>
    </w:tbl>
    <w:p>
      <w:pPr>
        <w:spacing w:line="460" w:lineRule="exact"/>
        <w:ind w:right="-340" w:rightChars="-162"/>
        <w:rPr>
          <w:rFonts w:ascii="仿宋_GB2312" w:eastAsia="仿宋_GB2312"/>
          <w:sz w:val="26"/>
          <w:szCs w:val="26"/>
        </w:rPr>
      </w:pPr>
      <w:r>
        <w:rPr>
          <w:rFonts w:hint="eastAsia" w:ascii="仿宋_GB2312" w:eastAsia="仿宋_GB2312"/>
          <w:b/>
          <w:sz w:val="26"/>
          <w:szCs w:val="26"/>
        </w:rPr>
        <w:t>注：1.需求文件条目号：</w:t>
      </w:r>
      <w:r>
        <w:rPr>
          <w:rFonts w:hint="eastAsia" w:ascii="仿宋_GB2312" w:eastAsia="仿宋_GB2312"/>
          <w:sz w:val="26"/>
          <w:szCs w:val="26"/>
        </w:rPr>
        <w:t>对应需求文件的第几页第几部分第几条第几款等；</w:t>
      </w:r>
    </w:p>
    <w:p>
      <w:pPr>
        <w:spacing w:line="460" w:lineRule="exact"/>
        <w:ind w:right="-340" w:rightChars="-162" w:firstLine="522" w:firstLineChars="200"/>
        <w:rPr>
          <w:rFonts w:ascii="仿宋_GB2312" w:eastAsia="仿宋_GB2312"/>
          <w:sz w:val="26"/>
          <w:szCs w:val="26"/>
        </w:rPr>
      </w:pPr>
      <w:r>
        <w:rPr>
          <w:rFonts w:hint="eastAsia" w:ascii="仿宋_GB2312" w:eastAsia="仿宋_GB2312"/>
          <w:b/>
          <w:sz w:val="26"/>
          <w:szCs w:val="26"/>
        </w:rPr>
        <w:t>2.需求文件条款：</w:t>
      </w:r>
      <w:r>
        <w:rPr>
          <w:rFonts w:hint="eastAsia" w:ascii="仿宋_GB2312" w:eastAsia="仿宋_GB2312"/>
          <w:sz w:val="26"/>
          <w:szCs w:val="26"/>
        </w:rPr>
        <w:t>对应需求文件具体条款的内容摘要；</w:t>
      </w:r>
    </w:p>
    <w:p>
      <w:pPr>
        <w:spacing w:line="460" w:lineRule="exact"/>
        <w:ind w:right="-340" w:rightChars="-162" w:firstLine="522" w:firstLineChars="200"/>
        <w:rPr>
          <w:rFonts w:ascii="仿宋_GB2312" w:eastAsia="仿宋_GB2312"/>
          <w:sz w:val="26"/>
          <w:szCs w:val="26"/>
        </w:rPr>
      </w:pPr>
      <w:r>
        <w:rPr>
          <w:rFonts w:hint="eastAsia" w:ascii="仿宋_GB2312" w:eastAsia="仿宋_GB2312"/>
          <w:b/>
          <w:sz w:val="26"/>
          <w:szCs w:val="26"/>
        </w:rPr>
        <w:t>3.投标文件条款：</w:t>
      </w:r>
      <w:r>
        <w:rPr>
          <w:rFonts w:hint="eastAsia" w:ascii="仿宋_GB2312" w:eastAsia="仿宋_GB2312"/>
          <w:sz w:val="26"/>
          <w:szCs w:val="26"/>
        </w:rPr>
        <w:t>由投标</w:t>
      </w:r>
      <w:r>
        <w:rPr>
          <w:rFonts w:hint="eastAsia" w:ascii="仿宋_GB2312" w:eastAsia="仿宋_GB2312"/>
          <w:sz w:val="26"/>
          <w:szCs w:val="26"/>
          <w:lang w:eastAsia="zh-CN"/>
        </w:rPr>
        <w:t>供应商</w:t>
      </w:r>
      <w:r>
        <w:rPr>
          <w:rFonts w:hint="eastAsia" w:ascii="仿宋_GB2312" w:eastAsia="仿宋_GB2312"/>
          <w:sz w:val="26"/>
          <w:szCs w:val="26"/>
        </w:rPr>
        <w:t>填写，对应需求文件，投标文件所给出的具体解决方法摘要；</w:t>
      </w:r>
    </w:p>
    <w:p>
      <w:pPr>
        <w:spacing w:line="460" w:lineRule="exact"/>
        <w:ind w:right="-340" w:rightChars="-162" w:firstLine="525"/>
        <w:rPr>
          <w:rFonts w:ascii="仿宋_GB2312" w:eastAsia="仿宋_GB2312"/>
          <w:sz w:val="26"/>
          <w:szCs w:val="26"/>
        </w:rPr>
      </w:pPr>
      <w:r>
        <w:rPr>
          <w:rFonts w:hint="eastAsia" w:ascii="仿宋_GB2312" w:eastAsia="仿宋_GB2312"/>
          <w:b/>
          <w:sz w:val="26"/>
          <w:szCs w:val="26"/>
        </w:rPr>
        <w:t>4.偏离：</w:t>
      </w:r>
      <w:r>
        <w:rPr>
          <w:rFonts w:hint="eastAsia" w:ascii="仿宋_GB2312" w:eastAsia="仿宋_GB2312"/>
          <w:sz w:val="26"/>
          <w:szCs w:val="26"/>
        </w:rPr>
        <w:t>由投标</w:t>
      </w:r>
      <w:r>
        <w:rPr>
          <w:rFonts w:hint="eastAsia" w:ascii="仿宋_GB2312" w:eastAsia="仿宋_GB2312"/>
          <w:sz w:val="26"/>
          <w:szCs w:val="26"/>
          <w:lang w:eastAsia="zh-CN"/>
        </w:rPr>
        <w:t>供应商</w:t>
      </w:r>
      <w:r>
        <w:rPr>
          <w:rFonts w:hint="eastAsia" w:ascii="仿宋_GB2312" w:eastAsia="仿宋_GB2312"/>
          <w:sz w:val="26"/>
          <w:szCs w:val="26"/>
        </w:rPr>
        <w:t>填写并承担法律责任，分为正偏离（投标文件优于需求文件）、无偏离（投标文件与需求文件一致）或负偏离（投标文件差于需求文件）。</w:t>
      </w:r>
    </w:p>
    <w:p>
      <w:pPr>
        <w:pStyle w:val="2"/>
        <w:ind w:left="0" w:leftChars="0" w:firstLine="0" w:firstLineChars="0"/>
        <w:rPr>
          <w:rFonts w:hint="eastAsia"/>
          <w:lang w:val="en-US" w:eastAsia="zh-CN"/>
        </w:rPr>
      </w:pPr>
    </w:p>
    <w:p>
      <w:pPr>
        <w:spacing w:line="580" w:lineRule="exact"/>
        <w:rPr>
          <w:rFonts w:hint="eastAsia" w:ascii="仿宋_GB2312" w:hAnsi="仿宋" w:eastAsia="仿宋_GB2312" w:cs="仿宋"/>
          <w:bCs/>
          <w:sz w:val="32"/>
          <w:szCs w:val="32"/>
          <w:u w:val="none"/>
          <w:lang w:val="en-US" w:eastAsia="zh-CN"/>
        </w:rPr>
      </w:pPr>
      <w:r>
        <w:rPr>
          <w:rFonts w:hint="eastAsia" w:ascii="仿宋_GB2312" w:hAnsi="仿宋" w:eastAsia="仿宋_GB2312" w:cs="仿宋"/>
          <w:bCs/>
          <w:sz w:val="32"/>
          <w:szCs w:val="32"/>
          <w:u w:val="none"/>
          <w:lang w:val="en-US" w:eastAsia="zh-CN"/>
        </w:rPr>
        <w:t>附件4</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both"/>
        <w:rPr>
          <w:rStyle w:val="18"/>
          <w:rFonts w:hint="eastAsia" w:ascii="宋体" w:hAnsi="宋体" w:eastAsia="宋体" w:cs="宋体"/>
          <w:i w:val="0"/>
          <w:iCs w:val="0"/>
          <w:caps w:val="0"/>
          <w:color w:val="333333"/>
          <w:spacing w:val="0"/>
          <w:sz w:val="36"/>
          <w:szCs w:val="36"/>
          <w:shd w:val="clear" w:color="auto" w:fill="FFFFFF"/>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jc w:val="center"/>
        <w:rPr>
          <w:rFonts w:hint="eastAsia" w:ascii="宋体" w:hAnsi="宋体" w:eastAsia="宋体" w:cs="宋体"/>
          <w:i w:val="0"/>
          <w:iCs w:val="0"/>
          <w:caps w:val="0"/>
          <w:color w:val="333333"/>
          <w:spacing w:val="0"/>
          <w:sz w:val="36"/>
          <w:szCs w:val="36"/>
        </w:rPr>
      </w:pPr>
      <w:r>
        <w:rPr>
          <w:rStyle w:val="18"/>
          <w:rFonts w:hint="eastAsia" w:ascii="宋体" w:hAnsi="宋体" w:eastAsia="宋体" w:cs="宋体"/>
          <w:i w:val="0"/>
          <w:iCs w:val="0"/>
          <w:caps w:val="0"/>
          <w:color w:val="333333"/>
          <w:spacing w:val="0"/>
          <w:sz w:val="36"/>
          <w:szCs w:val="36"/>
          <w:shd w:val="clear" w:color="auto" w:fill="FFFFFF"/>
        </w:rPr>
        <w:t>关于符合本国产品标准的声明函</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rPr>
        <w:t>1.</w:t>
      </w:r>
      <w:r>
        <w:rPr>
          <w:rStyle w:val="19"/>
          <w:rFonts w:hint="eastAsia" w:ascii="宋体" w:hAnsi="宋体" w:eastAsia="宋体" w:cs="宋体"/>
          <w:i w:val="0"/>
          <w:iCs w:val="0"/>
          <w:caps w:val="0"/>
          <w:color w:val="333333"/>
          <w:spacing w:val="0"/>
          <w:sz w:val="24"/>
          <w:szCs w:val="24"/>
          <w:shd w:val="clear" w:color="auto" w:fill="FFFFFF"/>
        </w:rPr>
        <w:t>（产品名称1）</w:t>
      </w:r>
      <w:r>
        <w:rPr>
          <w:rStyle w:val="19"/>
          <w:rFonts w:hint="eastAsia" w:ascii="宋体" w:hAnsi="宋体" w:eastAsia="宋体" w:cs="宋体"/>
          <w:i w:val="0"/>
          <w:iCs w:val="0"/>
          <w:caps w:val="0"/>
          <w:color w:val="333333"/>
          <w:spacing w:val="0"/>
          <w:sz w:val="24"/>
          <w:szCs w:val="24"/>
          <w:shd w:val="clear" w:color="auto" w:fill="FFFFFF"/>
          <w:vertAlign w:val="superscript"/>
        </w:rPr>
        <w:t>1</w:t>
      </w:r>
      <w:r>
        <w:rPr>
          <w:rFonts w:hint="eastAsia" w:ascii="宋体" w:hAnsi="宋体" w:eastAsia="宋体" w:cs="宋体"/>
          <w:i w:val="0"/>
          <w:iCs w:val="0"/>
          <w:caps w:val="0"/>
          <w:color w:val="333333"/>
          <w:spacing w:val="0"/>
          <w:sz w:val="24"/>
          <w:szCs w:val="24"/>
          <w:shd w:val="clear" w:color="auto" w:fill="FFFFFF"/>
        </w:rPr>
        <w:t>，生产厂为</w:t>
      </w:r>
      <w:r>
        <w:rPr>
          <w:rStyle w:val="19"/>
          <w:rFonts w:hint="eastAsia" w:ascii="宋体" w:hAnsi="宋体" w:eastAsia="宋体" w:cs="宋体"/>
          <w:i w:val="0"/>
          <w:iCs w:val="0"/>
          <w:caps w:val="0"/>
          <w:color w:val="333333"/>
          <w:spacing w:val="0"/>
          <w:sz w:val="24"/>
          <w:szCs w:val="24"/>
          <w:shd w:val="clear" w:color="auto" w:fill="FFFFFF"/>
        </w:rPr>
        <w:t>（厂名）</w:t>
      </w:r>
      <w:r>
        <w:rPr>
          <w:rStyle w:val="19"/>
          <w:rFonts w:hint="eastAsia" w:ascii="宋体" w:hAnsi="宋体" w:eastAsia="宋体" w:cs="宋体"/>
          <w:i w:val="0"/>
          <w:iCs w:val="0"/>
          <w:caps w:val="0"/>
          <w:color w:val="333333"/>
          <w:spacing w:val="0"/>
          <w:sz w:val="24"/>
          <w:szCs w:val="24"/>
          <w:shd w:val="clear" w:color="auto" w:fill="FFFFFF"/>
          <w:vertAlign w:val="superscript"/>
        </w:rPr>
        <w:t>2</w:t>
      </w:r>
      <w:r>
        <w:rPr>
          <w:rFonts w:hint="eastAsia" w:ascii="宋体" w:hAnsi="宋体" w:eastAsia="宋体" w:cs="宋体"/>
          <w:i w:val="0"/>
          <w:iCs w:val="0"/>
          <w:caps w:val="0"/>
          <w:color w:val="333333"/>
          <w:spacing w:val="0"/>
          <w:sz w:val="24"/>
          <w:szCs w:val="24"/>
          <w:shd w:val="clear" w:color="auto" w:fill="FFFFFF"/>
        </w:rPr>
        <w:t>，厂址为</w:t>
      </w:r>
      <w:r>
        <w:rPr>
          <w:rStyle w:val="19"/>
          <w:rFonts w:hint="eastAsia" w:ascii="宋体" w:hAnsi="宋体" w:eastAsia="宋体" w:cs="宋体"/>
          <w:i w:val="0"/>
          <w:iCs w:val="0"/>
          <w:caps w:val="0"/>
          <w:color w:val="333333"/>
          <w:spacing w:val="0"/>
          <w:sz w:val="24"/>
          <w:szCs w:val="24"/>
          <w:shd w:val="clear" w:color="auto" w:fill="FFFFFF"/>
        </w:rPr>
        <w:t>（生产厂址）</w:t>
      </w:r>
      <w:r>
        <w:rPr>
          <w:rFonts w:hint="eastAsia" w:ascii="宋体" w:hAnsi="宋体" w:eastAsia="宋体" w:cs="宋体"/>
          <w:i w:val="0"/>
          <w:iCs w:val="0"/>
          <w:caps w:val="0"/>
          <w:color w:val="333333"/>
          <w:spacing w:val="0"/>
          <w:sz w:val="24"/>
          <w:szCs w:val="24"/>
          <w:shd w:val="clear" w:color="auto" w:fill="FFFFFF"/>
        </w:rPr>
        <w:t>。</w:t>
      </w:r>
      <w:r>
        <w:rPr>
          <w:rStyle w:val="19"/>
          <w:rFonts w:hint="eastAsia" w:ascii="宋体" w:hAnsi="宋体" w:eastAsia="宋体" w:cs="宋体"/>
          <w:i w:val="0"/>
          <w:iCs w:val="0"/>
          <w:caps w:val="0"/>
          <w:color w:val="333333"/>
          <w:spacing w:val="0"/>
          <w:sz w:val="24"/>
          <w:szCs w:val="24"/>
          <w:shd w:val="clear" w:color="auto" w:fill="FFFFFF"/>
        </w:rPr>
        <w:t>（产品名称1）</w:t>
      </w:r>
      <w:r>
        <w:rPr>
          <w:rFonts w:hint="eastAsia" w:ascii="宋体" w:hAnsi="宋体" w:eastAsia="宋体" w:cs="宋体"/>
          <w:i w:val="0"/>
          <w:iCs w:val="0"/>
          <w:caps w:val="0"/>
          <w:color w:val="333333"/>
          <w:spacing w:val="0"/>
          <w:sz w:val="24"/>
          <w:szCs w:val="24"/>
          <w:shd w:val="clear" w:color="auto" w:fill="FFFFFF"/>
        </w:rPr>
        <w:t>的中国境内生产的组件成本占比≥</w:t>
      </w:r>
      <w:r>
        <w:rPr>
          <w:rStyle w:val="19"/>
          <w:rFonts w:hint="eastAsia" w:ascii="宋体" w:hAnsi="宋体" w:eastAsia="宋体" w:cs="宋体"/>
          <w:i w:val="0"/>
          <w:iCs w:val="0"/>
          <w:caps w:val="0"/>
          <w:color w:val="333333"/>
          <w:spacing w:val="0"/>
          <w:sz w:val="24"/>
          <w:szCs w:val="24"/>
          <w:shd w:val="clear" w:color="auto" w:fill="FFFFFF"/>
        </w:rPr>
        <w:t>（规定比例）</w:t>
      </w:r>
      <w:r>
        <w:rPr>
          <w:rStyle w:val="19"/>
          <w:rFonts w:hint="eastAsia" w:ascii="宋体" w:hAnsi="宋体" w:eastAsia="宋体" w:cs="宋体"/>
          <w:i w:val="0"/>
          <w:iCs w:val="0"/>
          <w:caps w:val="0"/>
          <w:color w:val="333333"/>
          <w:spacing w:val="0"/>
          <w:sz w:val="24"/>
          <w:szCs w:val="24"/>
          <w:shd w:val="clear" w:color="auto" w:fill="FFFFFF"/>
          <w:vertAlign w:val="superscript"/>
        </w:rPr>
        <w:t>3</w:t>
      </w:r>
      <w:r>
        <w:rPr>
          <w:rFonts w:hint="eastAsia" w:ascii="宋体" w:hAnsi="宋体" w:eastAsia="宋体" w:cs="宋体"/>
          <w:i w:val="0"/>
          <w:iCs w:val="0"/>
          <w:caps w:val="0"/>
          <w:color w:val="333333"/>
          <w:spacing w:val="0"/>
          <w:sz w:val="24"/>
          <w:szCs w:val="24"/>
          <w:shd w:val="clear" w:color="auto" w:fill="FFFFFF"/>
        </w:rPr>
        <w:t>。</w:t>
      </w:r>
      <w:r>
        <w:rPr>
          <w:rStyle w:val="19"/>
          <w:rFonts w:hint="eastAsia" w:ascii="宋体" w:hAnsi="宋体" w:eastAsia="宋体" w:cs="宋体"/>
          <w:i w:val="0"/>
          <w:iCs w:val="0"/>
          <w:caps w:val="0"/>
          <w:color w:val="333333"/>
          <w:spacing w:val="0"/>
          <w:sz w:val="24"/>
          <w:szCs w:val="24"/>
          <w:shd w:val="clear" w:color="auto" w:fill="FFFFFF"/>
        </w:rPr>
        <w:t>（产品名称1）</w:t>
      </w:r>
      <w:r>
        <w:rPr>
          <w:rFonts w:hint="eastAsia" w:ascii="宋体" w:hAnsi="宋体" w:eastAsia="宋体" w:cs="宋体"/>
          <w:i w:val="0"/>
          <w:iCs w:val="0"/>
          <w:caps w:val="0"/>
          <w:color w:val="333333"/>
          <w:spacing w:val="0"/>
          <w:sz w:val="24"/>
          <w:szCs w:val="24"/>
          <w:shd w:val="clear" w:color="auto" w:fill="FFFFFF"/>
        </w:rPr>
        <w:t>的</w:t>
      </w:r>
      <w:r>
        <w:rPr>
          <w:rStyle w:val="19"/>
          <w:rFonts w:hint="eastAsia" w:ascii="宋体" w:hAnsi="宋体" w:eastAsia="宋体" w:cs="宋体"/>
          <w:i w:val="0"/>
          <w:iCs w:val="0"/>
          <w:caps w:val="0"/>
          <w:color w:val="333333"/>
          <w:spacing w:val="0"/>
          <w:sz w:val="24"/>
          <w:szCs w:val="24"/>
          <w:shd w:val="clear" w:color="auto" w:fill="FFFFFF"/>
        </w:rPr>
        <w:t>（关键组件）</w:t>
      </w:r>
      <w:r>
        <w:rPr>
          <w:rStyle w:val="19"/>
          <w:rFonts w:hint="eastAsia" w:ascii="宋体" w:hAnsi="宋体" w:eastAsia="宋体" w:cs="宋体"/>
          <w:i w:val="0"/>
          <w:iCs w:val="0"/>
          <w:caps w:val="0"/>
          <w:color w:val="333333"/>
          <w:spacing w:val="0"/>
          <w:sz w:val="24"/>
          <w:szCs w:val="24"/>
          <w:shd w:val="clear" w:color="auto" w:fill="FFFFFF"/>
          <w:vertAlign w:val="superscript"/>
        </w:rPr>
        <w:t>4</w:t>
      </w:r>
      <w:r>
        <w:rPr>
          <w:rFonts w:hint="eastAsia" w:ascii="宋体" w:hAnsi="宋体" w:eastAsia="宋体" w:cs="宋体"/>
          <w:i w:val="0"/>
          <w:iCs w:val="0"/>
          <w:caps w:val="0"/>
          <w:color w:val="333333"/>
          <w:spacing w:val="0"/>
          <w:sz w:val="24"/>
          <w:szCs w:val="24"/>
          <w:shd w:val="clear" w:color="auto" w:fill="FFFFFF"/>
        </w:rPr>
        <w:t>在中国境内生产。</w:t>
      </w:r>
      <w:r>
        <w:rPr>
          <w:rStyle w:val="19"/>
          <w:rFonts w:hint="eastAsia" w:ascii="宋体" w:hAnsi="宋体" w:eastAsia="宋体" w:cs="宋体"/>
          <w:i w:val="0"/>
          <w:iCs w:val="0"/>
          <w:caps w:val="0"/>
          <w:color w:val="333333"/>
          <w:spacing w:val="0"/>
          <w:sz w:val="24"/>
          <w:szCs w:val="24"/>
          <w:shd w:val="clear" w:color="auto" w:fill="FFFFFF"/>
        </w:rPr>
        <w:t>（产品名称1）</w:t>
      </w:r>
      <w:r>
        <w:rPr>
          <w:rFonts w:hint="eastAsia" w:ascii="宋体" w:hAnsi="宋体" w:eastAsia="宋体" w:cs="宋体"/>
          <w:i w:val="0"/>
          <w:iCs w:val="0"/>
          <w:caps w:val="0"/>
          <w:color w:val="333333"/>
          <w:spacing w:val="0"/>
          <w:sz w:val="24"/>
          <w:szCs w:val="24"/>
          <w:shd w:val="clear" w:color="auto" w:fill="FFFFFF"/>
        </w:rPr>
        <w:t>的</w:t>
      </w:r>
      <w:r>
        <w:rPr>
          <w:rStyle w:val="19"/>
          <w:rFonts w:hint="eastAsia" w:ascii="宋体" w:hAnsi="宋体" w:eastAsia="宋体" w:cs="宋体"/>
          <w:i w:val="0"/>
          <w:iCs w:val="0"/>
          <w:caps w:val="0"/>
          <w:color w:val="333333"/>
          <w:spacing w:val="0"/>
          <w:sz w:val="24"/>
          <w:szCs w:val="24"/>
          <w:shd w:val="clear" w:color="auto" w:fill="FFFFFF"/>
        </w:rPr>
        <w:t>（关键工序）</w:t>
      </w:r>
      <w:r>
        <w:rPr>
          <w:rStyle w:val="19"/>
          <w:rFonts w:hint="eastAsia" w:ascii="宋体" w:hAnsi="宋体" w:eastAsia="宋体" w:cs="宋体"/>
          <w:i w:val="0"/>
          <w:iCs w:val="0"/>
          <w:caps w:val="0"/>
          <w:color w:val="333333"/>
          <w:spacing w:val="0"/>
          <w:sz w:val="24"/>
          <w:szCs w:val="24"/>
          <w:shd w:val="clear" w:color="auto" w:fill="FFFFFF"/>
          <w:vertAlign w:val="superscript"/>
        </w:rPr>
        <w:t>5</w:t>
      </w:r>
      <w:r>
        <w:rPr>
          <w:rFonts w:hint="eastAsia" w:ascii="宋体" w:hAnsi="宋体" w:eastAsia="宋体" w:cs="宋体"/>
          <w:i w:val="0"/>
          <w:iCs w:val="0"/>
          <w:caps w:val="0"/>
          <w:color w:val="333333"/>
          <w:spacing w:val="0"/>
          <w:sz w:val="24"/>
          <w:szCs w:val="24"/>
          <w:shd w:val="clear" w:color="auto" w:fill="FFFFFF"/>
        </w:rPr>
        <w:t>在中国境内完成。</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rPr>
        <w:t>2.</w:t>
      </w:r>
      <w:r>
        <w:rPr>
          <w:rStyle w:val="19"/>
          <w:rFonts w:hint="eastAsia" w:ascii="宋体" w:hAnsi="宋体" w:eastAsia="宋体" w:cs="宋体"/>
          <w:i w:val="0"/>
          <w:iCs w:val="0"/>
          <w:caps w:val="0"/>
          <w:color w:val="333333"/>
          <w:spacing w:val="0"/>
          <w:sz w:val="24"/>
          <w:szCs w:val="24"/>
          <w:shd w:val="clear" w:color="auto" w:fill="FFFFFF"/>
        </w:rPr>
        <w:t>（产品名称2）</w:t>
      </w:r>
      <w:r>
        <w:rPr>
          <w:rFonts w:hint="eastAsia" w:ascii="宋体" w:hAnsi="宋体" w:eastAsia="宋体" w:cs="宋体"/>
          <w:i w:val="0"/>
          <w:iCs w:val="0"/>
          <w:caps w:val="0"/>
          <w:color w:val="333333"/>
          <w:spacing w:val="0"/>
          <w:sz w:val="24"/>
          <w:szCs w:val="24"/>
          <w:shd w:val="clear" w:color="auto" w:fill="FFFFFF"/>
        </w:rPr>
        <w:t>，生产厂为</w:t>
      </w:r>
      <w:r>
        <w:rPr>
          <w:rStyle w:val="19"/>
          <w:rFonts w:hint="eastAsia" w:ascii="宋体" w:hAnsi="宋体" w:eastAsia="宋体" w:cs="宋体"/>
          <w:i w:val="0"/>
          <w:iCs w:val="0"/>
          <w:caps w:val="0"/>
          <w:color w:val="333333"/>
          <w:spacing w:val="0"/>
          <w:sz w:val="24"/>
          <w:szCs w:val="24"/>
          <w:shd w:val="clear" w:color="auto" w:fill="FFFFFF"/>
        </w:rPr>
        <w:t>（厂名）</w:t>
      </w:r>
      <w:r>
        <w:rPr>
          <w:rFonts w:hint="eastAsia" w:ascii="宋体" w:hAnsi="宋体" w:eastAsia="宋体" w:cs="宋体"/>
          <w:i w:val="0"/>
          <w:iCs w:val="0"/>
          <w:caps w:val="0"/>
          <w:color w:val="333333"/>
          <w:spacing w:val="0"/>
          <w:sz w:val="24"/>
          <w:szCs w:val="24"/>
          <w:shd w:val="clear" w:color="auto" w:fill="FFFFFF"/>
        </w:rPr>
        <w:t>，厂址为</w:t>
      </w:r>
      <w:r>
        <w:rPr>
          <w:rStyle w:val="19"/>
          <w:rFonts w:hint="eastAsia" w:ascii="宋体" w:hAnsi="宋体" w:eastAsia="宋体" w:cs="宋体"/>
          <w:i w:val="0"/>
          <w:iCs w:val="0"/>
          <w:caps w:val="0"/>
          <w:color w:val="333333"/>
          <w:spacing w:val="0"/>
          <w:sz w:val="24"/>
          <w:szCs w:val="24"/>
          <w:shd w:val="clear" w:color="auto" w:fill="FFFFFF"/>
        </w:rPr>
        <w:t>（生产厂址）</w:t>
      </w:r>
      <w:r>
        <w:rPr>
          <w:rFonts w:hint="eastAsia" w:ascii="宋体" w:hAnsi="宋体" w:eastAsia="宋体" w:cs="宋体"/>
          <w:i w:val="0"/>
          <w:iCs w:val="0"/>
          <w:caps w:val="0"/>
          <w:color w:val="333333"/>
          <w:spacing w:val="0"/>
          <w:sz w:val="24"/>
          <w:szCs w:val="24"/>
          <w:shd w:val="clear" w:color="auto" w:fill="FFFFFF"/>
        </w:rPr>
        <w:t>。</w:t>
      </w:r>
      <w:r>
        <w:rPr>
          <w:rStyle w:val="19"/>
          <w:rFonts w:hint="eastAsia" w:ascii="宋体" w:hAnsi="宋体" w:eastAsia="宋体" w:cs="宋体"/>
          <w:i w:val="0"/>
          <w:iCs w:val="0"/>
          <w:caps w:val="0"/>
          <w:color w:val="333333"/>
          <w:spacing w:val="0"/>
          <w:sz w:val="24"/>
          <w:szCs w:val="24"/>
          <w:shd w:val="clear" w:color="auto" w:fill="FFFFFF"/>
        </w:rPr>
        <w:t>（产品名称2）</w:t>
      </w:r>
      <w:r>
        <w:rPr>
          <w:rFonts w:hint="eastAsia" w:ascii="宋体" w:hAnsi="宋体" w:eastAsia="宋体" w:cs="宋体"/>
          <w:i w:val="0"/>
          <w:iCs w:val="0"/>
          <w:caps w:val="0"/>
          <w:color w:val="333333"/>
          <w:spacing w:val="0"/>
          <w:sz w:val="24"/>
          <w:szCs w:val="24"/>
          <w:shd w:val="clear" w:color="auto" w:fill="FFFFFF"/>
        </w:rPr>
        <w:t>的中国境内生产的组件成本占比≥</w:t>
      </w:r>
      <w:r>
        <w:rPr>
          <w:rStyle w:val="19"/>
          <w:rFonts w:hint="eastAsia" w:ascii="宋体" w:hAnsi="宋体" w:eastAsia="宋体" w:cs="宋体"/>
          <w:i w:val="0"/>
          <w:iCs w:val="0"/>
          <w:caps w:val="0"/>
          <w:color w:val="333333"/>
          <w:spacing w:val="0"/>
          <w:sz w:val="24"/>
          <w:szCs w:val="24"/>
          <w:shd w:val="clear" w:color="auto" w:fill="FFFFFF"/>
        </w:rPr>
        <w:t>（规定比例）</w:t>
      </w:r>
      <w:r>
        <w:rPr>
          <w:rFonts w:hint="eastAsia" w:ascii="宋体" w:hAnsi="宋体" w:eastAsia="宋体" w:cs="宋体"/>
          <w:i w:val="0"/>
          <w:iCs w:val="0"/>
          <w:caps w:val="0"/>
          <w:color w:val="333333"/>
          <w:spacing w:val="0"/>
          <w:sz w:val="24"/>
          <w:szCs w:val="24"/>
          <w:shd w:val="clear" w:color="auto" w:fill="FFFFFF"/>
        </w:rPr>
        <w:t>。</w:t>
      </w:r>
      <w:r>
        <w:rPr>
          <w:rStyle w:val="19"/>
          <w:rFonts w:hint="eastAsia" w:ascii="宋体" w:hAnsi="宋体" w:eastAsia="宋体" w:cs="宋体"/>
          <w:i w:val="0"/>
          <w:iCs w:val="0"/>
          <w:caps w:val="0"/>
          <w:color w:val="333333"/>
          <w:spacing w:val="0"/>
          <w:sz w:val="24"/>
          <w:szCs w:val="24"/>
          <w:shd w:val="clear" w:color="auto" w:fill="FFFFFF"/>
        </w:rPr>
        <w:t>（产品名称2）</w:t>
      </w:r>
      <w:r>
        <w:rPr>
          <w:rFonts w:hint="eastAsia" w:ascii="宋体" w:hAnsi="宋体" w:eastAsia="宋体" w:cs="宋体"/>
          <w:i w:val="0"/>
          <w:iCs w:val="0"/>
          <w:caps w:val="0"/>
          <w:color w:val="333333"/>
          <w:spacing w:val="0"/>
          <w:sz w:val="24"/>
          <w:szCs w:val="24"/>
          <w:shd w:val="clear" w:color="auto" w:fill="FFFFFF"/>
        </w:rPr>
        <w:t>的</w:t>
      </w:r>
      <w:r>
        <w:rPr>
          <w:rStyle w:val="19"/>
          <w:rFonts w:hint="eastAsia" w:ascii="宋体" w:hAnsi="宋体" w:eastAsia="宋体" w:cs="宋体"/>
          <w:i w:val="0"/>
          <w:iCs w:val="0"/>
          <w:caps w:val="0"/>
          <w:color w:val="333333"/>
          <w:spacing w:val="0"/>
          <w:sz w:val="24"/>
          <w:szCs w:val="24"/>
          <w:shd w:val="clear" w:color="auto" w:fill="FFFFFF"/>
        </w:rPr>
        <w:t>（关键组件）</w:t>
      </w:r>
      <w:r>
        <w:rPr>
          <w:rFonts w:hint="eastAsia" w:ascii="宋体" w:hAnsi="宋体" w:eastAsia="宋体" w:cs="宋体"/>
          <w:i w:val="0"/>
          <w:iCs w:val="0"/>
          <w:caps w:val="0"/>
          <w:color w:val="333333"/>
          <w:spacing w:val="0"/>
          <w:sz w:val="24"/>
          <w:szCs w:val="24"/>
          <w:shd w:val="clear" w:color="auto" w:fill="FFFFFF"/>
        </w:rPr>
        <w:t>在中国境内生产。</w:t>
      </w:r>
      <w:r>
        <w:rPr>
          <w:rStyle w:val="19"/>
          <w:rFonts w:hint="eastAsia" w:ascii="宋体" w:hAnsi="宋体" w:eastAsia="宋体" w:cs="宋体"/>
          <w:i w:val="0"/>
          <w:iCs w:val="0"/>
          <w:caps w:val="0"/>
          <w:color w:val="333333"/>
          <w:spacing w:val="0"/>
          <w:sz w:val="24"/>
          <w:szCs w:val="24"/>
          <w:shd w:val="clear" w:color="auto" w:fill="FFFFFF"/>
        </w:rPr>
        <w:t>（产品名称2）</w:t>
      </w:r>
      <w:r>
        <w:rPr>
          <w:rFonts w:hint="eastAsia" w:ascii="宋体" w:hAnsi="宋体" w:eastAsia="宋体" w:cs="宋体"/>
          <w:i w:val="0"/>
          <w:iCs w:val="0"/>
          <w:caps w:val="0"/>
          <w:color w:val="333333"/>
          <w:spacing w:val="0"/>
          <w:sz w:val="24"/>
          <w:szCs w:val="24"/>
          <w:shd w:val="clear" w:color="auto" w:fill="FFFFFF"/>
        </w:rPr>
        <w:t>的</w:t>
      </w:r>
      <w:r>
        <w:rPr>
          <w:rStyle w:val="19"/>
          <w:rFonts w:hint="eastAsia" w:ascii="宋体" w:hAnsi="宋体" w:eastAsia="宋体" w:cs="宋体"/>
          <w:i w:val="0"/>
          <w:iCs w:val="0"/>
          <w:caps w:val="0"/>
          <w:color w:val="333333"/>
          <w:spacing w:val="0"/>
          <w:sz w:val="24"/>
          <w:szCs w:val="24"/>
          <w:shd w:val="clear" w:color="auto" w:fill="FFFFFF"/>
        </w:rPr>
        <w:t>（关键工序）</w:t>
      </w:r>
      <w:r>
        <w:rPr>
          <w:rFonts w:hint="eastAsia" w:ascii="宋体" w:hAnsi="宋体" w:eastAsia="宋体" w:cs="宋体"/>
          <w:i w:val="0"/>
          <w:iCs w:val="0"/>
          <w:caps w:val="0"/>
          <w:color w:val="333333"/>
          <w:spacing w:val="0"/>
          <w:sz w:val="24"/>
          <w:szCs w:val="24"/>
          <w:shd w:val="clear" w:color="auto" w:fill="FFFFFF"/>
        </w:rPr>
        <w:t>在中国境内完成。</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rPr>
        <w:t>……</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rPr>
        <w:t>本公司（单位）对上述声明内容的真实性负责。如有虚假，愿承担相应法律责任。</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rPr>
        <w:t>公司（单位）名称（盖章）：      </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rPr>
        <w:t>日期：　　　　　年　　月　日    </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rPr>
        <w:t>_____________________________</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_GB2312" w:hAnsi="楷体_GB2312" w:eastAsia="楷体_GB2312" w:cs="楷体_GB2312"/>
          <w:i w:val="0"/>
          <w:iCs w:val="0"/>
          <w:caps w:val="0"/>
          <w:color w:val="333333"/>
          <w:spacing w:val="0"/>
          <w:sz w:val="24"/>
          <w:szCs w:val="24"/>
          <w:shd w:val="clear" w:color="auto" w:fill="FFFFFF"/>
        </w:rPr>
        <w:t>1.产品如有型号，请在“产品名称”栏一并填写。</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_GB2312" w:hAnsi="楷体_GB2312" w:eastAsia="楷体_GB2312" w:cs="楷体_GB2312"/>
          <w:i w:val="0"/>
          <w:iCs w:val="0"/>
          <w:caps w:val="0"/>
          <w:color w:val="333333"/>
          <w:spacing w:val="0"/>
          <w:sz w:val="24"/>
          <w:szCs w:val="24"/>
          <w:shd w:val="clear" w:color="auto" w:fill="FFFFFF"/>
        </w:rPr>
        <w:t>2.生产厂名与厂址应与生产厂营业执照载明的相关信息保持一致。</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_GB2312" w:hAnsi="楷体_GB2312" w:eastAsia="楷体_GB2312" w:cs="楷体_GB2312"/>
          <w:i w:val="0"/>
          <w:iCs w:val="0"/>
          <w:caps w:val="0"/>
          <w:color w:val="333333"/>
          <w:spacing w:val="0"/>
          <w:sz w:val="24"/>
          <w:szCs w:val="24"/>
          <w:shd w:val="clear" w:color="auto" w:fill="FFFFFF"/>
        </w:rPr>
        <w:t>3.该产品的中国境内生产的组件成本占比相关要求实施前，“规定比例”栏可不填，下同。</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_GB2312" w:hAnsi="楷体_GB2312" w:eastAsia="楷体_GB2312" w:cs="楷体_GB2312"/>
          <w:i w:val="0"/>
          <w:iCs w:val="0"/>
          <w:caps w:val="0"/>
          <w:color w:val="333333"/>
          <w:spacing w:val="0"/>
          <w:sz w:val="24"/>
          <w:szCs w:val="24"/>
          <w:shd w:val="clear" w:color="auto" w:fill="FFFFFF"/>
        </w:rPr>
        <w:t>4.该产品的关键组件要求实施前，“关键组件”栏可不填，下同。</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_GB2312" w:hAnsi="楷体_GB2312" w:eastAsia="楷体_GB2312" w:cs="楷体_GB2312"/>
          <w:i w:val="0"/>
          <w:iCs w:val="0"/>
          <w:caps w:val="0"/>
          <w:color w:val="333333"/>
          <w:spacing w:val="0"/>
          <w:sz w:val="24"/>
          <w:szCs w:val="24"/>
          <w:shd w:val="clear" w:color="auto" w:fill="FFFFFF"/>
        </w:rPr>
        <w:t>5.该产品的关键工序要求实施前，“关键工序”栏可不填，下同。</w:t>
      </w:r>
    </w:p>
    <w:p/>
    <w:p>
      <w:pPr>
        <w:pStyle w:val="3"/>
      </w:pPr>
    </w:p>
    <w:p>
      <w:pPr>
        <w:spacing w:line="580" w:lineRule="exact"/>
      </w:pPr>
      <w:r>
        <w:rPr>
          <w:rFonts w:hint="eastAsia" w:ascii="仿宋_GB2312" w:hAnsi="仿宋" w:eastAsia="仿宋_GB2312" w:cs="仿宋"/>
          <w:b/>
          <w:bCs/>
          <w:sz w:val="32"/>
          <w:szCs w:val="32"/>
        </w:rPr>
        <w:t>备注：该参考模板仅适用于采购人自行组织实施的自行采购项目。</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汉仪叶叶相思体简">
    <w:altName w:val="华文中宋"/>
    <w:panose1 w:val="00000000000000000000"/>
    <w:charset w:val="00"/>
    <w:family w:val="auto"/>
    <w:pitch w:val="default"/>
    <w:sig w:usb0="00000000" w:usb1="00000000" w:usb2="00000000"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Arial">
    <w:altName w:val="DejaVu Sans"/>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513372"/>
    <w:multiLevelType w:val="multilevel"/>
    <w:tmpl w:val="17513372"/>
    <w:lvl w:ilvl="0" w:tentative="0">
      <w:start w:val="1"/>
      <w:numFmt w:val="decimal"/>
      <w:lvlText w:val="（%1）"/>
      <w:lvlJc w:val="left"/>
      <w:pPr>
        <w:ind w:left="1480" w:hanging="840"/>
      </w:pPr>
      <w:rPr>
        <w:rFonts w:hint="default"/>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08D"/>
    <w:rsid w:val="00012A0A"/>
    <w:rsid w:val="00044197"/>
    <w:rsid w:val="000576D7"/>
    <w:rsid w:val="00062B55"/>
    <w:rsid w:val="00072FDD"/>
    <w:rsid w:val="00087638"/>
    <w:rsid w:val="00090A6F"/>
    <w:rsid w:val="000A4E56"/>
    <w:rsid w:val="000F3E9B"/>
    <w:rsid w:val="00104DF3"/>
    <w:rsid w:val="00111C08"/>
    <w:rsid w:val="001362FB"/>
    <w:rsid w:val="001477A2"/>
    <w:rsid w:val="0017693E"/>
    <w:rsid w:val="00186A8E"/>
    <w:rsid w:val="00192452"/>
    <w:rsid w:val="001A7849"/>
    <w:rsid w:val="001D2B88"/>
    <w:rsid w:val="001F7AA0"/>
    <w:rsid w:val="0020025E"/>
    <w:rsid w:val="002172AF"/>
    <w:rsid w:val="002259C9"/>
    <w:rsid w:val="00243F06"/>
    <w:rsid w:val="00251CDD"/>
    <w:rsid w:val="002A0A9F"/>
    <w:rsid w:val="002A627C"/>
    <w:rsid w:val="002B608D"/>
    <w:rsid w:val="002D2757"/>
    <w:rsid w:val="002D7F44"/>
    <w:rsid w:val="002E3B0D"/>
    <w:rsid w:val="002E7C28"/>
    <w:rsid w:val="002F7049"/>
    <w:rsid w:val="00306788"/>
    <w:rsid w:val="0033581F"/>
    <w:rsid w:val="00366163"/>
    <w:rsid w:val="00376481"/>
    <w:rsid w:val="00382886"/>
    <w:rsid w:val="003A5603"/>
    <w:rsid w:val="003F4647"/>
    <w:rsid w:val="004042EB"/>
    <w:rsid w:val="00405A46"/>
    <w:rsid w:val="00427613"/>
    <w:rsid w:val="004462FB"/>
    <w:rsid w:val="00447E03"/>
    <w:rsid w:val="00460AEC"/>
    <w:rsid w:val="00482AB2"/>
    <w:rsid w:val="00492983"/>
    <w:rsid w:val="004C45A9"/>
    <w:rsid w:val="004E1B01"/>
    <w:rsid w:val="004E6F13"/>
    <w:rsid w:val="004F04C9"/>
    <w:rsid w:val="004F4F9F"/>
    <w:rsid w:val="0055066C"/>
    <w:rsid w:val="00582D08"/>
    <w:rsid w:val="005A77C4"/>
    <w:rsid w:val="005C1DF3"/>
    <w:rsid w:val="005C5C63"/>
    <w:rsid w:val="005D3964"/>
    <w:rsid w:val="005F31DA"/>
    <w:rsid w:val="005F6BA5"/>
    <w:rsid w:val="0062369B"/>
    <w:rsid w:val="00636779"/>
    <w:rsid w:val="00672D26"/>
    <w:rsid w:val="0068072A"/>
    <w:rsid w:val="00684AB1"/>
    <w:rsid w:val="006947AA"/>
    <w:rsid w:val="00697225"/>
    <w:rsid w:val="006D17D6"/>
    <w:rsid w:val="006F27ED"/>
    <w:rsid w:val="006F58B3"/>
    <w:rsid w:val="00704183"/>
    <w:rsid w:val="00732193"/>
    <w:rsid w:val="0073440A"/>
    <w:rsid w:val="00735996"/>
    <w:rsid w:val="007400A1"/>
    <w:rsid w:val="007728BB"/>
    <w:rsid w:val="00775931"/>
    <w:rsid w:val="007A651F"/>
    <w:rsid w:val="007B2481"/>
    <w:rsid w:val="007E14C6"/>
    <w:rsid w:val="00803D91"/>
    <w:rsid w:val="008225CA"/>
    <w:rsid w:val="00827D73"/>
    <w:rsid w:val="00880D48"/>
    <w:rsid w:val="00885E5B"/>
    <w:rsid w:val="008C53B1"/>
    <w:rsid w:val="0092279C"/>
    <w:rsid w:val="00935289"/>
    <w:rsid w:val="0093569B"/>
    <w:rsid w:val="00940B18"/>
    <w:rsid w:val="00941FE3"/>
    <w:rsid w:val="0096002C"/>
    <w:rsid w:val="009E4FC2"/>
    <w:rsid w:val="009F53DB"/>
    <w:rsid w:val="00A57EC0"/>
    <w:rsid w:val="00A72BB9"/>
    <w:rsid w:val="00A95163"/>
    <w:rsid w:val="00AC2D97"/>
    <w:rsid w:val="00AC742C"/>
    <w:rsid w:val="00AE0417"/>
    <w:rsid w:val="00B00455"/>
    <w:rsid w:val="00B10786"/>
    <w:rsid w:val="00B17DE2"/>
    <w:rsid w:val="00B5155A"/>
    <w:rsid w:val="00B76A7A"/>
    <w:rsid w:val="00B96415"/>
    <w:rsid w:val="00B97A7B"/>
    <w:rsid w:val="00C13702"/>
    <w:rsid w:val="00C32241"/>
    <w:rsid w:val="00C33CD7"/>
    <w:rsid w:val="00C55BD6"/>
    <w:rsid w:val="00C77F10"/>
    <w:rsid w:val="00C9440F"/>
    <w:rsid w:val="00C94974"/>
    <w:rsid w:val="00CA128F"/>
    <w:rsid w:val="00CB2582"/>
    <w:rsid w:val="00CC6A12"/>
    <w:rsid w:val="00CD7532"/>
    <w:rsid w:val="00D01E18"/>
    <w:rsid w:val="00D11F18"/>
    <w:rsid w:val="00D2067C"/>
    <w:rsid w:val="00D33446"/>
    <w:rsid w:val="00D3529E"/>
    <w:rsid w:val="00D53058"/>
    <w:rsid w:val="00D5671D"/>
    <w:rsid w:val="00DA299A"/>
    <w:rsid w:val="00E34D00"/>
    <w:rsid w:val="00E57547"/>
    <w:rsid w:val="00E608DB"/>
    <w:rsid w:val="00E7560D"/>
    <w:rsid w:val="00EC070C"/>
    <w:rsid w:val="00ED071F"/>
    <w:rsid w:val="00EE1186"/>
    <w:rsid w:val="00EF42C5"/>
    <w:rsid w:val="00F12D6B"/>
    <w:rsid w:val="00F26FB9"/>
    <w:rsid w:val="00F3692A"/>
    <w:rsid w:val="00F45710"/>
    <w:rsid w:val="00F76991"/>
    <w:rsid w:val="00FA07E5"/>
    <w:rsid w:val="00FA6F4D"/>
    <w:rsid w:val="00FB085F"/>
    <w:rsid w:val="00FB50B4"/>
    <w:rsid w:val="00FC3C06"/>
    <w:rsid w:val="07CC424D"/>
    <w:rsid w:val="09CA7F33"/>
    <w:rsid w:val="10A14D6F"/>
    <w:rsid w:val="12A24465"/>
    <w:rsid w:val="1409136D"/>
    <w:rsid w:val="17011712"/>
    <w:rsid w:val="18C66CDD"/>
    <w:rsid w:val="1D086E10"/>
    <w:rsid w:val="1F2438E0"/>
    <w:rsid w:val="24E85E2E"/>
    <w:rsid w:val="24ED4F7A"/>
    <w:rsid w:val="2ECD4CCD"/>
    <w:rsid w:val="2F143427"/>
    <w:rsid w:val="33ED4389"/>
    <w:rsid w:val="33F7B764"/>
    <w:rsid w:val="3DFB2BC2"/>
    <w:rsid w:val="3F8D0862"/>
    <w:rsid w:val="3FF76BC9"/>
    <w:rsid w:val="45E12954"/>
    <w:rsid w:val="47E0217A"/>
    <w:rsid w:val="49FE3B3E"/>
    <w:rsid w:val="4EF22FC1"/>
    <w:rsid w:val="4F803D30"/>
    <w:rsid w:val="4FB26C46"/>
    <w:rsid w:val="4FFD06D9"/>
    <w:rsid w:val="500260AB"/>
    <w:rsid w:val="537C0DFA"/>
    <w:rsid w:val="552859DB"/>
    <w:rsid w:val="565BEDC7"/>
    <w:rsid w:val="56B346E7"/>
    <w:rsid w:val="5F7FE5AE"/>
    <w:rsid w:val="5FD95289"/>
    <w:rsid w:val="5FDC88C7"/>
    <w:rsid w:val="5FFF5C89"/>
    <w:rsid w:val="6D3C5BFC"/>
    <w:rsid w:val="6EFD40AA"/>
    <w:rsid w:val="77BCE926"/>
    <w:rsid w:val="79D848C3"/>
    <w:rsid w:val="7D7FF9F5"/>
    <w:rsid w:val="7DDC1FE4"/>
    <w:rsid w:val="7FDC6713"/>
    <w:rsid w:val="7FFDB336"/>
    <w:rsid w:val="967C5742"/>
    <w:rsid w:val="9ADB63F2"/>
    <w:rsid w:val="9F6704DB"/>
    <w:rsid w:val="AB6F9DF6"/>
    <w:rsid w:val="AB7EB243"/>
    <w:rsid w:val="ADFB98A3"/>
    <w:rsid w:val="D7E86BA8"/>
    <w:rsid w:val="DEEFE4D3"/>
    <w:rsid w:val="DFFF1447"/>
    <w:rsid w:val="E3F35B71"/>
    <w:rsid w:val="E3FF4E63"/>
    <w:rsid w:val="EFBABA22"/>
    <w:rsid w:val="F579B490"/>
    <w:rsid w:val="F74F789B"/>
    <w:rsid w:val="FBEDE1C7"/>
    <w:rsid w:val="FFEFEF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2"/>
    <w:basedOn w:val="5"/>
    <w:next w:val="6"/>
    <w:link w:val="20"/>
    <w:qFormat/>
    <w:uiPriority w:val="0"/>
    <w:pPr>
      <w:adjustRightInd w:val="0"/>
      <w:spacing w:line="240" w:lineRule="auto"/>
      <w:jc w:val="center"/>
      <w:textAlignment w:val="baseline"/>
      <w:outlineLvl w:val="1"/>
    </w:pPr>
    <w:rPr>
      <w:rFonts w:ascii="宋体" w:hAnsi="宋体"/>
      <w:bCs w:val="0"/>
      <w:kern w:val="0"/>
      <w:sz w:val="24"/>
      <w:szCs w:val="20"/>
    </w:rPr>
  </w:style>
  <w:style w:type="paragraph" w:styleId="5">
    <w:name w:val="heading 3"/>
    <w:basedOn w:val="1"/>
    <w:next w:val="1"/>
    <w:link w:val="22"/>
    <w:semiHidden/>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21"/>
    <w:qFormat/>
    <w:uiPriority w:val="9"/>
    <w:pPr>
      <w:keepNext/>
      <w:keepLines/>
      <w:spacing w:before="280" w:after="290" w:line="376" w:lineRule="auto"/>
      <w:outlineLvl w:val="3"/>
    </w:pPr>
    <w:rPr>
      <w:rFonts w:ascii="Cambria" w:hAnsi="Cambria"/>
      <w:b/>
      <w:bCs/>
      <w:sz w:val="28"/>
      <w:szCs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semiHidden/>
    <w:unhideWhenUsed/>
    <w:qFormat/>
    <w:uiPriority w:val="99"/>
    <w:pPr>
      <w:ind w:firstLine="420" w:firstLineChars="200"/>
    </w:pPr>
  </w:style>
  <w:style w:type="paragraph" w:styleId="3">
    <w:name w:val="Body Text"/>
    <w:basedOn w:val="1"/>
    <w:next w:val="1"/>
    <w:qFormat/>
    <w:uiPriority w:val="1"/>
    <w:rPr>
      <w:rFonts w:ascii="仿宋" w:hAnsi="仿宋" w:eastAsia="仿宋" w:cs="仿宋"/>
      <w:sz w:val="32"/>
      <w:szCs w:val="32"/>
    </w:rPr>
  </w:style>
  <w:style w:type="paragraph" w:styleId="7">
    <w:name w:val="annotation text"/>
    <w:basedOn w:val="1"/>
    <w:semiHidden/>
    <w:unhideWhenUsed/>
    <w:qFormat/>
    <w:uiPriority w:val="99"/>
    <w:pPr>
      <w:jc w:val="left"/>
    </w:pPr>
  </w:style>
  <w:style w:type="paragraph" w:styleId="8">
    <w:name w:val="Body Text Indent"/>
    <w:basedOn w:val="1"/>
    <w:unhideWhenUsed/>
    <w:qFormat/>
    <w:uiPriority w:val="99"/>
    <w:pPr>
      <w:spacing w:after="120"/>
      <w:ind w:left="420" w:leftChars="200"/>
    </w:pPr>
  </w:style>
  <w:style w:type="paragraph" w:styleId="9">
    <w:name w:val="footer"/>
    <w:basedOn w:val="1"/>
    <w:link w:val="24"/>
    <w:unhideWhenUsed/>
    <w:qFormat/>
    <w:uiPriority w:val="99"/>
    <w:pPr>
      <w:tabs>
        <w:tab w:val="center" w:pos="4153"/>
        <w:tab w:val="right" w:pos="8306"/>
      </w:tabs>
      <w:snapToGrid w:val="0"/>
      <w:jc w:val="left"/>
    </w:pPr>
    <w:rPr>
      <w:sz w:val="18"/>
      <w:szCs w:val="18"/>
    </w:rPr>
  </w:style>
  <w:style w:type="paragraph" w:styleId="10">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Body Text 2"/>
    <w:basedOn w:val="1"/>
    <w:qFormat/>
    <w:uiPriority w:val="0"/>
    <w:pPr>
      <w:spacing w:before="120" w:beforeLines="50"/>
    </w:pPr>
    <w:rPr>
      <w:rFonts w:ascii="宋体" w:hAnsi="宋体"/>
      <w:sz w:val="22"/>
    </w:r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3">
    <w:name w:val="Title"/>
    <w:basedOn w:val="1"/>
    <w:next w:val="1"/>
    <w:qFormat/>
    <w:uiPriority w:val="0"/>
    <w:pPr>
      <w:widowControl/>
      <w:jc w:val="center"/>
    </w:pPr>
    <w:rPr>
      <w:rFonts w:eastAsia="华文中宋"/>
      <w:color w:val="FF0000"/>
      <w:kern w:val="0"/>
      <w:sz w:val="84"/>
    </w:rPr>
  </w:style>
  <w:style w:type="paragraph" w:styleId="14">
    <w:name w:val="Body Text First Indent 2"/>
    <w:basedOn w:val="8"/>
    <w:next w:val="1"/>
    <w:unhideWhenUsed/>
    <w:qFormat/>
    <w:uiPriority w:val="99"/>
    <w:pPr>
      <w:ind w:firstLine="420" w:firstLineChars="2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Emphasis"/>
    <w:basedOn w:val="17"/>
    <w:qFormat/>
    <w:uiPriority w:val="0"/>
    <w:rPr>
      <w:i/>
    </w:rPr>
  </w:style>
  <w:style w:type="character" w:customStyle="1" w:styleId="20">
    <w:name w:val="标题 2 Char"/>
    <w:basedOn w:val="17"/>
    <w:link w:val="4"/>
    <w:qFormat/>
    <w:uiPriority w:val="0"/>
    <w:rPr>
      <w:rFonts w:ascii="宋体" w:hAnsi="宋体" w:eastAsia="宋体" w:cs="Times New Roman"/>
      <w:b/>
      <w:kern w:val="0"/>
      <w:sz w:val="24"/>
      <w:szCs w:val="20"/>
    </w:rPr>
  </w:style>
  <w:style w:type="character" w:customStyle="1" w:styleId="21">
    <w:name w:val="标题 4 Char"/>
    <w:basedOn w:val="17"/>
    <w:link w:val="6"/>
    <w:qFormat/>
    <w:uiPriority w:val="9"/>
    <w:rPr>
      <w:rFonts w:ascii="Cambria" w:hAnsi="Cambria" w:eastAsia="宋体" w:cs="Times New Roman"/>
      <w:b/>
      <w:bCs/>
      <w:sz w:val="28"/>
      <w:szCs w:val="28"/>
    </w:rPr>
  </w:style>
  <w:style w:type="character" w:customStyle="1" w:styleId="22">
    <w:name w:val="标题 3 Char"/>
    <w:basedOn w:val="17"/>
    <w:link w:val="5"/>
    <w:semiHidden/>
    <w:qFormat/>
    <w:uiPriority w:val="9"/>
    <w:rPr>
      <w:rFonts w:ascii="Calibri" w:hAnsi="Calibri" w:eastAsia="宋体" w:cs="Times New Roman"/>
      <w:b/>
      <w:bCs/>
      <w:sz w:val="32"/>
      <w:szCs w:val="32"/>
    </w:rPr>
  </w:style>
  <w:style w:type="character" w:customStyle="1" w:styleId="23">
    <w:name w:val="页眉 Char"/>
    <w:basedOn w:val="17"/>
    <w:link w:val="10"/>
    <w:qFormat/>
    <w:uiPriority w:val="99"/>
    <w:rPr>
      <w:rFonts w:ascii="Calibri" w:hAnsi="Calibri" w:eastAsia="宋体" w:cs="Times New Roman"/>
      <w:sz w:val="18"/>
      <w:szCs w:val="18"/>
    </w:rPr>
  </w:style>
  <w:style w:type="character" w:customStyle="1" w:styleId="24">
    <w:name w:val="页脚 Char"/>
    <w:basedOn w:val="17"/>
    <w:link w:val="9"/>
    <w:qFormat/>
    <w:uiPriority w:val="99"/>
    <w:rPr>
      <w:rFonts w:ascii="Calibri" w:hAnsi="Calibri" w:eastAsia="宋体" w:cs="Times New Roman"/>
      <w:sz w:val="18"/>
      <w:szCs w:val="18"/>
    </w:rPr>
  </w:style>
  <w:style w:type="paragraph" w:customStyle="1" w:styleId="25">
    <w:name w:val="Table Paragraph"/>
    <w:basedOn w:val="1"/>
    <w:qFormat/>
    <w:uiPriority w:val="1"/>
    <w:rPr>
      <w:rFonts w:ascii="仿宋" w:hAnsi="仿宋" w:eastAsia="仿宋" w:cs="仿宋"/>
    </w:rPr>
  </w:style>
  <w:style w:type="paragraph" w:styleId="2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4053</Words>
  <Characters>4109</Characters>
  <Lines>8</Lines>
  <Paragraphs>2</Paragraphs>
  <TotalTime>10</TotalTime>
  <ScaleCrop>false</ScaleCrop>
  <LinksUpToDate>false</LinksUpToDate>
  <CharactersWithSpaces>4372</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2019-04-03T17:34:00Z</dcterms:created>
  <dc:creator>作者</dc:creator>
  <cp:lastModifiedBy>w</cp:lastModifiedBy>
  <dcterms:modified xsi:type="dcterms:W3CDTF">2026-05-25T14:27:53Z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E5B05E89060FCE3A4AA0016A21F8FE26</vt:lpwstr>
  </property>
  <property fmtid="{D5CDD505-2E9C-101B-9397-08002B2CF9AE}" pid="4" name="KSOTemplateDocerSaveRecord">
    <vt:lpwstr>eyJoZGlkIjoiZjFmZWIzNDg2MmIzZjExOTIzMmViNTBmYTMwYTk0ZWYiLCJ1c2VySWQiOiI0MDkzMTc1MTQifQ==</vt:lpwstr>
  </property>
</Properties>
</file>