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napToGrid w:val="0"/>
        <w:spacing w:line="560" w:lineRule="exact"/>
        <w:jc w:val="both"/>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深圳市人工智能语料券专项资金</w:t>
      </w:r>
      <w:r>
        <w:rPr>
          <w:rFonts w:hint="eastAsia" w:ascii="方正小标宋简体" w:hAnsi="方正小标宋简体" w:eastAsia="方正小标宋简体" w:cs="方正小标宋简体"/>
          <w:sz w:val="44"/>
          <w:szCs w:val="44"/>
          <w:lang w:eastAsia="zh-CN"/>
        </w:rPr>
        <w:t>申请材料在线预审</w:t>
      </w:r>
      <w:r>
        <w:rPr>
          <w:rFonts w:hint="eastAsia" w:ascii="方正小标宋简体" w:hAnsi="方正小标宋简体" w:eastAsia="方正小标宋简体" w:cs="方正小标宋简体"/>
          <w:sz w:val="44"/>
          <w:szCs w:val="44"/>
          <w:lang w:val="en-US" w:eastAsia="zh-CN"/>
        </w:rPr>
        <w:t>要点</w:t>
      </w:r>
    </w:p>
    <w:tbl>
      <w:tblPr>
        <w:tblStyle w:val="13"/>
        <w:tblW w:w="129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042"/>
        <w:gridCol w:w="9750"/>
        <w:gridCol w:w="12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841" w:type="dxa"/>
            <w:vAlign w:val="center"/>
          </w:tcPr>
          <w:p>
            <w:pPr>
              <w:spacing w:line="360" w:lineRule="exact"/>
              <w:ind w:right="25" w:rightChars="1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42" w:type="dxa"/>
            <w:vAlign w:val="center"/>
          </w:tcPr>
          <w:p>
            <w:pPr>
              <w:spacing w:line="360" w:lineRule="exact"/>
              <w:ind w:right="25" w:rightChars="1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9750" w:type="dxa"/>
            <w:vAlign w:val="center"/>
          </w:tcPr>
          <w:p>
            <w:pPr>
              <w:spacing w:line="360" w:lineRule="exact"/>
              <w:ind w:right="25" w:rightChars="1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审查要点</w:t>
            </w:r>
          </w:p>
        </w:tc>
        <w:tc>
          <w:tcPr>
            <w:tcW w:w="1287" w:type="dxa"/>
            <w:vAlign w:val="center"/>
          </w:tcPr>
          <w:p>
            <w:pPr>
              <w:spacing w:line="360" w:lineRule="exact"/>
              <w:ind w:right="25" w:rightChars="1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符合情况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042" w:type="dxa"/>
            <w:vMerge w:val="restart"/>
            <w:vAlign w:val="center"/>
          </w:tcPr>
          <w:p>
            <w:pPr>
              <w:spacing w:line="240" w:lineRule="exact"/>
              <w:ind w:right="25" w:rightChars="12"/>
              <w:jc w:val="center"/>
              <w:rPr>
                <w:rFonts w:hint="default" w:ascii="仿宋_GB2312" w:hAnsi="仿宋_GB2312" w:eastAsia="仿宋_GB2312" w:cs="仿宋_GB2312"/>
                <w:szCs w:val="21"/>
                <w:lang w:val="en-US" w:eastAsia="zh-CN"/>
              </w:rPr>
            </w:pPr>
          </w:p>
          <w:p>
            <w:pPr>
              <w:spacing w:line="240" w:lineRule="exact"/>
              <w:ind w:right="25" w:rightChars="12"/>
              <w:jc w:val="center"/>
              <w:rPr>
                <w:rFonts w:hint="default"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kern w:val="2"/>
                <w:sz w:val="21"/>
                <w:szCs w:val="21"/>
                <w:lang w:val="en-US" w:eastAsia="zh-CN" w:bidi="ar-SA"/>
              </w:rPr>
              <w:t>共性审查</w:t>
            </w:r>
          </w:p>
        </w:tc>
        <w:tc>
          <w:tcPr>
            <w:tcW w:w="9750" w:type="dxa"/>
            <w:vAlign w:val="center"/>
          </w:tcPr>
          <w:p>
            <w:pPr>
              <w:spacing w:line="240" w:lineRule="exact"/>
              <w:ind w:right="25" w:rightChars="12"/>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申报企业为在深圳市内（含深汕特别合作区）实际从事生产经营活动的企业及其控股子公司，以及该企业依法设立的分公司</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提供申报企业营业执照（</w:t>
            </w:r>
            <w:r>
              <w:rPr>
                <w:rFonts w:hint="eastAsia" w:ascii="仿宋_GB2312" w:hAnsi="仿宋_GB2312" w:eastAsia="仿宋_GB2312" w:cs="仿宋_GB2312"/>
                <w:szCs w:val="21"/>
              </w:rPr>
              <w:t>复印件；营业执照</w:t>
            </w:r>
            <w:r>
              <w:rPr>
                <w:rFonts w:hint="eastAsia" w:ascii="仿宋_GB2312" w:hAnsi="仿宋_GB2312" w:eastAsia="仿宋_GB2312" w:cs="仿宋_GB2312"/>
                <w:szCs w:val="21"/>
                <w:lang w:val="en-US" w:eastAsia="zh-CN"/>
              </w:rPr>
              <w:t>属</w:t>
            </w:r>
            <w:r>
              <w:rPr>
                <w:rFonts w:hint="eastAsia" w:ascii="仿宋_GB2312" w:hAnsi="仿宋_GB2312" w:eastAsia="仿宋_GB2312" w:cs="仿宋_GB2312"/>
                <w:szCs w:val="21"/>
              </w:rPr>
              <w:t>新版本“三证合一”证照且已关联电子证照的，无需提交</w:t>
            </w:r>
            <w:r>
              <w:rPr>
                <w:rFonts w:hint="eastAsia" w:ascii="仿宋_GB2312" w:hAnsi="仿宋_GB2312" w:eastAsia="仿宋_GB2312" w:cs="仿宋_GB2312"/>
                <w:b w:val="0"/>
                <w:bCs w:val="0"/>
                <w:szCs w:val="21"/>
                <w:lang w:val="en-US" w:eastAsia="zh-CN"/>
              </w:rPr>
              <w:t>）及</w:t>
            </w:r>
            <w:r>
              <w:rPr>
                <w:rFonts w:hint="eastAsia" w:ascii="仿宋_GB2312" w:hAnsi="仿宋_GB2312" w:eastAsia="仿宋_GB2312" w:cs="仿宋_GB2312"/>
                <w:color w:val="auto"/>
                <w:szCs w:val="21"/>
                <w:highlight w:val="none"/>
                <w:lang w:eastAsia="zh-CN"/>
              </w:rPr>
              <w:t>申报企业</w:t>
            </w:r>
            <w:r>
              <w:rPr>
                <w:rFonts w:hint="eastAsia" w:ascii="仿宋_GB2312" w:hAnsi="仿宋_GB2312" w:eastAsia="仿宋_GB2312" w:cs="仿宋_GB2312"/>
                <w:color w:val="auto"/>
                <w:szCs w:val="21"/>
                <w:highlight w:val="none"/>
                <w:lang w:val="en-US" w:eastAsia="zh-CN"/>
              </w:rPr>
              <w:t>2024年1月1日以来</w:t>
            </w:r>
            <w:r>
              <w:rPr>
                <w:rFonts w:hint="eastAsia" w:ascii="仿宋_GB2312" w:hAnsi="仿宋_GB2312" w:eastAsia="仿宋_GB2312" w:cs="仿宋_GB2312"/>
                <w:color w:val="auto"/>
                <w:szCs w:val="21"/>
                <w:highlight w:val="none"/>
                <w:lang w:eastAsia="zh-CN"/>
              </w:rPr>
              <w:t>在深圳市内（含深汕特别合作区）</w:t>
            </w:r>
            <w:r>
              <w:rPr>
                <w:rFonts w:hint="eastAsia" w:ascii="仿宋_GB2312" w:hAnsi="仿宋_GB2312" w:eastAsia="仿宋_GB2312" w:cs="仿宋_GB2312"/>
                <w:color w:val="auto"/>
                <w:szCs w:val="21"/>
                <w:highlight w:val="none"/>
                <w:lang w:val="en-US" w:eastAsia="zh-CN"/>
              </w:rPr>
              <w:t>纳税记录，或者其他在本市</w:t>
            </w:r>
            <w:r>
              <w:rPr>
                <w:rFonts w:hint="eastAsia" w:ascii="仿宋_GB2312" w:hAnsi="仿宋_GB2312" w:eastAsia="仿宋_GB2312" w:cs="仿宋_GB2312"/>
                <w:color w:val="auto"/>
                <w:szCs w:val="21"/>
                <w:highlight w:val="none"/>
                <w:lang w:eastAsia="zh-CN"/>
              </w:rPr>
              <w:t>从事生产经营活动</w:t>
            </w:r>
            <w:r>
              <w:rPr>
                <w:rFonts w:hint="eastAsia" w:ascii="仿宋_GB2312" w:hAnsi="仿宋_GB2312" w:eastAsia="仿宋_GB2312" w:cs="仿宋_GB2312"/>
                <w:color w:val="auto"/>
                <w:szCs w:val="21"/>
                <w:highlight w:val="none"/>
                <w:lang w:val="en-US" w:eastAsia="zh-CN"/>
              </w:rPr>
              <w:t>的证明材料</w:t>
            </w:r>
            <w:r>
              <w:rPr>
                <w:rFonts w:hint="eastAsia" w:ascii="仿宋_GB2312" w:hAnsi="仿宋_GB2312" w:eastAsia="仿宋_GB2312" w:cs="仿宋_GB2312"/>
                <w:color w:val="auto"/>
                <w:szCs w:val="21"/>
                <w:highlight w:val="none"/>
                <w:lang w:eastAsia="zh-CN"/>
              </w:rPr>
              <w:t>。</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kern w:val="2"/>
                <w:sz w:val="21"/>
                <w:szCs w:val="21"/>
                <w:lang w:val="en-US" w:eastAsia="zh-CN" w:bidi="ar-SA"/>
              </w:rPr>
            </w:pPr>
          </w:p>
        </w:tc>
        <w:tc>
          <w:tcPr>
            <w:tcW w:w="9750" w:type="dxa"/>
            <w:vAlign w:val="center"/>
          </w:tcPr>
          <w:p>
            <w:pPr>
              <w:spacing w:line="240" w:lineRule="exact"/>
              <w:ind w:right="25" w:rightChars="12"/>
              <w:rPr>
                <w:rFonts w:hint="eastAsia" w:ascii="仿宋_GB2312" w:hAnsi="仿宋_GB2312" w:eastAsia="仿宋_GB2312" w:cs="仿宋_GB2312"/>
                <w:b w:val="0"/>
                <w:bCs w:val="0"/>
                <w:szCs w:val="21"/>
              </w:rPr>
            </w:pPr>
            <w:r>
              <w:rPr>
                <w:rFonts w:hint="eastAsia" w:ascii="仿宋_GB2312" w:hAnsi="仿宋_GB2312" w:eastAsia="仿宋_GB2312" w:cs="仿宋_GB2312"/>
                <w:szCs w:val="21"/>
                <w:lang w:bidi="ar"/>
              </w:rPr>
              <w:t>用于申报语料采购资助和语料开放奖励的数据，应当通过合规评估，申报企业应当提交数据交易所或第三方专业机构</w:t>
            </w:r>
            <w:r>
              <w:rPr>
                <w:rFonts w:hint="eastAsia" w:ascii="仿宋_GB2312" w:hAnsi="仿宋_GB2312" w:eastAsia="仿宋_GB2312" w:cs="仿宋_GB2312"/>
                <w:szCs w:val="21"/>
                <w:lang w:eastAsia="zh-CN" w:bidi="ar"/>
              </w:rPr>
              <w:t>（具备数据合规评估能力的律师事务所）</w:t>
            </w:r>
            <w:r>
              <w:rPr>
                <w:rFonts w:hint="eastAsia" w:ascii="仿宋_GB2312" w:hAnsi="仿宋_GB2312" w:eastAsia="仿宋_GB2312" w:cs="仿宋_GB2312"/>
                <w:szCs w:val="21"/>
                <w:lang w:bidi="ar"/>
              </w:rPr>
              <w:t>出具的数据合规报告。</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kern w:val="2"/>
                <w:sz w:val="21"/>
                <w:szCs w:val="21"/>
                <w:lang w:val="en-US" w:eastAsia="zh-CN" w:bidi="ar-SA"/>
              </w:rPr>
            </w:pPr>
          </w:p>
        </w:tc>
        <w:tc>
          <w:tcPr>
            <w:tcW w:w="9750" w:type="dxa"/>
            <w:vAlign w:val="center"/>
          </w:tcPr>
          <w:p>
            <w:pPr>
              <w:spacing w:line="240" w:lineRule="exact"/>
              <w:ind w:right="25" w:rightChars="12"/>
              <w:rPr>
                <w:rFonts w:hint="eastAsia" w:ascii="仿宋_GB2312" w:hAnsi="仿宋_GB2312" w:eastAsia="仿宋_GB2312" w:cs="仿宋_GB2312"/>
                <w:szCs w:val="21"/>
                <w:lang w:bidi="ar"/>
              </w:rPr>
            </w:pPr>
            <w:r>
              <w:rPr>
                <w:rFonts w:hint="eastAsia" w:ascii="仿宋_GB2312" w:hAnsi="仿宋_GB2312" w:eastAsia="仿宋_GB2312" w:cs="仿宋_GB2312"/>
                <w:szCs w:val="21"/>
                <w:lang w:eastAsia="zh-CN" w:bidi="ar"/>
              </w:rPr>
              <w:t>与</w:t>
            </w:r>
            <w:r>
              <w:rPr>
                <w:rFonts w:hint="eastAsia" w:ascii="仿宋_GB2312" w:hAnsi="仿宋_GB2312" w:eastAsia="仿宋_GB2312" w:cs="仿宋_GB2312"/>
                <w:szCs w:val="21"/>
                <w:lang w:bidi="ar"/>
              </w:rPr>
              <w:t>市级层面其他同类优惠措施不重复享受。</w:t>
            </w:r>
            <w:r>
              <w:rPr>
                <w:rFonts w:hint="eastAsia" w:ascii="仿宋_GB2312" w:hAnsi="仿宋_GB2312" w:eastAsia="仿宋_GB2312" w:cs="仿宋_GB2312"/>
                <w:szCs w:val="21"/>
                <w:lang w:val="en-US" w:eastAsia="zh-CN" w:bidi="ar"/>
              </w:rPr>
              <w:t>申报企业</w:t>
            </w:r>
            <w:r>
              <w:rPr>
                <w:rFonts w:hint="eastAsia" w:ascii="仿宋_GB2312" w:hAnsi="仿宋_GB2312" w:eastAsia="仿宋_GB2312" w:cs="仿宋_GB2312"/>
                <w:szCs w:val="21"/>
                <w:lang w:bidi="ar"/>
              </w:rPr>
              <w:t>已获得国家或省级</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szCs w:val="21"/>
                <w:lang w:val="en-US" w:eastAsia="zh-CN" w:bidi="ar"/>
              </w:rPr>
              <w:t>区级</w:t>
            </w:r>
            <w:r>
              <w:rPr>
                <w:rFonts w:hint="eastAsia" w:ascii="仿宋_GB2312" w:hAnsi="仿宋_GB2312" w:eastAsia="仿宋_GB2312" w:cs="仿宋_GB2312"/>
                <w:szCs w:val="21"/>
                <w:lang w:bidi="ar"/>
              </w:rPr>
              <w:t>财政支持的项目，我市各级财政对同一项目累计资助金额不得超过经审计认定的投资额</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szCs w:val="21"/>
                <w:lang w:val="en-US" w:eastAsia="zh-CN" w:bidi="ar"/>
              </w:rPr>
              <w:t>语料采购总金额或语料开放建设成本</w:t>
            </w:r>
            <w:r>
              <w:rPr>
                <w:rFonts w:hint="eastAsia" w:ascii="仿宋_GB2312" w:hAnsi="仿宋_GB2312" w:eastAsia="仿宋_GB2312" w:cs="仿宋_GB2312"/>
                <w:szCs w:val="21"/>
                <w:lang w:eastAsia="zh-CN" w:bidi="ar"/>
              </w:rPr>
              <w:t>）。</w:t>
            </w:r>
            <w:bookmarkStart w:id="0" w:name="_GoBack"/>
            <w:bookmarkEnd w:id="0"/>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lang w:val="en-US" w:eastAsia="zh-CN"/>
              </w:rPr>
            </w:pPr>
          </w:p>
        </w:tc>
        <w:tc>
          <w:tcPr>
            <w:tcW w:w="9750" w:type="dxa"/>
            <w:vAlign w:val="center"/>
          </w:tcPr>
          <w:p>
            <w:pPr>
              <w:spacing w:line="240" w:lineRule="exact"/>
              <w:ind w:right="25" w:rightChars="12"/>
              <w:rPr>
                <w:rFonts w:hint="eastAsia" w:ascii="仿宋_GB2312" w:hAnsi="仿宋_GB2312" w:eastAsia="仿宋_GB2312" w:cs="仿宋_GB2312"/>
                <w:b w:val="0"/>
                <w:bCs w:val="0"/>
                <w:szCs w:val="21"/>
              </w:rPr>
            </w:pPr>
            <w:r>
              <w:rPr>
                <w:rFonts w:hint="eastAsia" w:ascii="仿宋_GB2312" w:hAnsi="仿宋_GB2312" w:eastAsia="仿宋_GB2312" w:cs="仿宋_GB2312"/>
                <w:kern w:val="2"/>
                <w:sz w:val="21"/>
                <w:szCs w:val="21"/>
                <w:lang w:val="en-US" w:eastAsia="zh-CN" w:bidi="ar"/>
              </w:rPr>
              <w:t>申报材料真实性承诺书。</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lang w:val="en-US" w:eastAsia="zh-CN"/>
              </w:rPr>
            </w:pPr>
          </w:p>
        </w:tc>
        <w:tc>
          <w:tcPr>
            <w:tcW w:w="9750" w:type="dxa"/>
            <w:vAlign w:val="center"/>
          </w:tcPr>
          <w:p>
            <w:pPr>
              <w:spacing w:line="240" w:lineRule="exact"/>
              <w:ind w:right="25" w:rightChars="12"/>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bidi="ar"/>
              </w:rPr>
              <w:t>申报项目所需的项目申请书和附件材料</w:t>
            </w:r>
            <w:r>
              <w:rPr>
                <w:rFonts w:hint="eastAsia" w:ascii="仿宋_GB2312" w:hAnsi="仿宋_GB2312" w:eastAsia="仿宋_GB2312" w:cs="仿宋_GB2312"/>
                <w:sz w:val="21"/>
                <w:szCs w:val="21"/>
                <w:lang w:val="en-US" w:eastAsia="zh-CN" w:bidi="ar"/>
              </w:rPr>
              <w:t>齐全、符合法定形式。</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042" w:type="dxa"/>
            <w:vMerge w:val="restart"/>
            <w:vAlign w:val="center"/>
          </w:tcPr>
          <w:p>
            <w:pPr>
              <w:spacing w:line="240" w:lineRule="exact"/>
              <w:ind w:right="25" w:rightChars="12"/>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语料采购资助专项审查</w:t>
            </w:r>
          </w:p>
        </w:tc>
        <w:tc>
          <w:tcPr>
            <w:tcW w:w="9750" w:type="dxa"/>
            <w:vAlign w:val="center"/>
          </w:tcPr>
          <w:p>
            <w:pPr>
              <w:spacing w:line="240" w:lineRule="exact"/>
              <w:ind w:right="25" w:rightChars="12"/>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申报</w:t>
            </w:r>
            <w:r>
              <w:rPr>
                <w:rFonts w:hint="eastAsia" w:ascii="仿宋_GB2312" w:hAnsi="仿宋_GB2312" w:eastAsia="仿宋_GB2312" w:cs="仿宋_GB2312"/>
                <w:b w:val="0"/>
                <w:bCs w:val="0"/>
                <w:szCs w:val="21"/>
                <w:lang w:val="en-US" w:eastAsia="zh-CN"/>
              </w:rPr>
              <w:t>企业</w:t>
            </w:r>
            <w:r>
              <w:rPr>
                <w:rFonts w:hint="eastAsia" w:ascii="仿宋_GB2312" w:hAnsi="仿宋_GB2312" w:eastAsia="仿宋_GB2312" w:cs="仿宋_GB2312"/>
                <w:b w:val="0"/>
                <w:bCs w:val="0"/>
                <w:szCs w:val="21"/>
              </w:rPr>
              <w:t>能够提供符合条件的</w:t>
            </w:r>
            <w:r>
              <w:rPr>
                <w:rFonts w:hint="eastAsia" w:ascii="仿宋_GB2312" w:hAnsi="仿宋_GB2312" w:eastAsia="仿宋_GB2312" w:cs="仿宋_GB2312"/>
                <w:b w:val="0"/>
                <w:bCs w:val="0"/>
                <w:szCs w:val="21"/>
                <w:lang w:val="en-US" w:eastAsia="zh-CN"/>
              </w:rPr>
              <w:t>语料采购</w:t>
            </w:r>
            <w:r>
              <w:rPr>
                <w:rFonts w:hint="eastAsia" w:ascii="仿宋_GB2312" w:hAnsi="仿宋_GB2312" w:eastAsia="仿宋_GB2312" w:cs="仿宋_GB2312"/>
                <w:b w:val="0"/>
                <w:bCs w:val="0"/>
                <w:szCs w:val="21"/>
              </w:rPr>
              <w:t>服务合同</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合同签署时间为</w:t>
            </w:r>
            <w:r>
              <w:rPr>
                <w:rFonts w:hint="eastAsia" w:ascii="仿宋_GB2312" w:hAnsi="仿宋_GB2312" w:eastAsia="仿宋_GB2312" w:cs="仿宋_GB2312"/>
                <w:b w:val="0"/>
                <w:bCs w:val="0"/>
                <w:szCs w:val="21"/>
              </w:rPr>
              <w:t>2024年1月1日至2025年9月30日期间</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rPr>
              <w:t xml:space="preserve">      </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4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rPr>
            </w:pPr>
          </w:p>
        </w:tc>
        <w:tc>
          <w:tcPr>
            <w:tcW w:w="9750" w:type="dxa"/>
            <w:vAlign w:val="center"/>
          </w:tcPr>
          <w:p>
            <w:pPr>
              <w:spacing w:line="240" w:lineRule="exact"/>
              <w:ind w:right="25" w:rightChars="12"/>
              <w:rPr>
                <w:rFonts w:hint="default" w:ascii="仿宋_GB2312" w:hAnsi="仿宋_GB2312" w:eastAsia="仿宋_GB2312" w:cs="仿宋_GB2312"/>
                <w:b w:val="0"/>
                <w:bCs w:val="0"/>
                <w:szCs w:val="21"/>
                <w:lang w:val="en-US" w:eastAsia="zh-CN"/>
              </w:rPr>
            </w:pPr>
            <w:r>
              <w:rPr>
                <w:rStyle w:val="15"/>
                <w:rFonts w:hint="eastAsia" w:ascii="仿宋_GB2312" w:hAnsi="仿宋_GB2312" w:eastAsia="仿宋_GB2312" w:cs="仿宋_GB2312"/>
                <w:b w:val="0"/>
                <w:bCs w:val="0"/>
                <w:color w:val="auto"/>
                <w:kern w:val="2"/>
                <w:sz w:val="21"/>
                <w:szCs w:val="21"/>
                <w:highlight w:val="none"/>
                <w:lang w:val="en-US" w:eastAsia="zh-CN" w:bidi="ar"/>
              </w:rPr>
              <w:t>申报</w:t>
            </w:r>
            <w:r>
              <w:rPr>
                <w:rFonts w:hint="eastAsia" w:ascii="仿宋_GB2312" w:hAnsi="仿宋_GB2312" w:eastAsia="仿宋_GB2312" w:cs="仿宋_GB2312"/>
                <w:b w:val="0"/>
                <w:bCs w:val="0"/>
                <w:kern w:val="2"/>
                <w:sz w:val="21"/>
                <w:szCs w:val="21"/>
                <w:lang w:val="en-US" w:eastAsia="zh-CN" w:bidi="ar"/>
              </w:rPr>
              <w:t>企业</w:t>
            </w:r>
            <w:r>
              <w:rPr>
                <w:rFonts w:hint="eastAsia" w:ascii="仿宋_GB2312" w:hAnsi="仿宋_GB2312" w:eastAsia="仿宋_GB2312" w:cs="仿宋_GB2312"/>
                <w:szCs w:val="21"/>
                <w:lang w:bidi="ar"/>
              </w:rPr>
              <w:t>应通过</w:t>
            </w:r>
            <w:r>
              <w:rPr>
                <w:rStyle w:val="15"/>
                <w:rFonts w:hint="eastAsia" w:ascii="仿宋_GB2312" w:hAnsi="仿宋_GB2312" w:eastAsia="仿宋_GB2312" w:cs="仿宋_GB2312"/>
                <w:b w:val="0"/>
                <w:bCs w:val="0"/>
                <w:color w:val="auto"/>
                <w:kern w:val="2"/>
                <w:sz w:val="21"/>
                <w:szCs w:val="21"/>
                <w:highlight w:val="none"/>
                <w:lang w:val="en-US" w:eastAsia="zh-CN" w:bidi="ar"/>
              </w:rPr>
              <w:t>经</w:t>
            </w:r>
            <w:r>
              <w:rPr>
                <w:rStyle w:val="15"/>
                <w:rFonts w:hint="eastAsia" w:ascii="仿宋_GB2312" w:hAnsi="仿宋_GB2312" w:eastAsia="仿宋_GB2312" w:cs="仿宋_GB2312"/>
                <w:b w:val="0"/>
                <w:bCs w:val="0"/>
                <w:color w:val="auto"/>
                <w:kern w:val="2"/>
                <w:sz w:val="21"/>
                <w:szCs w:val="21"/>
                <w:highlight w:val="none"/>
                <w:lang w:eastAsia="zh-CN" w:bidi="ar"/>
              </w:rPr>
              <w:t>省、市人民政府依法</w:t>
            </w:r>
            <w:r>
              <w:rPr>
                <w:rStyle w:val="15"/>
                <w:rFonts w:hint="eastAsia" w:ascii="仿宋_GB2312" w:hAnsi="仿宋_GB2312" w:eastAsia="仿宋_GB2312" w:cs="仿宋_GB2312"/>
                <w:b w:val="0"/>
                <w:bCs w:val="0"/>
                <w:color w:val="auto"/>
                <w:kern w:val="2"/>
                <w:sz w:val="21"/>
                <w:szCs w:val="21"/>
                <w:highlight w:val="none"/>
                <w:lang w:val="en-US" w:eastAsia="zh-CN" w:bidi="ar"/>
              </w:rPr>
              <w:t>批准成立</w:t>
            </w:r>
            <w:r>
              <w:rPr>
                <w:rStyle w:val="15"/>
                <w:rFonts w:hint="eastAsia" w:ascii="仿宋_GB2312" w:hAnsi="仿宋_GB2312" w:eastAsia="仿宋_GB2312" w:cs="仿宋_GB2312"/>
                <w:b w:val="0"/>
                <w:bCs w:val="0"/>
                <w:color w:val="auto"/>
                <w:kern w:val="2"/>
                <w:sz w:val="21"/>
                <w:szCs w:val="21"/>
                <w:highlight w:val="none"/>
                <w:lang w:eastAsia="zh-CN" w:bidi="ar"/>
              </w:rPr>
              <w:t>的数据交易所完成</w:t>
            </w:r>
            <w:r>
              <w:rPr>
                <w:rFonts w:hint="eastAsia" w:ascii="仿宋_GB2312" w:hAnsi="仿宋_GB2312" w:eastAsia="仿宋_GB2312" w:cs="仿宋_GB2312"/>
                <w:b w:val="0"/>
                <w:bCs w:val="0"/>
                <w:kern w:val="2"/>
                <w:sz w:val="21"/>
                <w:szCs w:val="21"/>
                <w:lang w:val="en-US" w:eastAsia="zh-CN" w:bidi="ar"/>
              </w:rPr>
              <w:t>的</w:t>
            </w:r>
            <w:r>
              <w:rPr>
                <w:rStyle w:val="15"/>
                <w:rFonts w:hint="eastAsia" w:ascii="仿宋_GB2312" w:hAnsi="仿宋_GB2312" w:eastAsia="仿宋_GB2312" w:cs="仿宋_GB2312"/>
                <w:b w:val="0"/>
                <w:bCs w:val="0"/>
                <w:color w:val="auto"/>
                <w:kern w:val="2"/>
                <w:sz w:val="21"/>
                <w:szCs w:val="21"/>
                <w:highlight w:val="none"/>
                <w:lang w:val="en-US" w:eastAsia="zh-CN" w:bidi="ar"/>
              </w:rPr>
              <w:t>语料采购，</w:t>
            </w:r>
            <w:r>
              <w:rPr>
                <w:rFonts w:hint="eastAsia" w:ascii="仿宋_GB2312" w:hAnsi="仿宋_GB2312" w:eastAsia="仿宋_GB2312" w:cs="仿宋_GB2312"/>
                <w:szCs w:val="21"/>
                <w:lang w:bidi="ar"/>
              </w:rPr>
              <w:t>《操作规程》发布前</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b w:val="0"/>
                <w:bCs w:val="0"/>
                <w:szCs w:val="21"/>
              </w:rPr>
              <w:t>202</w:t>
            </w:r>
            <w:r>
              <w:rPr>
                <w:rFonts w:hint="eastAsia" w:ascii="仿宋_GB2312" w:hAnsi="仿宋_GB2312" w:eastAsia="仿宋_GB2312" w:cs="仿宋_GB2312"/>
                <w:b w:val="0"/>
                <w:bCs w:val="0"/>
                <w:szCs w:val="21"/>
                <w:lang w:val="en-US" w:eastAsia="zh-CN"/>
              </w:rPr>
              <w:t>5</w:t>
            </w:r>
            <w:r>
              <w:rPr>
                <w:rFonts w:hint="eastAsia" w:ascii="仿宋_GB2312" w:hAnsi="仿宋_GB2312" w:eastAsia="仿宋_GB2312" w:cs="仿宋_GB2312"/>
                <w:b w:val="0"/>
                <w:bCs w:val="0"/>
                <w:szCs w:val="21"/>
              </w:rPr>
              <w:t>年</w:t>
            </w:r>
            <w:r>
              <w:rPr>
                <w:rFonts w:hint="eastAsia" w:ascii="仿宋_GB2312" w:hAnsi="仿宋_GB2312" w:eastAsia="仿宋_GB2312" w:cs="仿宋_GB2312"/>
                <w:b w:val="0"/>
                <w:bCs w:val="0"/>
                <w:szCs w:val="21"/>
                <w:lang w:val="en-US" w:eastAsia="zh-CN"/>
              </w:rPr>
              <w:t>6</w:t>
            </w:r>
            <w:r>
              <w:rPr>
                <w:rFonts w:hint="eastAsia" w:ascii="仿宋_GB2312" w:hAnsi="仿宋_GB2312" w:eastAsia="仿宋_GB2312" w:cs="仿宋_GB2312"/>
                <w:b w:val="0"/>
                <w:bCs w:val="0"/>
                <w:szCs w:val="21"/>
              </w:rPr>
              <w:t>月</w:t>
            </w:r>
            <w:r>
              <w:rPr>
                <w:rFonts w:hint="eastAsia" w:ascii="仿宋_GB2312" w:hAnsi="仿宋_GB2312" w:eastAsia="仿宋_GB2312" w:cs="仿宋_GB2312"/>
                <w:b w:val="0"/>
                <w:bCs w:val="0"/>
                <w:szCs w:val="21"/>
                <w:lang w:val="en-US" w:eastAsia="zh-CN"/>
              </w:rPr>
              <w:t>27</w:t>
            </w:r>
            <w:r>
              <w:rPr>
                <w:rFonts w:hint="eastAsia" w:ascii="仿宋_GB2312" w:hAnsi="仿宋_GB2312" w:eastAsia="仿宋_GB2312" w:cs="仿宋_GB2312"/>
                <w:b w:val="0"/>
                <w:bCs w:val="0"/>
                <w:szCs w:val="21"/>
              </w:rPr>
              <w:t>日</w:t>
            </w:r>
            <w:r>
              <w:rPr>
                <w:rFonts w:hint="eastAsia" w:ascii="仿宋_GB2312" w:hAnsi="仿宋_GB2312" w:eastAsia="仿宋_GB2312" w:cs="仿宋_GB2312"/>
                <w:b w:val="0"/>
                <w:bCs w:val="0"/>
                <w:szCs w:val="21"/>
                <w:lang w:bidi="ar"/>
              </w:rPr>
              <w:t>前</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szCs w:val="21"/>
                <w:lang w:bidi="ar"/>
              </w:rPr>
              <w:t>未通过数据交易所场内交易采购语料的企业，须在数据交易所完成备案后申报。</w:t>
            </w:r>
            <w:r>
              <w:rPr>
                <w:rFonts w:hint="eastAsia" w:ascii="仿宋_GB2312" w:hAnsi="仿宋_GB2312" w:eastAsia="仿宋_GB2312" w:cs="仿宋_GB2312"/>
                <w:b w:val="0"/>
                <w:bCs w:val="0"/>
                <w:szCs w:val="21"/>
                <w:lang w:val="en-US" w:eastAsia="zh-CN" w:bidi="ar"/>
              </w:rPr>
              <w:t>提供</w:t>
            </w:r>
            <w:r>
              <w:rPr>
                <w:rFonts w:hint="eastAsia" w:ascii="仿宋_GB2312" w:hAnsi="仿宋_GB2312" w:eastAsia="仿宋_GB2312" w:cs="仿宋_GB2312"/>
                <w:color w:val="auto"/>
                <w:sz w:val="21"/>
                <w:szCs w:val="21"/>
                <w:highlight w:val="none"/>
                <w:lang w:val="en-US" w:eastAsia="zh-CN" w:bidi="ar"/>
              </w:rPr>
              <w:t>通过数据交易所完成语料采购的</w:t>
            </w:r>
            <w:r>
              <w:rPr>
                <w:rFonts w:hint="eastAsia" w:ascii="仿宋_GB2312" w:hAnsi="仿宋_GB2312" w:eastAsia="仿宋_GB2312" w:cs="仿宋_GB2312"/>
                <w:color w:val="auto"/>
                <w:kern w:val="2"/>
                <w:sz w:val="21"/>
                <w:szCs w:val="21"/>
                <w:highlight w:val="none"/>
                <w:lang w:val="en-US" w:eastAsia="zh-CN" w:bidi="ar"/>
              </w:rPr>
              <w:t xml:space="preserve">交易凭证或备案证明（体现申报语料券相关采购合同）。 </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 xml:space="preserve">   </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rPr>
            </w:pPr>
          </w:p>
        </w:tc>
        <w:tc>
          <w:tcPr>
            <w:tcW w:w="9750" w:type="dxa"/>
            <w:vAlign w:val="center"/>
          </w:tcPr>
          <w:p>
            <w:pPr>
              <w:spacing w:line="240" w:lineRule="exact"/>
              <w:ind w:right="25" w:rightChars="12"/>
              <w:rPr>
                <w:rFonts w:hint="eastAsia" w:ascii="仿宋_GB2312" w:hAnsi="仿宋_GB2312" w:eastAsia="仿宋_GB2312" w:cs="仿宋_GB2312"/>
                <w:b w:val="0"/>
                <w:bCs w:val="0"/>
                <w:kern w:val="2"/>
                <w:sz w:val="21"/>
                <w:szCs w:val="21"/>
                <w:lang w:val="en-US" w:eastAsia="zh-CN" w:bidi="ar"/>
              </w:rPr>
            </w:pPr>
            <w:r>
              <w:rPr>
                <w:rFonts w:hint="eastAsia" w:ascii="仿宋_GB2312" w:hAnsi="仿宋_GB2312" w:eastAsia="仿宋_GB2312" w:cs="仿宋_GB2312"/>
                <w:szCs w:val="21"/>
                <w:lang w:bidi="ar"/>
              </w:rPr>
              <w:t>语料采购企业近两年的财务审计报告或财务报表（复印件，成立时间不足两年的提供成立以来的）</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szCs w:val="21"/>
                <w:lang w:bidi="ar"/>
              </w:rPr>
              <w:t>语料</w:t>
            </w:r>
            <w:r>
              <w:rPr>
                <w:rFonts w:hint="eastAsia" w:ascii="仿宋_GB2312" w:hAnsi="仿宋_GB2312" w:eastAsia="仿宋_GB2312" w:cs="仿宋_GB2312"/>
                <w:szCs w:val="21"/>
                <w:lang w:val="en-US" w:eastAsia="zh-CN" w:bidi="ar"/>
              </w:rPr>
              <w:t>采购</w:t>
            </w:r>
            <w:r>
              <w:rPr>
                <w:rFonts w:hint="eastAsia" w:ascii="仿宋_GB2312" w:hAnsi="仿宋_GB2312" w:eastAsia="仿宋_GB2312" w:cs="仿宋_GB2312"/>
                <w:szCs w:val="21"/>
                <w:lang w:bidi="ar"/>
              </w:rPr>
              <w:t>交付验收单和财务支付流水凭证等。</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rPr>
            </w:pPr>
          </w:p>
        </w:tc>
        <w:tc>
          <w:tcPr>
            <w:tcW w:w="9750" w:type="dxa"/>
            <w:vAlign w:val="center"/>
          </w:tcPr>
          <w:p>
            <w:pPr>
              <w:spacing w:line="240" w:lineRule="exact"/>
              <w:ind w:right="25" w:rightChars="12"/>
              <w:rPr>
                <w:rFonts w:hint="eastAsia" w:ascii="仿宋_GB2312" w:hAnsi="仿宋_GB2312" w:eastAsia="仿宋_GB2312" w:cs="仿宋_GB2312"/>
                <w:b w:val="0"/>
                <w:bCs w:val="0"/>
                <w:kern w:val="2"/>
                <w:sz w:val="21"/>
                <w:szCs w:val="21"/>
                <w:lang w:val="en-US" w:eastAsia="zh-CN" w:bidi="ar"/>
              </w:rPr>
            </w:pPr>
            <w:r>
              <w:rPr>
                <w:rFonts w:hint="eastAsia" w:ascii="仿宋_GB2312" w:hAnsi="仿宋_GB2312" w:eastAsia="仿宋_GB2312" w:cs="仿宋_GB2312"/>
                <w:szCs w:val="21"/>
                <w:lang w:bidi="ar"/>
              </w:rPr>
              <w:t>申报企业应当从事人工智能大模型研发和应用相关业务。申报企业采购语料用于开展人工智能大模型研发和应用的实施地应当在深圳市内，且该研发和应用项目不属于政府投资建设或购买服务项目</w:t>
            </w:r>
            <w:r>
              <w:rPr>
                <w:rFonts w:hint="eastAsia" w:ascii="仿宋_GB2312" w:hAnsi="仿宋_GB2312" w:eastAsia="仿宋_GB2312" w:cs="仿宋_GB2312"/>
                <w:szCs w:val="21"/>
                <w:lang w:eastAsia="zh-CN" w:bidi="ar"/>
              </w:rPr>
              <w:t>。</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rPr>
            </w:pPr>
          </w:p>
        </w:tc>
        <w:tc>
          <w:tcPr>
            <w:tcW w:w="9750" w:type="dxa"/>
            <w:shd w:val="clear" w:color="auto" w:fill="auto"/>
            <w:vAlign w:val="center"/>
          </w:tcPr>
          <w:p>
            <w:pPr>
              <w:spacing w:line="240" w:lineRule="exact"/>
              <w:ind w:right="25" w:rightChars="12"/>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Cs w:val="21"/>
                <w:lang w:val="en-US" w:eastAsia="zh-CN" w:bidi="ar"/>
              </w:rPr>
              <w:t>语料采购单价合理性审查，若采购单价是参考单价的1.5倍及以上，申报企业需补充提供价格说明材料。（实质性审查环节进行多家市场询价，将询价结果与申报企业价格说明材料一并提交专家评审）</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042" w:type="dxa"/>
            <w:vMerge w:val="restart"/>
            <w:vAlign w:val="center"/>
          </w:tcPr>
          <w:p>
            <w:pPr>
              <w:spacing w:line="240" w:lineRule="exact"/>
              <w:ind w:right="25" w:rightChars="12"/>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语料数据开放奖励专项审查</w:t>
            </w:r>
          </w:p>
        </w:tc>
        <w:tc>
          <w:tcPr>
            <w:tcW w:w="9750" w:type="dxa"/>
            <w:shd w:val="clear" w:color="auto" w:fill="auto"/>
            <w:vAlign w:val="center"/>
          </w:tcPr>
          <w:p>
            <w:pPr>
              <w:spacing w:line="240" w:lineRule="exact"/>
              <w:ind w:right="25" w:rightChars="12"/>
              <w:rPr>
                <w:rFonts w:hint="eastAsia" w:ascii="仿宋_GB2312" w:hAnsi="仿宋_GB2312" w:eastAsia="仿宋_GB2312" w:cs="仿宋_GB2312"/>
                <w:kern w:val="2"/>
                <w:sz w:val="21"/>
                <w:szCs w:val="21"/>
                <w:lang w:val="en-US" w:eastAsia="zh-CN" w:bidi="ar"/>
              </w:rPr>
            </w:pPr>
            <w:r>
              <w:rPr>
                <w:rFonts w:hint="default" w:ascii="仿宋_GB2312" w:hAnsi="仿宋_GB2312" w:eastAsia="仿宋_GB2312" w:cs="仿宋_GB2312"/>
                <w:szCs w:val="21"/>
                <w:lang w:bidi="ar"/>
              </w:rPr>
              <w:t>申报</w:t>
            </w:r>
            <w:r>
              <w:rPr>
                <w:rFonts w:hint="eastAsia" w:ascii="仿宋_GB2312" w:hAnsi="仿宋_GB2312" w:eastAsia="仿宋_GB2312" w:cs="仿宋_GB2312"/>
                <w:szCs w:val="21"/>
                <w:lang w:val="en-US" w:eastAsia="zh-CN" w:bidi="ar"/>
              </w:rPr>
              <w:t>企业</w:t>
            </w:r>
            <w:r>
              <w:rPr>
                <w:rFonts w:hint="default" w:ascii="仿宋_GB2312" w:hAnsi="仿宋_GB2312" w:eastAsia="仿宋_GB2312" w:cs="仿宋_GB2312"/>
                <w:szCs w:val="21"/>
                <w:lang w:bidi="ar"/>
              </w:rPr>
              <w:t>于2024年1月1日至2025年9月30日期间完成语料数据的开放</w:t>
            </w:r>
            <w:r>
              <w:rPr>
                <w:rFonts w:hint="eastAsia" w:ascii="仿宋_GB2312" w:hAnsi="仿宋_GB2312" w:eastAsia="仿宋_GB2312" w:cs="仿宋_GB2312"/>
                <w:szCs w:val="21"/>
                <w:lang w:eastAsia="zh-CN" w:bidi="ar"/>
              </w:rPr>
              <w:t>。</w:t>
            </w:r>
          </w:p>
        </w:tc>
        <w:tc>
          <w:tcPr>
            <w:tcW w:w="1287" w:type="dxa"/>
            <w:vAlign w:val="center"/>
          </w:tcPr>
          <w:p>
            <w:pPr>
              <w:spacing w:line="240" w:lineRule="exact"/>
              <w:ind w:right="25" w:rightChars="12"/>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042" w:type="dxa"/>
            <w:vMerge w:val="continue"/>
            <w:vAlign w:val="center"/>
          </w:tcPr>
          <w:p>
            <w:pPr>
              <w:spacing w:line="240" w:lineRule="exact"/>
              <w:ind w:right="25" w:rightChars="12"/>
              <w:jc w:val="center"/>
              <w:rPr>
                <w:rFonts w:hint="eastAsia" w:ascii="仿宋_GB2312" w:hAnsi="仿宋_GB2312" w:eastAsia="仿宋_GB2312" w:cs="仿宋_GB2312"/>
                <w:szCs w:val="21"/>
              </w:rPr>
            </w:pPr>
          </w:p>
        </w:tc>
        <w:tc>
          <w:tcPr>
            <w:tcW w:w="9750" w:type="dxa"/>
            <w:shd w:val="clear" w:color="auto" w:fill="auto"/>
            <w:vAlign w:val="center"/>
          </w:tcPr>
          <w:p>
            <w:pPr>
              <w:spacing w:line="240" w:lineRule="exact"/>
              <w:ind w:right="25" w:rightChars="12"/>
              <w:rPr>
                <w:rFonts w:hint="default" w:ascii="仿宋_GB2312" w:hAnsi="仿宋_GB2312" w:eastAsia="仿宋_GB2312" w:cs="仿宋_GB2312"/>
                <w:kern w:val="2"/>
                <w:sz w:val="21"/>
                <w:szCs w:val="21"/>
                <w:lang w:val="en-US" w:eastAsia="zh-CN" w:bidi="ar"/>
              </w:rPr>
            </w:pPr>
            <w:r>
              <w:rPr>
                <w:rFonts w:hint="eastAsia" w:ascii="仿宋_GB2312" w:hAnsi="仿宋_GB2312" w:eastAsia="仿宋_GB2312" w:cs="仿宋_GB2312"/>
                <w:szCs w:val="21"/>
                <w:lang w:val="en-US" w:eastAsia="zh-CN" w:bidi="ar"/>
              </w:rPr>
              <w:t>提供</w:t>
            </w:r>
            <w:r>
              <w:rPr>
                <w:rFonts w:hint="default" w:ascii="仿宋_GB2312" w:hAnsi="仿宋_GB2312" w:eastAsia="仿宋_GB2312" w:cs="仿宋_GB2312"/>
                <w:szCs w:val="21"/>
                <w:lang w:bidi="ar"/>
              </w:rPr>
              <w:t>企业在深圳市政府数据开放平台注册的账号</w:t>
            </w:r>
            <w:r>
              <w:rPr>
                <w:rFonts w:hint="eastAsia" w:ascii="仿宋_GB2312" w:hAnsi="仿宋_GB2312" w:eastAsia="仿宋_GB2312" w:cs="仿宋_GB2312"/>
                <w:szCs w:val="21"/>
                <w:lang w:val="en-US" w:eastAsia="zh-CN" w:bidi="ar"/>
              </w:rPr>
              <w:t>以及</w:t>
            </w:r>
            <w:r>
              <w:rPr>
                <w:rFonts w:hint="eastAsia" w:ascii="仿宋_GB2312" w:hAnsi="仿宋_GB2312" w:eastAsia="仿宋_GB2312" w:cs="仿宋_GB2312"/>
                <w:szCs w:val="21"/>
                <w:lang w:bidi="ar"/>
              </w:rPr>
              <w:t>使用注册账号在</w:t>
            </w:r>
            <w:r>
              <w:rPr>
                <w:rFonts w:hint="eastAsia" w:ascii="仿宋_GB2312" w:hAnsi="仿宋_GB2312" w:eastAsia="仿宋_GB2312" w:cs="仿宋_GB2312"/>
                <w:szCs w:val="21"/>
                <w:lang w:val="en-US" w:eastAsia="zh-CN" w:bidi="ar"/>
              </w:rPr>
              <w:t>该</w:t>
            </w:r>
            <w:r>
              <w:rPr>
                <w:rFonts w:hint="eastAsia" w:ascii="仿宋_GB2312" w:hAnsi="仿宋_GB2312" w:eastAsia="仿宋_GB2312" w:cs="仿宋_GB2312"/>
                <w:szCs w:val="21"/>
                <w:lang w:bidi="ar"/>
              </w:rPr>
              <w:t>平台完成开放的语料数据集名称和链接。</w:t>
            </w:r>
          </w:p>
        </w:tc>
        <w:tc>
          <w:tcPr>
            <w:tcW w:w="1287" w:type="dxa"/>
            <w:vAlign w:val="center"/>
          </w:tcPr>
          <w:p>
            <w:pPr>
              <w:spacing w:line="240" w:lineRule="exact"/>
              <w:ind w:right="25" w:rightChars="12"/>
              <w:rPr>
                <w:rFonts w:ascii="仿宋_GB2312" w:hAnsi="仿宋_GB2312" w:eastAsia="仿宋_GB2312" w:cs="仿宋_GB2312"/>
                <w:szCs w:val="21"/>
              </w:rPr>
            </w:pPr>
          </w:p>
        </w:tc>
      </w:tr>
    </w:tbl>
    <w:p>
      <w:pPr>
        <w:pStyle w:val="10"/>
        <w:spacing w:before="0" w:beforeAutospacing="0" w:after="0" w:afterAutospacing="0" w:line="560" w:lineRule="exact"/>
        <w:jc w:val="both"/>
        <w:outlineLvl w:val="0"/>
        <w:rPr>
          <w:rFonts w:ascii="黑体" w:hAnsi="黑体" w:eastAsia="黑体" w:cs="黑体"/>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sdt>
      <w:sdtPr>
        <w:id w:val="147479645"/>
        <w:showingPlcHdr/>
      </w:sdtPr>
      <w:sdtContent>
        <w:r>
          <w:rPr>
            <w:rFonts w:hint="eastAsia"/>
          </w:rPr>
          <w:t xml:space="preserve">     </w:t>
        </w:r>
      </w:sdtContent>
    </w:sdt>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FE"/>
    <w:rsid w:val="0000614A"/>
    <w:rsid w:val="000471F7"/>
    <w:rsid w:val="0004767B"/>
    <w:rsid w:val="0006756D"/>
    <w:rsid w:val="0009247A"/>
    <w:rsid w:val="00092851"/>
    <w:rsid w:val="000D4154"/>
    <w:rsid w:val="000D59A7"/>
    <w:rsid w:val="000D59D0"/>
    <w:rsid w:val="000E138F"/>
    <w:rsid w:val="001445D2"/>
    <w:rsid w:val="00152B60"/>
    <w:rsid w:val="00153E8C"/>
    <w:rsid w:val="00154136"/>
    <w:rsid w:val="00154613"/>
    <w:rsid w:val="001861E2"/>
    <w:rsid w:val="001C4F4E"/>
    <w:rsid w:val="00204424"/>
    <w:rsid w:val="00207756"/>
    <w:rsid w:val="00265979"/>
    <w:rsid w:val="002671C5"/>
    <w:rsid w:val="002703B5"/>
    <w:rsid w:val="00285179"/>
    <w:rsid w:val="002C1E42"/>
    <w:rsid w:val="002D16CD"/>
    <w:rsid w:val="002F2CDA"/>
    <w:rsid w:val="00320FA8"/>
    <w:rsid w:val="00335BD2"/>
    <w:rsid w:val="00391CEE"/>
    <w:rsid w:val="003E69EB"/>
    <w:rsid w:val="003F6ADA"/>
    <w:rsid w:val="0041660F"/>
    <w:rsid w:val="004320E1"/>
    <w:rsid w:val="004431C4"/>
    <w:rsid w:val="00494CF6"/>
    <w:rsid w:val="004B28FE"/>
    <w:rsid w:val="0056454E"/>
    <w:rsid w:val="005910B1"/>
    <w:rsid w:val="005B2287"/>
    <w:rsid w:val="005C5F84"/>
    <w:rsid w:val="006115E7"/>
    <w:rsid w:val="00673AA3"/>
    <w:rsid w:val="0068554B"/>
    <w:rsid w:val="006A012E"/>
    <w:rsid w:val="006A3BB6"/>
    <w:rsid w:val="006B7CAA"/>
    <w:rsid w:val="006F770F"/>
    <w:rsid w:val="00701E0F"/>
    <w:rsid w:val="0072220B"/>
    <w:rsid w:val="007230F5"/>
    <w:rsid w:val="00725AB5"/>
    <w:rsid w:val="007362E0"/>
    <w:rsid w:val="00743AAA"/>
    <w:rsid w:val="00780C09"/>
    <w:rsid w:val="00792068"/>
    <w:rsid w:val="00793A2C"/>
    <w:rsid w:val="00805B9B"/>
    <w:rsid w:val="0080761F"/>
    <w:rsid w:val="00860497"/>
    <w:rsid w:val="00884F02"/>
    <w:rsid w:val="008B7BE0"/>
    <w:rsid w:val="008E52A2"/>
    <w:rsid w:val="00902834"/>
    <w:rsid w:val="009519FB"/>
    <w:rsid w:val="00973113"/>
    <w:rsid w:val="009845AB"/>
    <w:rsid w:val="009965A0"/>
    <w:rsid w:val="009A4802"/>
    <w:rsid w:val="009A7B89"/>
    <w:rsid w:val="009F2F28"/>
    <w:rsid w:val="00A07ED2"/>
    <w:rsid w:val="00A16607"/>
    <w:rsid w:val="00A27002"/>
    <w:rsid w:val="00A34698"/>
    <w:rsid w:val="00AD1D62"/>
    <w:rsid w:val="00AF018D"/>
    <w:rsid w:val="00B040F0"/>
    <w:rsid w:val="00B518B3"/>
    <w:rsid w:val="00B66FAE"/>
    <w:rsid w:val="00B72832"/>
    <w:rsid w:val="00B921E5"/>
    <w:rsid w:val="00BB0C44"/>
    <w:rsid w:val="00BF30FE"/>
    <w:rsid w:val="00BF4A3A"/>
    <w:rsid w:val="00C11102"/>
    <w:rsid w:val="00C45CA3"/>
    <w:rsid w:val="00C466DD"/>
    <w:rsid w:val="00C624A5"/>
    <w:rsid w:val="00C72E93"/>
    <w:rsid w:val="00CA32B6"/>
    <w:rsid w:val="00CC646E"/>
    <w:rsid w:val="00D30023"/>
    <w:rsid w:val="00D418BA"/>
    <w:rsid w:val="00D50CE2"/>
    <w:rsid w:val="00D647B5"/>
    <w:rsid w:val="00D8381B"/>
    <w:rsid w:val="00E102A2"/>
    <w:rsid w:val="00E535C4"/>
    <w:rsid w:val="00E61C37"/>
    <w:rsid w:val="00E72384"/>
    <w:rsid w:val="00E76639"/>
    <w:rsid w:val="00EA45E6"/>
    <w:rsid w:val="00ED037C"/>
    <w:rsid w:val="00F24FA0"/>
    <w:rsid w:val="00F32766"/>
    <w:rsid w:val="00F80BB5"/>
    <w:rsid w:val="00F81744"/>
    <w:rsid w:val="00FA522C"/>
    <w:rsid w:val="00FE4FA2"/>
    <w:rsid w:val="03BB565B"/>
    <w:rsid w:val="08A76D63"/>
    <w:rsid w:val="0B977BCE"/>
    <w:rsid w:val="0F076A5F"/>
    <w:rsid w:val="11BA18B5"/>
    <w:rsid w:val="17A96A3F"/>
    <w:rsid w:val="1A4B161D"/>
    <w:rsid w:val="1BEEE40B"/>
    <w:rsid w:val="22095898"/>
    <w:rsid w:val="22A43078"/>
    <w:rsid w:val="24561911"/>
    <w:rsid w:val="28B95A27"/>
    <w:rsid w:val="292024ED"/>
    <w:rsid w:val="2FD25A98"/>
    <w:rsid w:val="3599725D"/>
    <w:rsid w:val="362E5D3E"/>
    <w:rsid w:val="369B3F26"/>
    <w:rsid w:val="455C3052"/>
    <w:rsid w:val="48341E45"/>
    <w:rsid w:val="4BB25703"/>
    <w:rsid w:val="51702E19"/>
    <w:rsid w:val="52E43750"/>
    <w:rsid w:val="58F47B71"/>
    <w:rsid w:val="59AE61C8"/>
    <w:rsid w:val="629808DC"/>
    <w:rsid w:val="6A420B7D"/>
    <w:rsid w:val="6CE81FA7"/>
    <w:rsid w:val="6DD55357"/>
    <w:rsid w:val="6E3B8758"/>
    <w:rsid w:val="7B4751BA"/>
    <w:rsid w:val="DFE75F3D"/>
    <w:rsid w:val="FB7F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ind w:firstLine="200" w:firstLineChars="200"/>
      <w:outlineLvl w:val="1"/>
      <w:pPrChange w:id="0" w:author="J Changhan" w:date="2025-05-19T10:09:00Z">
        <w:pPr>
          <w:keepNext/>
          <w:keepLines/>
          <w:widowControl w:val="0"/>
          <w:spacing w:before="260" w:after="260" w:line="416" w:lineRule="auto"/>
          <w:jc w:val="both"/>
          <w:outlineLvl w:val="1"/>
        </w:pPr>
      </w:pPrChange>
    </w:pPr>
    <w:rPr>
      <w:rFonts w:eastAsia="楷体_GB2312" w:asciiTheme="majorHAnsi" w:hAnsiTheme="majorHAnsi" w:cstheme="majorBidi"/>
      <w:bCs/>
      <w:sz w:val="32"/>
      <w:szCs w:val="32"/>
      <w:rPrChange w:id="1" w:author="J Changhan" w:date="2025-05-19T10:09:00Z">
        <w:rPr>
          <w:rFonts w:eastAsia="楷体_GB2312" w:asciiTheme="majorHAnsi" w:hAnsiTheme="majorHAnsi" w:cstheme="majorBidi"/>
          <w:b/>
          <w:bCs/>
          <w:kern w:val="2"/>
          <w:sz w:val="32"/>
          <w:szCs w:val="32"/>
          <w:lang w:val="en-US" w:eastAsia="zh-CN" w:bidi="ar-SA"/>
        </w:rPr>
      </w:rPrChange>
    </w:rPr>
  </w:style>
  <w:style w:type="paragraph" w:styleId="6">
    <w:name w:val="heading 3"/>
    <w:basedOn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华文中宋"/>
      <w:b/>
      <w:bCs/>
      <w:sz w:val="36"/>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text"/>
    <w:basedOn w:val="1"/>
    <w:link w:val="26"/>
    <w:semiHidden/>
    <w:unhideWhenUsed/>
    <w:qFormat/>
    <w:uiPriority w:val="99"/>
    <w:pPr>
      <w:jc w:val="left"/>
    </w:p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7"/>
    <w:next w:val="7"/>
    <w:link w:val="27"/>
    <w:semiHidden/>
    <w:unhideWhenUsed/>
    <w:qFormat/>
    <w:uiPriority w:val="99"/>
    <w:rPr>
      <w:b/>
      <w:bCs/>
    </w:rPr>
  </w:style>
  <w:style w:type="paragraph" w:styleId="12">
    <w:name w:val="Body Text First Indent"/>
    <w:basedOn w:val="2"/>
    <w:qFormat/>
    <w:uiPriority w:val="0"/>
    <w:pPr>
      <w:ind w:firstLine="420" w:firstLineChars="1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semiHidden/>
    <w:unhideWhenUsed/>
    <w:qFormat/>
    <w:uiPriority w:val="99"/>
    <w:rPr>
      <w:sz w:val="21"/>
      <w:szCs w:val="21"/>
    </w:r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标题 3 字符"/>
    <w:basedOn w:val="15"/>
    <w:link w:val="6"/>
    <w:qFormat/>
    <w:uiPriority w:val="9"/>
    <w:rPr>
      <w:rFonts w:ascii="宋体" w:hAnsi="宋体" w:eastAsia="宋体" w:cs="宋体"/>
      <w:b/>
      <w:bCs/>
      <w:kern w:val="0"/>
      <w:sz w:val="27"/>
      <w:szCs w:val="27"/>
    </w:rPr>
  </w:style>
  <w:style w:type="paragraph" w:customStyle="1" w:styleId="23">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4">
    <w:name w:val="List Paragraph"/>
    <w:basedOn w:val="1"/>
    <w:qFormat/>
    <w:uiPriority w:val="34"/>
    <w:pPr>
      <w:ind w:firstLine="420" w:firstLineChars="200"/>
    </w:pPr>
  </w:style>
  <w:style w:type="character" w:customStyle="1" w:styleId="25">
    <w:name w:val="未处理的提及1"/>
    <w:basedOn w:val="15"/>
    <w:semiHidden/>
    <w:unhideWhenUsed/>
    <w:qFormat/>
    <w:uiPriority w:val="99"/>
    <w:rPr>
      <w:color w:val="605E5C"/>
      <w:shd w:val="clear" w:color="auto" w:fill="E1DFDD"/>
    </w:rPr>
  </w:style>
  <w:style w:type="character" w:customStyle="1" w:styleId="26">
    <w:name w:val="批注文字 字符"/>
    <w:basedOn w:val="15"/>
    <w:link w:val="7"/>
    <w:semiHidden/>
    <w:qFormat/>
    <w:uiPriority w:val="99"/>
  </w:style>
  <w:style w:type="character" w:customStyle="1" w:styleId="27">
    <w:name w:val="批注主题 字符"/>
    <w:basedOn w:val="26"/>
    <w:link w:val="11"/>
    <w:semiHidden/>
    <w:qFormat/>
    <w:uiPriority w:val="99"/>
    <w:rPr>
      <w:b/>
      <w:bCs/>
    </w:rPr>
  </w:style>
  <w:style w:type="character" w:customStyle="1" w:styleId="28">
    <w:name w:val="标题 1 字符"/>
    <w:basedOn w:val="15"/>
    <w:link w:val="4"/>
    <w:qFormat/>
    <w:uiPriority w:val="9"/>
    <w:rPr>
      <w:b/>
      <w:bCs/>
      <w:kern w:val="44"/>
      <w:sz w:val="44"/>
      <w:szCs w:val="44"/>
    </w:rPr>
  </w:style>
  <w:style w:type="character" w:customStyle="1" w:styleId="29">
    <w:name w:val="标题 2 字符"/>
    <w:basedOn w:val="15"/>
    <w:link w:val="5"/>
    <w:qFormat/>
    <w:uiPriority w:val="9"/>
    <w:rPr>
      <w:rFonts w:eastAsia="楷体_GB2312" w:asciiTheme="majorHAnsi" w:hAnsiTheme="majorHAnsi" w:cstheme="majorBidi"/>
      <w:bCs/>
      <w:kern w:val="2"/>
      <w:sz w:val="32"/>
      <w:szCs w:val="32"/>
    </w:rPr>
  </w:style>
  <w:style w:type="paragraph" w:customStyle="1" w:styleId="30">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5141</Words>
  <Characters>5289</Characters>
  <Lines>48</Lines>
  <Paragraphs>13</Paragraphs>
  <TotalTime>43</TotalTime>
  <ScaleCrop>false</ScaleCrop>
  <LinksUpToDate>false</LinksUpToDate>
  <CharactersWithSpaces>5309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2025-06-25T15:13:00Z</dcterms:created>
  <dc:creator>J Changhan</dc:creator>
  <cp:lastModifiedBy>bgs-pwy</cp:lastModifiedBy>
  <cp:lastPrinted>2025-08-15T09:43:01Z</cp:lastPrinted>
  <dcterms:modified xsi:type="dcterms:W3CDTF">2025-08-15T14:23:20Z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eyJoZGlkIjoiY2FjNjQ5YTRhYzkxODAxNGUwNDRiMGI1MDk5ZDRjZTUiLCJ1c2VySWQiOiIxMDc2NzY0NjA4In0=</vt:lpwstr>
  </property>
  <property fmtid="{D5CDD505-2E9C-101B-9397-08002B2CF9AE}" pid="3" name="KSOProductBuildVer">
    <vt:lpwstr>2052-11.8.2.11958</vt:lpwstr>
  </property>
  <property fmtid="{D5CDD505-2E9C-101B-9397-08002B2CF9AE}" pid="4" name="ICV">
    <vt:lpwstr>F35D0CE75E284A36A034F32BA99311CC_13</vt:lpwstr>
  </property>
</Properties>
</file>