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_GB2312" w:hAnsi="仿宋_GB2312" w:eastAsia="仿宋_GB2312"/>
          <w:sz w:val="32"/>
        </w:rPr>
      </w:pPr>
    </w:p>
    <w:p>
      <w:pPr>
        <w:spacing w:line="580" w:lineRule="exact"/>
        <w:jc w:val="left"/>
        <w:rPr>
          <w:rFonts w:ascii="仿宋_GB2312" w:hAnsi="仿宋_GB2312" w:eastAsia="仿宋_GB2312"/>
          <w:sz w:val="32"/>
        </w:rPr>
      </w:pPr>
    </w:p>
    <w:p>
      <w:pPr>
        <w:spacing w:line="580" w:lineRule="exact"/>
        <w:jc w:val="center"/>
        <w:rPr>
          <w:rFonts w:ascii="方正小标宋_GBK" w:hAnsi="方正小标宋_GBK" w:eastAsia="方正小标宋_GBK" w:cs="方正小标宋_GBK"/>
          <w:sz w:val="44"/>
        </w:rPr>
      </w:pPr>
      <w:r>
        <w:rPr>
          <w:rFonts w:hint="eastAsia" w:ascii="方正小标宋_GBK" w:hAnsi="方正小标宋_GBK" w:eastAsia="方正小标宋_GBK" w:cs="方正小标宋_GBK"/>
          <w:sz w:val="44"/>
        </w:rPr>
        <w:t>自行采购服务类项目采购需求</w:t>
      </w:r>
    </w:p>
    <w:p>
      <w:pPr>
        <w:spacing w:line="580" w:lineRule="exact"/>
        <w:jc w:val="center"/>
        <w:rPr>
          <w:rFonts w:ascii="楷体_GB2312" w:hAnsi="楷体_GB2312" w:eastAsia="楷体_GB2312" w:cs="楷体_GB2312"/>
          <w:sz w:val="32"/>
        </w:rPr>
      </w:pPr>
    </w:p>
    <w:p>
      <w:pPr>
        <w:spacing w:line="580" w:lineRule="exact"/>
        <w:jc w:val="center"/>
        <w:rPr>
          <w:rFonts w:ascii="仿宋_GB2312" w:hAnsi="仿宋_GB2312" w:eastAsia="仿宋_GB2312"/>
          <w:sz w:val="32"/>
        </w:rPr>
      </w:pPr>
    </w:p>
    <w:p>
      <w:pPr>
        <w:numPr>
          <w:ilvl w:val="0"/>
          <w:numId w:val="1"/>
        </w:numPr>
        <w:bidi w:val="0"/>
        <w:rPr>
          <w:rFonts w:hint="eastAsia" w:ascii="黑体" w:hAnsi="黑体" w:eastAsia="黑体" w:cs="黑体"/>
          <w:sz w:val="32"/>
          <w:szCs w:val="32"/>
        </w:rPr>
      </w:pPr>
      <w:r>
        <w:rPr>
          <w:rFonts w:hint="eastAsia" w:ascii="黑体" w:hAnsi="黑体" w:eastAsia="黑体" w:cs="黑体"/>
          <w:sz w:val="32"/>
          <w:szCs w:val="32"/>
        </w:rPr>
        <w:t>采购项目概况</w:t>
      </w:r>
    </w:p>
    <w:tbl>
      <w:tblPr>
        <w:tblStyle w:val="17"/>
        <w:tblW w:w="8954" w:type="dxa"/>
        <w:tblInd w:w="11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064"/>
        <w:gridCol w:w="58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64" w:type="dxa"/>
            <w:vAlign w:val="center"/>
          </w:tcPr>
          <w:p>
            <w:pPr>
              <w:pStyle w:val="25"/>
              <w:spacing w:before="86"/>
              <w:ind w:left="17" w:right="17"/>
              <w:jc w:val="center"/>
              <w:rPr>
                <w:b/>
                <w:bCs/>
                <w:sz w:val="28"/>
              </w:rPr>
            </w:pPr>
            <w:r>
              <w:rPr>
                <w:b/>
                <w:bCs/>
                <w:sz w:val="28"/>
              </w:rPr>
              <w:t>项目名称</w:t>
            </w:r>
          </w:p>
        </w:tc>
        <w:tc>
          <w:tcPr>
            <w:tcW w:w="5890" w:type="dxa"/>
          </w:tcPr>
          <w:p>
            <w:pPr>
              <w:pStyle w:val="25"/>
              <w:jc w:val="center"/>
              <w:rPr>
                <w:rFonts w:hint="eastAsia" w:ascii="仿宋_GB2312" w:hAnsi="仿宋_GB2312" w:eastAsia="仿宋_GB2312" w:cs="仿宋_GB2312"/>
                <w:sz w:val="30"/>
                <w:lang w:eastAsia="zh-CN"/>
              </w:rPr>
            </w:pPr>
            <w:r>
              <w:rPr>
                <w:rFonts w:hint="eastAsia" w:ascii="仿宋_GB2312" w:hAnsi="仿宋_GB2312" w:eastAsia="仿宋_GB2312" w:cs="仿宋_GB2312"/>
                <w:sz w:val="30"/>
              </w:rPr>
              <w:t>深圳市投资项目在线审批监管平台三期项目立项方案设计咨询服务</w:t>
            </w:r>
            <w:r>
              <w:rPr>
                <w:rFonts w:hint="eastAsia" w:ascii="仿宋_GB2312" w:hAnsi="仿宋_GB2312" w:eastAsia="仿宋_GB2312" w:cs="仿宋_GB2312"/>
                <w:sz w:val="30"/>
                <w:lang w:eastAsia="zh-CN"/>
              </w:rPr>
              <w:t>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64" w:type="dxa"/>
          </w:tcPr>
          <w:p>
            <w:pPr>
              <w:pStyle w:val="25"/>
              <w:spacing w:before="85"/>
              <w:ind w:left="83" w:right="17"/>
              <w:jc w:val="center"/>
              <w:rPr>
                <w:b/>
                <w:bCs/>
                <w:sz w:val="28"/>
              </w:rPr>
            </w:pPr>
            <w:r>
              <w:rPr>
                <w:b/>
                <w:bCs/>
                <w:sz w:val="28"/>
              </w:rPr>
              <w:t>项目预算（单位：万元）</w:t>
            </w:r>
          </w:p>
        </w:tc>
        <w:tc>
          <w:tcPr>
            <w:tcW w:w="5890" w:type="dxa"/>
            <w:vAlign w:val="center"/>
          </w:tcPr>
          <w:p>
            <w:pPr>
              <w:pStyle w:val="25"/>
              <w:jc w:val="center"/>
              <w:rPr>
                <w:rFonts w:hint="eastAsia" w:ascii="仿宋_GB2312" w:hAnsi="仿宋_GB2312" w:eastAsia="仿宋_GB2312" w:cs="仿宋_GB2312"/>
                <w:sz w:val="30"/>
              </w:rPr>
            </w:pPr>
            <w:r>
              <w:rPr>
                <w:rFonts w:hint="eastAsia" w:ascii="仿宋_GB2312" w:hAnsi="仿宋_GB2312" w:eastAsia="仿宋_GB2312" w:cs="仿宋_GB2312"/>
                <w:kern w:val="2"/>
                <w:sz w:val="30"/>
                <w:szCs w:val="22"/>
                <w:lang w:val="en-US" w:eastAsia="zh-CN" w:bidi="ar-SA"/>
              </w:rPr>
              <w:t>16万元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64" w:type="dxa"/>
          </w:tcPr>
          <w:p>
            <w:pPr>
              <w:pStyle w:val="25"/>
              <w:spacing w:before="83"/>
              <w:ind w:left="20" w:right="17"/>
              <w:jc w:val="center"/>
              <w:rPr>
                <w:b/>
                <w:bCs/>
                <w:sz w:val="28"/>
              </w:rPr>
            </w:pPr>
            <w:r>
              <w:rPr>
                <w:b/>
                <w:bCs/>
                <w:sz w:val="28"/>
              </w:rPr>
              <w:t>采购人单位</w:t>
            </w:r>
          </w:p>
        </w:tc>
        <w:tc>
          <w:tcPr>
            <w:tcW w:w="5890" w:type="dxa"/>
            <w:vAlign w:val="center"/>
          </w:tcPr>
          <w:p>
            <w:pPr>
              <w:pStyle w:val="25"/>
              <w:jc w:val="center"/>
              <w:rPr>
                <w:rFonts w:hint="eastAsia" w:ascii="仿宋_GB2312" w:hAnsi="仿宋_GB2312" w:eastAsia="仿宋_GB2312" w:cs="仿宋_GB2312"/>
                <w:sz w:val="30"/>
              </w:rPr>
            </w:pPr>
            <w:r>
              <w:rPr>
                <w:rFonts w:hint="eastAsia" w:ascii="仿宋_GB2312" w:hAnsi="仿宋_GB2312" w:eastAsia="仿宋_GB2312" w:cs="仿宋_GB2312"/>
                <w:kern w:val="2"/>
                <w:sz w:val="30"/>
                <w:szCs w:val="22"/>
                <w:lang w:val="en-US" w:eastAsia="zh-CN" w:bidi="ar-SA"/>
              </w:rPr>
              <w:t>深圳市政务服务和数据管理局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trPr>
        <w:tc>
          <w:tcPr>
            <w:tcW w:w="3064" w:type="dxa"/>
            <w:vAlign w:val="center"/>
          </w:tcPr>
          <w:p>
            <w:pPr>
              <w:pStyle w:val="25"/>
              <w:spacing w:before="83"/>
              <w:ind w:left="18" w:right="17"/>
              <w:jc w:val="center"/>
              <w:rPr>
                <w:b/>
                <w:bCs/>
                <w:sz w:val="28"/>
              </w:rPr>
            </w:pPr>
            <w:r>
              <w:rPr>
                <w:b/>
                <w:bCs/>
                <w:sz w:val="28"/>
              </w:rPr>
              <w:t>负责人/联系电话</w:t>
            </w:r>
          </w:p>
        </w:tc>
        <w:tc>
          <w:tcPr>
            <w:tcW w:w="5890" w:type="dxa"/>
          </w:tcPr>
          <w:p>
            <w:pPr>
              <w:spacing w:line="580" w:lineRule="exact"/>
              <w:jc w:val="center"/>
              <w:rPr>
                <w:rFonts w:hint="eastAsia" w:ascii="仿宋_GB2312" w:hAnsi="仿宋_GB2312" w:eastAsia="仿宋_GB2312" w:cs="仿宋_GB2312"/>
                <w:sz w:val="30"/>
              </w:rPr>
            </w:pPr>
            <w:r>
              <w:rPr>
                <w:rFonts w:hint="eastAsia" w:ascii="仿宋_GB2312" w:hAnsi="仿宋_GB2312" w:eastAsia="仿宋_GB2312" w:cs="仿宋_GB2312"/>
                <w:kern w:val="2"/>
                <w:sz w:val="30"/>
                <w:szCs w:val="22"/>
                <w:lang w:val="en-US" w:eastAsia="zh-CN" w:bidi="ar-SA"/>
              </w:rPr>
              <w:t>联系人：韦宣合，联系电话：881207601</w:t>
            </w:r>
          </w:p>
        </w:tc>
      </w:tr>
    </w:tbl>
    <w:p>
      <w:pPr>
        <w:numPr>
          <w:ilvl w:val="0"/>
          <w:numId w:val="1"/>
        </w:numPr>
        <w:spacing w:line="580" w:lineRule="exact"/>
        <w:ind w:left="0" w:leftChars="0" w:firstLine="0" w:firstLineChars="0"/>
        <w:jc w:val="left"/>
        <w:rPr>
          <w:rFonts w:hint="eastAsia" w:ascii="黑体" w:hAnsi="黑体" w:eastAsia="黑体"/>
          <w:sz w:val="32"/>
        </w:rPr>
      </w:pPr>
      <w:r>
        <w:rPr>
          <w:rFonts w:hint="eastAsia" w:ascii="黑体" w:hAnsi="黑体" w:eastAsia="黑体"/>
          <w:sz w:val="32"/>
        </w:rPr>
        <w:t>项目技术和服务要求★</w:t>
      </w:r>
    </w:p>
    <w:p>
      <w:pPr>
        <w:pStyle w:val="16"/>
        <w:keepNext w:val="0"/>
        <w:keepLines w:val="0"/>
        <w:pageBreakBefore w:val="0"/>
        <w:widowControl w:val="0"/>
        <w:numPr>
          <w:ilvl w:val="-1"/>
          <w:numId w:val="0"/>
        </w:numPr>
        <w:kinsoku/>
        <w:wordWrap/>
        <w:overflowPunct/>
        <w:topLinePunct w:val="0"/>
        <w:autoSpaceDE/>
        <w:autoSpaceDN/>
        <w:bidi w:val="0"/>
        <w:spacing w:after="0" w:line="560" w:lineRule="exact"/>
        <w:ind w:left="0" w:leftChars="0" w:firstLine="640"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sz w:val="32"/>
          <w:szCs w:val="32"/>
        </w:rPr>
        <w:t>深圳市投资项目在线审批监管平台三期项目</w:t>
      </w:r>
      <w:r>
        <w:rPr>
          <w:rFonts w:hint="eastAsia" w:ascii="仿宋_GB2312" w:hAnsi="仿宋_GB2312" w:eastAsia="仿宋_GB2312" w:cs="仿宋_GB2312"/>
          <w:sz w:val="32"/>
          <w:szCs w:val="32"/>
          <w:lang w:eastAsia="zh-CN"/>
        </w:rPr>
        <w:t>（以下简称主体项目）</w:t>
      </w:r>
      <w:r>
        <w:rPr>
          <w:rFonts w:hint="eastAsia" w:ascii="仿宋_GB2312" w:hAnsi="仿宋_GB2312" w:eastAsia="仿宋_GB2312" w:cs="仿宋_GB2312"/>
          <w:sz w:val="32"/>
          <w:szCs w:val="32"/>
        </w:rPr>
        <w:t>立项方案设计咨询服务</w:t>
      </w:r>
      <w:r>
        <w:rPr>
          <w:rFonts w:hint="eastAsia" w:ascii="仿宋_GB2312" w:hAnsi="仿宋_GB2312" w:eastAsia="仿宋_GB2312" w:cs="仿宋_GB2312"/>
          <w:sz w:val="32"/>
          <w:szCs w:val="32"/>
          <w:lang w:eastAsia="zh-CN"/>
        </w:rPr>
        <w:t>（以下简称项目）</w:t>
      </w:r>
    </w:p>
    <w:p>
      <w:pPr>
        <w:pStyle w:val="16"/>
        <w:keepNext w:val="0"/>
        <w:keepLines w:val="0"/>
        <w:pageBreakBefore w:val="0"/>
        <w:widowControl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（一）主体项目背景</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1</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2</w:t>
      </w:r>
      <w:r>
        <w:rPr>
          <w:rFonts w:ascii="仿宋_GB2312" w:hAnsi="仿宋_GB2312" w:eastAsia="仿宋_GB2312" w:cs="仿宋_GB2312"/>
          <w:color w:val="0C0C0C"/>
          <w:sz w:val="32"/>
          <w:szCs w:val="32"/>
        </w:rPr>
        <w:t>023</w:t>
      </w:r>
      <w:r>
        <w:rPr>
          <w:rFonts w:hint="eastAsia" w:ascii="仿宋_GB2312" w:hAnsi="仿宋_GB2312" w:eastAsia="仿宋_GB2312" w:cs="仿宋_GB2312"/>
          <w:color w:val="0C0C0C"/>
          <w:sz w:val="32"/>
          <w:szCs w:val="32"/>
        </w:rPr>
        <w:t>年7月，住房城乡建设部工程建设项目审批制度改革试点工作领导小组办公室印发《住房城乡建设部工程建设项目审批制度改革工作领导小组办公室关于印发工程建设项目审批管理系统相关数据共享交换标准及国家工程建设项目主要审批服务事项的通知》要求，进一步加强工程建设项目审批管理系统建设运行管理，提升工程建设项目审批全程网办便利度。加快实现各类建设工程消防审验全部纳入工程审批系统，切实保障数据共享质量，规范事项管理。</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ascii="仿宋_GB2312" w:hAnsi="仿宋_GB2312" w:eastAsia="仿宋_GB2312" w:cs="仿宋_GB2312"/>
          <w:color w:val="0C0C0C"/>
          <w:sz w:val="32"/>
          <w:szCs w:val="32"/>
        </w:rPr>
        <w:t>2</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2</w:t>
      </w:r>
      <w:r>
        <w:rPr>
          <w:rFonts w:ascii="仿宋_GB2312" w:hAnsi="仿宋_GB2312" w:eastAsia="仿宋_GB2312" w:cs="仿宋_GB2312"/>
          <w:color w:val="0C0C0C"/>
          <w:sz w:val="32"/>
          <w:szCs w:val="32"/>
        </w:rPr>
        <w:t>023</w:t>
      </w:r>
      <w:r>
        <w:rPr>
          <w:rFonts w:hint="eastAsia" w:ascii="仿宋_GB2312" w:hAnsi="仿宋_GB2312" w:eastAsia="仿宋_GB2312" w:cs="仿宋_GB2312"/>
          <w:color w:val="0C0C0C"/>
          <w:sz w:val="32"/>
          <w:szCs w:val="32"/>
        </w:rPr>
        <w:t>年1</w:t>
      </w:r>
      <w:r>
        <w:rPr>
          <w:rFonts w:ascii="仿宋_GB2312" w:hAnsi="仿宋_GB2312" w:eastAsia="仿宋_GB2312" w:cs="仿宋_GB2312"/>
          <w:color w:val="0C0C0C"/>
          <w:sz w:val="32"/>
          <w:szCs w:val="32"/>
        </w:rPr>
        <w:t>0</w:t>
      </w:r>
      <w:r>
        <w:rPr>
          <w:rFonts w:hint="eastAsia" w:ascii="仿宋_GB2312" w:hAnsi="仿宋_GB2312" w:eastAsia="仿宋_GB2312" w:cs="仿宋_GB2312"/>
          <w:color w:val="0C0C0C"/>
          <w:sz w:val="32"/>
          <w:szCs w:val="32"/>
        </w:rPr>
        <w:t>月，住房城乡建设部办公室印发《住房城乡建设部办公厅关于开展工程建设项目全生命周期数字化管理改革试点工作的通知》（建办厅函〔2023〕291号）要求，深圳市为工程建设项目全生命周期数字化管理改革试点地区，要求加快建立工程建设项目全生命周期数据汇聚融合、业务协同的工作机制，打通工程建设项目设计、施工、验收、运维全生命周期审批监管数据链条，推动管理流程再造、制度重塑，形成可复制推广的管理模式、实施路径和政策标准体系，为全面推进工程建设项目全生命周期数字化管理、促进工程建设领域高质量发展发挥示范引领作用。</w:t>
      </w:r>
    </w:p>
    <w:p>
      <w:pPr>
        <w:pStyle w:val="6"/>
        <w:ind w:firstLine="640"/>
        <w:rPr>
          <w:rFonts w:hint="eastAsia" w:ascii="仿宋_GB2312" w:hAnsi="仿宋_GB2312" w:eastAsia="仿宋_GB2312" w:cs="仿宋_GB2312"/>
          <w:color w:val="0C0C0C"/>
          <w:kern w:val="2"/>
          <w:sz w:val="32"/>
          <w:szCs w:val="32"/>
          <w:lang w:val="en-US" w:eastAsia="zh-CN" w:bidi="ar-SA"/>
        </w:rPr>
      </w:pPr>
      <w:r>
        <w:rPr>
          <w:rFonts w:hint="eastAsia" w:ascii="仿宋_GB2312" w:hAnsi="仿宋_GB2312" w:eastAsia="仿宋_GB2312" w:cs="仿宋_GB2312"/>
          <w:color w:val="0C0C0C"/>
          <w:kern w:val="2"/>
          <w:sz w:val="32"/>
          <w:szCs w:val="32"/>
          <w:lang w:val="en-US" w:eastAsia="zh-CN" w:bidi="ar-SA"/>
        </w:rPr>
        <w:t>3</w:t>
      </w:r>
      <w:r>
        <w:rPr>
          <w:rFonts w:hint="default" w:ascii="仿宋_GB2312" w:hAnsi="仿宋_GB2312" w:eastAsia="仿宋_GB2312" w:cs="仿宋_GB2312"/>
          <w:color w:val="0C0C0C"/>
          <w:kern w:val="2"/>
          <w:sz w:val="32"/>
          <w:szCs w:val="32"/>
          <w:lang w:val="en-US" w:eastAsia="zh-CN" w:bidi="ar-SA"/>
        </w:rPr>
        <w:t>.</w:t>
      </w:r>
      <w:r>
        <w:rPr>
          <w:rFonts w:hint="eastAsia" w:ascii="仿宋_GB2312" w:hAnsi="仿宋_GB2312" w:eastAsia="仿宋_GB2312" w:cs="仿宋_GB2312"/>
          <w:color w:val="0C0C0C"/>
          <w:kern w:val="2"/>
          <w:sz w:val="32"/>
          <w:szCs w:val="32"/>
          <w:lang w:val="en-US" w:eastAsia="zh-CN" w:bidi="ar-SA"/>
        </w:rPr>
        <w:t>2023年7月，国家发展改革委办公厅印发《国家发展改革委办公厅关于开展民间资本推介项目有关工作的通知》要求，切实做好项目推介工作，充分调动民间投资积极性，抓紧䞼向民间资本推介项目平台的技术改造工作。</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ascii="仿宋_GB2312" w:hAnsi="仿宋_GB2312" w:eastAsia="仿宋_GB2312" w:cs="仿宋_GB2312"/>
          <w:color w:val="0C0C0C"/>
          <w:sz w:val="32"/>
          <w:szCs w:val="32"/>
        </w:rPr>
        <w:t>4</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2</w:t>
      </w:r>
      <w:r>
        <w:rPr>
          <w:rFonts w:ascii="仿宋_GB2312" w:hAnsi="仿宋_GB2312" w:eastAsia="仿宋_GB2312" w:cs="仿宋_GB2312"/>
          <w:color w:val="0C0C0C"/>
          <w:sz w:val="32"/>
          <w:szCs w:val="32"/>
        </w:rPr>
        <w:t>023</w:t>
      </w:r>
      <w:r>
        <w:rPr>
          <w:rFonts w:hint="eastAsia" w:ascii="仿宋_GB2312" w:hAnsi="仿宋_GB2312" w:eastAsia="仿宋_GB2312" w:cs="仿宋_GB2312"/>
          <w:color w:val="0C0C0C"/>
          <w:sz w:val="32"/>
          <w:szCs w:val="32"/>
        </w:rPr>
        <w:t>年7月，国家发展改革委固定资产投资司印发《关于进一步完善投资项目在线审批监管平台服务功能的通知》要求，更好发挥投资项目在线审批监管平台在支撑扩大民间投资和促进投贷联动，以及提升项目全生命周期监管效能等方面的积极作用，进一步完善平台有关功能。</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ascii="仿宋_GB2312" w:hAnsi="仿宋_GB2312" w:eastAsia="仿宋_GB2312" w:cs="仿宋_GB2312"/>
          <w:color w:val="0C0C0C"/>
          <w:sz w:val="32"/>
          <w:szCs w:val="32"/>
        </w:rPr>
        <w:t>5</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根据广东省印发的《项目代码拆分单项工程编码规则》中相关项目代码拆分子工程的说明，结合深圳市目前项目报建情况，对深圳市工程建设项目进行项目拆分。</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ascii="仿宋_GB2312" w:hAnsi="仿宋_GB2312" w:eastAsia="仿宋_GB2312" w:cs="仿宋_GB2312"/>
          <w:color w:val="0C0C0C"/>
          <w:sz w:val="32"/>
          <w:szCs w:val="32"/>
        </w:rPr>
        <w:t>6</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根据《广东省优化营商环境条例》相关要求，提升相关考核指标水平，提升在线平台服务许可信息透明度，提升在线服务的可用性和可靠性，优化企业申报辅导服务。</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7</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color w:val="0C0C0C"/>
          <w:sz w:val="32"/>
          <w:szCs w:val="32"/>
        </w:rPr>
        <w:t>2</w:t>
      </w:r>
      <w:r>
        <w:rPr>
          <w:rFonts w:ascii="仿宋_GB2312" w:hAnsi="仿宋_GB2312" w:eastAsia="仿宋_GB2312" w:cs="仿宋_GB2312"/>
          <w:color w:val="0C0C0C"/>
          <w:sz w:val="32"/>
          <w:szCs w:val="32"/>
        </w:rPr>
        <w:t>024</w:t>
      </w:r>
      <w:r>
        <w:rPr>
          <w:rFonts w:hint="eastAsia" w:ascii="仿宋_GB2312" w:hAnsi="仿宋_GB2312" w:eastAsia="仿宋_GB2312" w:cs="仿宋_GB2312"/>
          <w:color w:val="0C0C0C"/>
          <w:sz w:val="32"/>
          <w:szCs w:val="32"/>
        </w:rPr>
        <w:t>年3月，深圳是工程建设项目审批制度改革试点工作领导小组办公室印发《深圳市工程建设项目全生命周期数字化管理改革试点工作方案》要求，进一步深化我市工程建设项目审批制度改革，建立工程建设项目全生命周期数据汇聚融合、业务协同的工作机制，促进工程建设领域高质量发展。</w:t>
      </w:r>
    </w:p>
    <w:p>
      <w:pPr>
        <w:pStyle w:val="16"/>
        <w:keepNext w:val="0"/>
        <w:keepLines w:val="0"/>
        <w:pageBreakBefore w:val="0"/>
        <w:widowControl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（二）主体项目建设目标</w:t>
      </w:r>
    </w:p>
    <w:p>
      <w:pPr>
        <w:pStyle w:val="25"/>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为深入贯彻落实党中央和国务院关于深化“放管服”改革，优化营商环境的最新部署，进一步深化我市工程建设项目审批制度改革。打通项目全生命周期的审批监管数据链条，加强工程建设领域数据共享；加强电子证照和电子印章应用，进一步提升工程建设项目审批全流程网办便利度；对标国家新标准新要求优化升级系统，实现平台服务能力新提升；对接各级各部门工程建设审批相关系统，实现更大范围的业务协同。全面推进工程建设项目全生命周期数字化管理，助力工程建设项目审批提速增效，促进工程建设领域高质量发展，同时提升市场主体获得感、满意度，进一步优化营商环境。</w:t>
      </w:r>
    </w:p>
    <w:p>
      <w:pPr>
        <w:pStyle w:val="16"/>
        <w:keepNext w:val="0"/>
        <w:keepLines w:val="0"/>
        <w:pageBreakBefore w:val="0"/>
        <w:widowControl w:val="0"/>
        <w:numPr>
          <w:ilvl w:val="0"/>
          <w:numId w:val="0"/>
        </w:numPr>
        <w:kinsoku/>
        <w:wordWrap/>
        <w:overflowPunct/>
        <w:topLinePunct w:val="0"/>
        <w:autoSpaceDE/>
        <w:autoSpaceDN/>
        <w:bidi w:val="0"/>
        <w:spacing w:after="0" w:line="560" w:lineRule="exact"/>
        <w:ind w:leftChars="0" w:firstLine="643"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（三）主体项目建设内容</w:t>
      </w:r>
    </w:p>
    <w:p>
      <w:pPr>
        <w:pStyle w:val="6"/>
        <w:spacing w:line="600" w:lineRule="exact"/>
        <w:ind w:firstLine="64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通过升级改造深圳市投资项目在线审批监管平台功能，实现我市工程建设审批管理系统数据按照《数据标准3.0》要求共享及上报、工程建设项目全生命周期数据汇聚融合、工程建设项目全流程网办再升级等工作目标，推进工程建设项目图纸全过程数字化管理、BIM报建和智能辅助审查推广应用工作，以及进一步巩固和提升市投资项目在线审批监管平台信息数据安全等相关工作。主要内容包括数据共享交换标准3.0改造、项目拆分工程管理、优化营商环境服务、运行监控管理、非法人项目赋码改造、业务协同对接管理、平台安全升级改造。</w:t>
      </w:r>
    </w:p>
    <w:p>
      <w:pPr>
        <w:pStyle w:val="6"/>
        <w:spacing w:line="600" w:lineRule="exact"/>
        <w:ind w:firstLine="64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1</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工程建设项目审批管理系统数据共享交换标准3.0升级改造。</w:t>
      </w:r>
      <w:r>
        <w:rPr>
          <w:rFonts w:hint="eastAsia" w:ascii="仿宋_GB2312" w:hAnsi="仿宋_GB2312" w:eastAsia="仿宋_GB2312" w:cs="仿宋_GB2312"/>
          <w:color w:val="0C0C0C"/>
          <w:sz w:val="32"/>
          <w:szCs w:val="32"/>
        </w:rPr>
        <w:t>从升级平台数据采集和流程规范出发，通过完善阶段流程配置，增加阶段流程图、按阶段提供办事指南服务、拓展标准事项配置，增加3.0标准事项录入及关联配置功能，对项目基本信息、事项基本信息新增采集指标，增加新指标数据配置功能，增加事项办理及审批系统的信息采集，以及电子证照应用功能的升级，增加证照、附件数据的采集等优化改造以符合改革要求。</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2</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项目拆分工程管理。</w:t>
      </w:r>
      <w:r>
        <w:rPr>
          <w:rFonts w:hint="eastAsia" w:ascii="仿宋_GB2312" w:hAnsi="仿宋_GB2312" w:eastAsia="仿宋_GB2312" w:cs="仿宋_GB2312"/>
          <w:color w:val="0C0C0C"/>
          <w:sz w:val="32"/>
          <w:szCs w:val="32"/>
        </w:rPr>
        <w:t>按照《深圳市工程建设项目全生命周期数字化管理改革试点工作方案》，工程建设项目根据实际情况，确需拆分为两个或两个以上单项工程分别办理报建审批手续的，可以对单项工程设置工程代码，并依托工程代码办理相关审批手续。（1）根据省发改委、省自然资源厅、省住建厅、省政数局共同印发的《项目代码拆分单项工程编码规则(试行)》的规则，结合我市工程项目审批管理系统实际，梳理并制定“项目拆分工程代码工作方案”，明确拆分规则、业务改造方案等内容；（2）根据“项目拆分工程代码工作方案”平台提供单项工程代码管理的功能，提供工程代码赋码管理、工程代码与项目代码的关联管理、单项工程的申报流程管理等；（3）根据业务需求，对单项工程代码形式报建的业务办理全过程进行流程优化设计和改造，包括项目拆分管理、单项工程报建业务办理流程升级适配改造、并联报建各系统间的协同管理升级改造、企业用户单项工程信息管理及进度查询等功能的改造；（4）与省市各级平台数据交换共享的改造，实现单项工程代码各审批环节数据进行统一汇聚，在各级有关部门间实现信息共享。</w:t>
      </w:r>
    </w:p>
    <w:p>
      <w:pPr>
        <w:adjustRightInd w:val="0"/>
        <w:snapToGrid w:val="0"/>
        <w:spacing w:line="579"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3</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优化营商环境服务。</w:t>
      </w:r>
      <w:r>
        <w:rPr>
          <w:rFonts w:hint="eastAsia" w:ascii="仿宋_GB2312" w:hAnsi="仿宋_GB2312" w:eastAsia="仿宋_GB2312" w:cs="仿宋_GB2312"/>
          <w:color w:val="0C0C0C"/>
          <w:sz w:val="32"/>
          <w:szCs w:val="32"/>
        </w:rPr>
        <w:t>提升在线平台服务许可信息透明度、在线服务可用性和可靠性以及申报辅导服务。引入在线会商、智能引导、前期咨询等沟通和导办渠道，为企业办事提供畅通的沟通渠道；引入云客服，提供视频咨询问答服务；支撑扩大民间投资，提升项目全生命周期监管效能，在项目报建阶段，增加信息填报、项目对接、数据统计等相关功能；对标2024年省营商环境评价指标体系，进行相关数据采集和分析，提升相关考核指标水平。</w:t>
      </w:r>
    </w:p>
    <w:p>
      <w:pPr>
        <w:adjustRightInd w:val="0"/>
        <w:snapToGrid w:val="0"/>
        <w:spacing w:line="579" w:lineRule="exact"/>
        <w:ind w:firstLine="640" w:firstLineChars="20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4</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运行监控管理。</w:t>
      </w:r>
      <w:r>
        <w:rPr>
          <w:rFonts w:hint="eastAsia" w:ascii="仿宋_GB2312" w:hAnsi="仿宋_GB2312" w:eastAsia="仿宋_GB2312" w:cs="仿宋_GB2312"/>
          <w:color w:val="0C0C0C"/>
          <w:sz w:val="32"/>
          <w:szCs w:val="32"/>
        </w:rPr>
        <w:t>通过梳理《数据标准3.0》中要求的35张表，及各数据采集指标，搭建本地3.0标准库，并结合本地信息化平台实际情况制定本地数据共享交换标准，依据规范开发数据共享API接口，同步采集本地工改审批业务数据汇聚至在线平台，按照要求共享上报至省工改系统及国家平台。同时，本地标准库数据对全市工改业务系统开放共享，帮助完善业务系统网上审批服务。另外，制定数据监控方案，设置监控指标，在数据共享交换过程中，全过程进行监控，对数据质量进行统计并输出分析报表或图表，提高共享上报的数据质量和实时率指标水平，进一步提高工改审批效能。</w:t>
      </w:r>
    </w:p>
    <w:p>
      <w:pPr>
        <w:pStyle w:val="6"/>
        <w:spacing w:line="600" w:lineRule="exact"/>
        <w:ind w:firstLine="64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5</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自然人申报项目改造。</w:t>
      </w:r>
      <w:r>
        <w:rPr>
          <w:rFonts w:hint="eastAsia" w:ascii="仿宋_GB2312" w:hAnsi="仿宋_GB2312" w:eastAsia="仿宋_GB2312" w:cs="仿宋_GB2312"/>
          <w:color w:val="0C0C0C"/>
          <w:sz w:val="32"/>
          <w:szCs w:val="32"/>
        </w:rPr>
        <w:t>目前平台仅支持法人项目的申报及管理，对项目申报主体为自然人的项目进行赋码，支持自然人项目的申报，升级改造相应功能，包括获取项目信息，申办、受理、审批各环节的适配改造，以及对数据共享上报进行升级。</w:t>
      </w:r>
    </w:p>
    <w:p>
      <w:pPr>
        <w:adjustRightInd w:val="0"/>
        <w:snapToGrid w:val="0"/>
        <w:spacing w:line="579" w:lineRule="exact"/>
        <w:ind w:firstLine="640" w:firstLineChars="200"/>
        <w:rPr>
          <w:rFonts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6</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业务协同对接管理。</w:t>
      </w:r>
      <w:r>
        <w:rPr>
          <w:rFonts w:hint="eastAsia" w:ascii="仿宋_GB2312" w:hAnsi="仿宋_GB2312" w:eastAsia="仿宋_GB2312" w:cs="仿宋_GB2312"/>
          <w:color w:val="0C0C0C"/>
          <w:sz w:val="32"/>
          <w:szCs w:val="32"/>
        </w:rPr>
        <w:t>加强平台与省市各平台间的数据共享、业务协同能力。与市建设工程勘察设计管理系统对接，推进工程建设项目图纸全过程数字化管理；与全生命周期平台对接，汇聚项目单体信息；与BIM平台对接，通过在线平台流程适配改造，推广BIM辅助审批的应用；与统一电子印章平台对接，实现在线平台企业端申请材料应用电子签章；与数字空间对接，实现授权电子证照，完善全流程网办能力；与省一网通办平台对接，通过开发数据共享接口，提供项目基本信息共享；与发改项目信息接口对接，按照新的接口规范，进行适配改造对接；特殊项目类型标识改造，根据特殊类型的项目进行办理流程上的适配改造。</w:t>
      </w:r>
    </w:p>
    <w:p>
      <w:pPr>
        <w:pStyle w:val="6"/>
        <w:spacing w:line="600" w:lineRule="exact"/>
        <w:ind w:firstLine="640"/>
        <w:rPr>
          <w:rFonts w:hint="eastAsia" w:ascii="仿宋_GB2312" w:hAnsi="仿宋_GB2312" w:eastAsia="仿宋_GB2312" w:cs="仿宋_GB2312"/>
          <w:color w:val="0C0C0C"/>
          <w:sz w:val="32"/>
          <w:szCs w:val="32"/>
        </w:rPr>
      </w:pPr>
      <w:r>
        <w:rPr>
          <w:rFonts w:hint="eastAsia" w:ascii="仿宋_GB2312" w:hAnsi="仿宋_GB2312" w:eastAsia="仿宋_GB2312" w:cs="仿宋_GB2312"/>
          <w:color w:val="0C0C0C"/>
          <w:sz w:val="32"/>
          <w:szCs w:val="32"/>
        </w:rPr>
        <w:t>7</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平台安全升级。</w:t>
      </w:r>
      <w:r>
        <w:rPr>
          <w:rFonts w:hint="eastAsia" w:ascii="仿宋_GB2312" w:hAnsi="仿宋_GB2312" w:eastAsia="仿宋_GB2312" w:cs="仿宋_GB2312"/>
          <w:color w:val="0C0C0C"/>
          <w:sz w:val="32"/>
          <w:szCs w:val="32"/>
        </w:rPr>
        <w:t>对深圳市投资项目在线审批监管平台进行信创适配改造、依照等保三级要求进行升级改造和平台密码应用方案的改造，强化平台应用和数据的安全管理。</w:t>
      </w:r>
    </w:p>
    <w:p>
      <w:pPr>
        <w:pStyle w:val="6"/>
        <w:spacing w:line="600" w:lineRule="exact"/>
        <w:ind w:firstLine="640"/>
        <w:rPr>
          <w:rFonts w:hint="eastAsia" w:ascii="Times New Roman" w:hAnsi="仿宋" w:eastAsia="仿宋" w:cs="仿宋"/>
          <w:kern w:val="2"/>
          <w:sz w:val="32"/>
          <w:szCs w:val="32"/>
          <w:lang w:val="en" w:eastAsia="zh-CN" w:bidi="ar-SA"/>
        </w:rPr>
      </w:pPr>
      <w:r>
        <w:rPr>
          <w:rFonts w:hint="eastAsia" w:ascii="仿宋_GB2312" w:hAnsi="仿宋_GB2312" w:eastAsia="仿宋_GB2312" w:cs="仿宋_GB2312"/>
          <w:color w:val="0C0C0C"/>
          <w:sz w:val="32"/>
          <w:szCs w:val="32"/>
        </w:rPr>
        <w:t>8</w:t>
      </w:r>
      <w:r>
        <w:rPr>
          <w:rFonts w:hint="default" w:ascii="仿宋_GB2312" w:hAnsi="仿宋_GB2312" w:eastAsia="仿宋_GB2312" w:cs="仿宋_GB2312"/>
          <w:color w:val="0C0C0C"/>
          <w:sz w:val="32"/>
          <w:szCs w:val="32"/>
          <w:lang w:val="en-US"/>
        </w:rPr>
        <w:t>.</w:t>
      </w:r>
      <w:r>
        <w:rPr>
          <w:rFonts w:hint="eastAsia" w:ascii="仿宋_GB2312" w:hAnsi="仿宋_GB2312" w:eastAsia="仿宋_GB2312" w:cs="仿宋_GB2312"/>
          <w:b/>
          <w:bCs/>
          <w:color w:val="0C0C0C"/>
          <w:sz w:val="32"/>
          <w:szCs w:val="32"/>
        </w:rPr>
        <w:t>移动端服务升级。</w:t>
      </w:r>
      <w:r>
        <w:rPr>
          <w:rFonts w:hint="eastAsia" w:ascii="仿宋_GB2312" w:hAnsi="仿宋_GB2312" w:eastAsia="仿宋_GB2312" w:cs="仿宋_GB2312"/>
          <w:b w:val="0"/>
          <w:bCs w:val="0"/>
          <w:color w:val="0C0C0C"/>
          <w:sz w:val="32"/>
          <w:szCs w:val="32"/>
        </w:rPr>
        <w:t>深入适配移动端API接入改造，扩展集成项目登记、进度查询、项目中心、勘察设计文件、结果证照等网上申报，拓展项目公示、办件公示、工程许可证照核发统计.咨询投诉信息、政策法规、网上中介服务超市等信息服务展示，提升工程项目信息透明度和全程移动办的便捷性。</w:t>
      </w:r>
    </w:p>
    <w:p>
      <w:pPr>
        <w:pStyle w:val="16"/>
        <w:keepNext w:val="0"/>
        <w:keepLines w:val="0"/>
        <w:pageBreakBefore w:val="0"/>
        <w:widowControl w:val="0"/>
        <w:numPr>
          <w:ilvl w:val="0"/>
          <w:numId w:val="0"/>
        </w:numPr>
        <w:kinsoku/>
        <w:wordWrap/>
        <w:overflowPunct/>
        <w:topLinePunct w:val="0"/>
        <w:autoSpaceDE/>
        <w:autoSpaceDN/>
        <w:bidi w:val="0"/>
        <w:spacing w:after="0" w:line="560" w:lineRule="exact"/>
        <w:ind w:firstLine="643" w:firstLineChars="200"/>
        <w:textAlignment w:val="auto"/>
        <w:rPr>
          <w:rFonts w:hint="eastAsia" w:ascii="仿宋_GB2312" w:hAnsi="仿宋_GB2312" w:eastAsia="仿宋_GB2312" w:cs="仿宋_GB2312"/>
          <w:b/>
          <w:kern w:val="2"/>
          <w:sz w:val="32"/>
          <w:szCs w:val="32"/>
          <w:lang w:val="en" w:eastAsia="zh-CN" w:bidi="ar-SA"/>
        </w:rPr>
      </w:pPr>
      <w:r>
        <w:rPr>
          <w:rFonts w:hint="eastAsia" w:ascii="仿宋_GB2312" w:hAnsi="仿宋_GB2312" w:eastAsia="仿宋_GB2312" w:cs="仿宋_GB2312"/>
          <w:b/>
          <w:kern w:val="2"/>
          <w:sz w:val="32"/>
          <w:szCs w:val="32"/>
          <w:lang w:val="en" w:eastAsia="zh-CN" w:bidi="ar-SA"/>
        </w:rPr>
        <w:t>（四）服务内容</w:t>
      </w:r>
    </w:p>
    <w:p>
      <w:pPr>
        <w:keepNext w:val="0"/>
        <w:keepLines w:val="0"/>
        <w:pageBreakBefore w:val="0"/>
        <w:numPr>
          <w:ilvl w:val="0"/>
          <w:numId w:val="0"/>
        </w:numPr>
        <w:kinsoku/>
        <w:wordWrap/>
        <w:overflowPunct/>
        <w:topLinePunct w:val="0"/>
        <w:autoSpaceDE/>
        <w:autoSpaceDN/>
        <w:bidi w:val="0"/>
        <w:spacing w:line="560" w:lineRule="exact"/>
        <w:ind w:left="15" w:leftChars="7" w:firstLine="407" w:firstLineChars="194"/>
        <w:textAlignment w:val="auto"/>
        <w:rPr>
          <w:rFonts w:hint="eastAsia" w:ascii="仿宋_GB2312" w:hAnsi="仿宋_GB2312" w:eastAsia="仿宋_GB2312" w:cs="仿宋_GB2312"/>
          <w:sz w:val="32"/>
          <w:szCs w:val="32"/>
          <w:lang w:val="en-US" w:eastAsia="zh-CN"/>
        </w:rPr>
      </w:pPr>
      <w:r>
        <w:rPr>
          <w:rFonts w:hint="eastAsia"/>
          <w:lang w:val="en-US" w:eastAsia="zh-CN"/>
        </w:rPr>
        <w:t xml:space="preserve">   </w:t>
      </w:r>
      <w:r>
        <w:rPr>
          <w:rFonts w:hint="eastAsia" w:ascii="仿宋_GB2312" w:hAnsi="仿宋_GB2312" w:eastAsia="仿宋_GB2312" w:cs="仿宋_GB2312"/>
          <w:kern w:val="2"/>
          <w:sz w:val="32"/>
          <w:szCs w:val="32"/>
          <w:lang w:val="en-US" w:eastAsia="zh-CN" w:bidi="ar-SA"/>
        </w:rPr>
        <w:t>中标供应商应按照国家咨询设计规范及</w:t>
      </w:r>
      <w:r>
        <w:rPr>
          <w:rFonts w:hint="eastAsia" w:ascii="仿宋_GB2312" w:hAnsi="仿宋_GB2312" w:eastAsia="仿宋_GB2312" w:cs="仿宋_GB2312"/>
          <w:sz w:val="32"/>
          <w:szCs w:val="32"/>
          <w:highlight w:val="none"/>
          <w:lang w:val="en-US" w:eastAsia="zh-CN"/>
        </w:rPr>
        <w:t>采购人</w:t>
      </w:r>
      <w:r>
        <w:rPr>
          <w:rFonts w:hint="eastAsia" w:ascii="仿宋_GB2312" w:hAnsi="仿宋_GB2312" w:eastAsia="仿宋_GB2312" w:cs="仿宋_GB2312"/>
          <w:kern w:val="2"/>
          <w:sz w:val="32"/>
          <w:szCs w:val="32"/>
          <w:lang w:val="en-US" w:eastAsia="zh-CN" w:bidi="ar-SA"/>
        </w:rPr>
        <w:t>需求编制主体项目立项文件，并装订提交，直至采购人最终获取主管部门及财政局的相应批复为止。</w:t>
      </w:r>
    </w:p>
    <w:p>
      <w:pPr>
        <w:pStyle w:val="16"/>
        <w:keepNext w:val="0"/>
        <w:keepLines w:val="0"/>
        <w:pageBreakBefore w:val="0"/>
        <w:widowControl w:val="0"/>
        <w:numPr>
          <w:ilvl w:val="0"/>
          <w:numId w:val="0"/>
        </w:numPr>
        <w:kinsoku/>
        <w:wordWrap/>
        <w:overflowPunct/>
        <w:topLinePunct w:val="0"/>
        <w:autoSpaceDE/>
        <w:autoSpaceDN/>
        <w:bidi w:val="0"/>
        <w:spacing w:after="0" w:line="560" w:lineRule="exact"/>
        <w:ind w:left="15" w:leftChars="7" w:firstLine="623" w:firstLineChars="194"/>
        <w:textAlignment w:val="auto"/>
        <w:rPr>
          <w:rFonts w:hint="eastAsia" w:ascii="仿宋_GB2312" w:hAnsi="仿宋_GB2312" w:eastAsia="仿宋_GB2312" w:cs="仿宋_GB2312"/>
          <w:b/>
          <w:kern w:val="2"/>
          <w:sz w:val="32"/>
          <w:szCs w:val="32"/>
          <w:lang w:val="zh-CN" w:eastAsia="zh-CN" w:bidi="ar-SA"/>
        </w:rPr>
      </w:pPr>
      <w:r>
        <w:rPr>
          <w:rFonts w:hint="eastAsia" w:ascii="仿宋_GB2312" w:hAnsi="仿宋_GB2312" w:eastAsia="仿宋_GB2312" w:cs="仿宋_GB2312"/>
          <w:b/>
          <w:kern w:val="2"/>
          <w:sz w:val="32"/>
          <w:szCs w:val="32"/>
          <w:lang w:val="zh-CN" w:eastAsia="zh-CN" w:bidi="ar-SA"/>
        </w:rPr>
        <w:t>（五）编制依据</w:t>
      </w:r>
    </w:p>
    <w:p>
      <w:pPr>
        <w:keepNext w:val="0"/>
        <w:keepLines w:val="0"/>
        <w:pageBreakBefore w:val="0"/>
        <w:numPr>
          <w:ilvl w:val="0"/>
          <w:numId w:val="0"/>
        </w:numPr>
        <w:kinsoku/>
        <w:wordWrap/>
        <w:overflowPunct/>
        <w:topLinePunct w:val="0"/>
        <w:autoSpaceDE/>
        <w:autoSpaceDN/>
        <w:bidi w:val="0"/>
        <w:spacing w:line="560" w:lineRule="exact"/>
        <w:ind w:left="15" w:leftChars="7" w:firstLine="620" w:firstLineChars="194"/>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1.</w:t>
      </w:r>
      <w:r>
        <w:rPr>
          <w:rFonts w:hint="eastAsia" w:ascii="仿宋_GB2312" w:hAnsi="仿宋_GB2312" w:eastAsia="仿宋_GB2312" w:cs="仿宋_GB2312"/>
          <w:kern w:val="2"/>
          <w:sz w:val="32"/>
          <w:szCs w:val="32"/>
          <w:lang w:val="zh-CN" w:eastAsia="zh-CN" w:bidi="ar-SA"/>
        </w:rPr>
        <w:t>国家和地方的经济和社会发展规划；行业部门发展规划等；</w:t>
      </w:r>
    </w:p>
    <w:p>
      <w:pPr>
        <w:keepNext w:val="0"/>
        <w:keepLines w:val="0"/>
        <w:pageBreakBefore w:val="0"/>
        <w:numPr>
          <w:ilvl w:val="0"/>
          <w:numId w:val="0"/>
        </w:numPr>
        <w:kinsoku/>
        <w:wordWrap/>
        <w:overflowPunct/>
        <w:topLinePunct w:val="0"/>
        <w:autoSpaceDE/>
        <w:autoSpaceDN/>
        <w:bidi w:val="0"/>
        <w:spacing w:line="560" w:lineRule="exact"/>
        <w:ind w:left="15" w:leftChars="7" w:firstLine="620" w:firstLineChars="194"/>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2.</w:t>
      </w:r>
      <w:r>
        <w:rPr>
          <w:rFonts w:hint="eastAsia" w:ascii="仿宋_GB2312" w:hAnsi="仿宋_GB2312" w:eastAsia="仿宋_GB2312" w:cs="仿宋_GB2312"/>
          <w:kern w:val="2"/>
          <w:sz w:val="32"/>
          <w:szCs w:val="32"/>
          <w:lang w:val="zh-CN" w:eastAsia="zh-CN" w:bidi="ar-SA"/>
        </w:rPr>
        <w:t>国家有关法律、法规、政策；</w:t>
      </w:r>
    </w:p>
    <w:p>
      <w:pPr>
        <w:keepNext w:val="0"/>
        <w:keepLines w:val="0"/>
        <w:pageBreakBefore w:val="0"/>
        <w:numPr>
          <w:ilvl w:val="0"/>
          <w:numId w:val="0"/>
        </w:numPr>
        <w:kinsoku/>
        <w:wordWrap/>
        <w:overflowPunct/>
        <w:topLinePunct w:val="0"/>
        <w:autoSpaceDE/>
        <w:autoSpaceDN/>
        <w:bidi w:val="0"/>
        <w:spacing w:line="560" w:lineRule="exact"/>
        <w:ind w:left="15" w:leftChars="7" w:firstLine="620" w:firstLineChars="194"/>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kern w:val="2"/>
          <w:sz w:val="32"/>
          <w:szCs w:val="32"/>
          <w:lang w:val="zh-CN" w:eastAsia="zh-CN" w:bidi="ar-SA"/>
        </w:rPr>
        <w:t>有关机构发布的工程建设方面的标准、规范、定额；</w:t>
      </w:r>
    </w:p>
    <w:p>
      <w:pPr>
        <w:keepNext w:val="0"/>
        <w:keepLines w:val="0"/>
        <w:pageBreakBefore w:val="0"/>
        <w:numPr>
          <w:ilvl w:val="0"/>
          <w:numId w:val="0"/>
        </w:numPr>
        <w:kinsoku/>
        <w:wordWrap/>
        <w:overflowPunct/>
        <w:topLinePunct w:val="0"/>
        <w:autoSpaceDE/>
        <w:autoSpaceDN/>
        <w:bidi w:val="0"/>
        <w:spacing w:line="560" w:lineRule="exact"/>
        <w:ind w:left="15" w:leftChars="7" w:firstLine="620" w:firstLineChars="194"/>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4.</w:t>
      </w:r>
      <w:r>
        <w:rPr>
          <w:rFonts w:hint="eastAsia" w:ascii="仿宋_GB2312" w:hAnsi="仿宋_GB2312" w:eastAsia="仿宋_GB2312" w:cs="仿宋_GB2312"/>
          <w:kern w:val="2"/>
          <w:sz w:val="32"/>
          <w:szCs w:val="32"/>
          <w:lang w:val="zh-CN" w:eastAsia="zh-CN" w:bidi="ar-SA"/>
        </w:rPr>
        <w:t>采购人和中标供应商商定的技术咨询合同；</w:t>
      </w:r>
    </w:p>
    <w:p>
      <w:pPr>
        <w:keepNext w:val="0"/>
        <w:keepLines w:val="0"/>
        <w:pageBreakBefore w:val="0"/>
        <w:numPr>
          <w:ilvl w:val="0"/>
          <w:numId w:val="0"/>
        </w:numPr>
        <w:kinsoku/>
        <w:wordWrap/>
        <w:overflowPunct/>
        <w:topLinePunct w:val="0"/>
        <w:autoSpaceDE/>
        <w:autoSpaceDN/>
        <w:bidi w:val="0"/>
        <w:spacing w:line="560" w:lineRule="exact"/>
        <w:ind w:left="15" w:leftChars="7" w:firstLine="620" w:firstLineChars="194"/>
        <w:textAlignment w:val="auto"/>
        <w:rPr>
          <w:rFonts w:hint="eastAsia" w:ascii="仿宋_GB2312" w:hAnsi="仿宋_GB2312" w:eastAsia="仿宋_GB2312" w:cs="仿宋_GB2312"/>
          <w:kern w:val="2"/>
          <w:sz w:val="32"/>
          <w:szCs w:val="32"/>
          <w:lang w:val="zh-CN" w:eastAsia="zh-CN" w:bidi="ar-SA"/>
        </w:rPr>
      </w:pPr>
      <w:r>
        <w:rPr>
          <w:rFonts w:hint="eastAsia" w:ascii="仿宋_GB2312" w:hAnsi="仿宋_GB2312" w:eastAsia="仿宋_GB2312" w:cs="仿宋_GB2312"/>
          <w:kern w:val="2"/>
          <w:sz w:val="32"/>
          <w:szCs w:val="32"/>
          <w:lang w:val="en-US" w:eastAsia="zh-CN" w:bidi="ar-SA"/>
        </w:rPr>
        <w:t>5.</w:t>
      </w:r>
      <w:r>
        <w:rPr>
          <w:rFonts w:hint="eastAsia" w:ascii="仿宋_GB2312" w:hAnsi="仿宋_GB2312" w:eastAsia="仿宋_GB2312" w:cs="仿宋_GB2312"/>
          <w:kern w:val="2"/>
          <w:sz w:val="32"/>
          <w:szCs w:val="32"/>
          <w:lang w:val="zh-CN" w:eastAsia="zh-CN" w:bidi="ar-SA"/>
        </w:rPr>
        <w:t>其他有关依据资料。</w:t>
      </w:r>
    </w:p>
    <w:p>
      <w:pPr>
        <w:keepNext w:val="0"/>
        <w:keepLines w:val="0"/>
        <w:pageBreakBefore w:val="0"/>
        <w:widowControl w:val="0"/>
        <w:kinsoku/>
        <w:wordWrap/>
        <w:overflowPunct/>
        <w:topLinePunct w:val="0"/>
        <w:autoSpaceDE/>
        <w:autoSpaceDN/>
        <w:bidi w:val="0"/>
        <w:spacing w:line="560" w:lineRule="exact"/>
        <w:ind w:left="315" w:leftChars="150" w:firstLine="305" w:firstLineChars="95"/>
        <w:textAlignment w:val="auto"/>
        <w:rPr>
          <w:rFonts w:hint="eastAsia" w:ascii="仿宋_GB2312" w:hAnsi="仿宋_GB2312" w:eastAsia="仿宋_GB2312" w:cs="仿宋_GB2312"/>
          <w:b/>
          <w:sz w:val="32"/>
          <w:szCs w:val="32"/>
          <w:lang w:val="zh-CN"/>
        </w:rPr>
      </w:pPr>
      <w:r>
        <w:rPr>
          <w:rFonts w:hint="eastAsia" w:ascii="仿宋_GB2312" w:hAnsi="仿宋_GB2312" w:eastAsia="仿宋_GB2312" w:cs="仿宋_GB2312"/>
          <w:b/>
          <w:sz w:val="32"/>
          <w:szCs w:val="32"/>
          <w:lang w:val="zh-CN"/>
        </w:rPr>
        <w:t>（六）编制要求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1</w:t>
      </w:r>
      <w:r>
        <w:rPr>
          <w:rFonts w:hint="default" w:ascii="仿宋_GB2312" w:hAnsi="仿宋_GB2312" w:eastAsia="仿宋_GB2312" w:cs="仿宋_GB2312"/>
          <w:b/>
          <w:sz w:val="32"/>
          <w:szCs w:val="32"/>
          <w:lang w:val="en-US"/>
        </w:rPr>
        <w:t>.</w:t>
      </w:r>
      <w:r>
        <w:rPr>
          <w:rFonts w:hint="eastAsia" w:ascii="仿宋_GB2312" w:hAnsi="仿宋_GB2312" w:eastAsia="仿宋_GB2312" w:cs="仿宋_GB2312"/>
          <w:b/>
          <w:sz w:val="32"/>
          <w:szCs w:val="32"/>
          <w:lang w:eastAsia="zh-CN"/>
        </w:rPr>
        <w:t>主体项目</w:t>
      </w:r>
      <w:r>
        <w:rPr>
          <w:rFonts w:hint="eastAsia" w:ascii="仿宋_GB2312" w:hAnsi="仿宋_GB2312" w:eastAsia="仿宋_GB2312" w:cs="仿宋_GB2312"/>
          <w:b/>
          <w:sz w:val="32"/>
          <w:szCs w:val="32"/>
        </w:rPr>
        <w:t>立项方案编制要求</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kern w:val="2"/>
          <w:sz w:val="32"/>
          <w:szCs w:val="32"/>
          <w:lang w:val="en-US" w:eastAsia="zh-CN" w:bidi="ar-SA"/>
        </w:rPr>
        <w:t>对深圳市投资项目在线审批监管平台三期项目进行咨询设计，</w:t>
      </w:r>
      <w:r>
        <w:rPr>
          <w:rFonts w:hint="eastAsia" w:ascii="仿宋_GB2312" w:hAnsi="仿宋_GB2312" w:eastAsia="仿宋_GB2312" w:cs="仿宋_GB2312"/>
          <w:sz w:val="32"/>
          <w:szCs w:val="32"/>
        </w:rPr>
        <w:t>按照《深圳市市级政务信息化项目管理办法》</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kern w:val="2"/>
          <w:sz w:val="32"/>
          <w:szCs w:val="32"/>
          <w:lang w:val="en-US" w:eastAsia="zh-CN" w:bidi="ar-SA"/>
        </w:rPr>
        <w:t>《深圳市政府投资信息化工程建设项目初步设计及预算编制指南》</w:t>
      </w:r>
      <w:r>
        <w:rPr>
          <w:rFonts w:hint="eastAsia" w:ascii="仿宋_GB2312" w:hAnsi="仿宋_GB2312" w:eastAsia="仿宋_GB2312" w:cs="仿宋_GB2312"/>
          <w:sz w:val="32"/>
          <w:szCs w:val="32"/>
        </w:rPr>
        <w:t>以及相关文件要求，编制符合有关行政主管部门报批要求的</w:t>
      </w:r>
      <w:r>
        <w:rPr>
          <w:rFonts w:hint="eastAsia" w:ascii="仿宋_GB2312" w:hAnsi="仿宋_GB2312" w:eastAsia="仿宋_GB2312" w:cs="仿宋_GB2312"/>
          <w:sz w:val="32"/>
          <w:szCs w:val="32"/>
          <w:lang w:val="en-US" w:eastAsia="zh-CN"/>
        </w:rPr>
        <w:t>主体</w:t>
      </w:r>
      <w:r>
        <w:rPr>
          <w:rFonts w:hint="eastAsia" w:ascii="仿宋_GB2312" w:hAnsi="仿宋_GB2312" w:eastAsia="仿宋_GB2312" w:cs="仿宋_GB2312"/>
          <w:sz w:val="32"/>
          <w:szCs w:val="32"/>
        </w:rPr>
        <w:t>项目立案方案，包括为编制而进行的所有调查、勘察、资料收集、专家评审等工作，以及协助</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进行</w:t>
      </w:r>
      <w:r>
        <w:rPr>
          <w:rFonts w:hint="eastAsia" w:ascii="仿宋_GB2312" w:hAnsi="仿宋_GB2312" w:eastAsia="仿宋_GB2312" w:cs="仿宋_GB2312"/>
          <w:sz w:val="32"/>
          <w:szCs w:val="32"/>
          <w:lang w:eastAsia="zh-CN"/>
        </w:rPr>
        <w:t>主体</w:t>
      </w:r>
      <w:r>
        <w:rPr>
          <w:rFonts w:hint="eastAsia" w:ascii="仿宋_GB2312" w:hAnsi="仿宋_GB2312" w:eastAsia="仿宋_GB2312" w:cs="仿宋_GB2312"/>
          <w:sz w:val="32"/>
          <w:szCs w:val="32"/>
        </w:rPr>
        <w:t>项目立项评审和文件的报批工作等。</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2</w:t>
      </w:r>
      <w:r>
        <w:rPr>
          <w:rFonts w:hint="default" w:ascii="仿宋_GB2312" w:hAnsi="仿宋_GB2312" w:eastAsia="仿宋_GB2312" w:cs="仿宋_GB2312"/>
          <w:b/>
          <w:sz w:val="32"/>
          <w:szCs w:val="32"/>
          <w:lang w:val="en-US"/>
        </w:rPr>
        <w:t>.</w:t>
      </w:r>
      <w:r>
        <w:rPr>
          <w:rFonts w:hint="eastAsia" w:ascii="仿宋_GB2312" w:hAnsi="仿宋_GB2312" w:eastAsia="仿宋_GB2312" w:cs="仿宋_GB2312"/>
          <w:b/>
          <w:sz w:val="32"/>
          <w:szCs w:val="32"/>
        </w:rPr>
        <w:t>立项方案重点难点分析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应根据采购范围中的项目涉及部门、建设规模、建设内容、建设难度等特点，从实际出发分析</w:t>
      </w:r>
      <w:r>
        <w:rPr>
          <w:rFonts w:hint="eastAsia" w:ascii="仿宋_GB2312" w:hAnsi="仿宋_GB2312" w:eastAsia="仿宋_GB2312" w:cs="仿宋_GB2312"/>
          <w:sz w:val="32"/>
          <w:szCs w:val="32"/>
          <w:lang w:eastAsia="zh-CN"/>
        </w:rPr>
        <w:t>主体项目</w:t>
      </w:r>
      <w:r>
        <w:rPr>
          <w:rFonts w:hint="eastAsia" w:ascii="仿宋_GB2312" w:hAnsi="仿宋_GB2312" w:eastAsia="仿宋_GB2312" w:cs="仿宋_GB2312"/>
          <w:sz w:val="32"/>
          <w:szCs w:val="32"/>
        </w:rPr>
        <w:t>立项方案编制工作的重点、难点，并根据分析的结果制定相应的工作规划、对策和策略，以便日后有针对性的开展立项方案编制的服务工作。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3.</w:t>
      </w:r>
      <w:r>
        <w:rPr>
          <w:rFonts w:hint="eastAsia" w:ascii="仿宋_GB2312" w:hAnsi="仿宋_GB2312" w:eastAsia="仿宋_GB2312" w:cs="仿宋_GB2312"/>
          <w:b/>
          <w:sz w:val="32"/>
          <w:szCs w:val="32"/>
          <w:lang w:eastAsia="zh-CN"/>
        </w:rPr>
        <w:t>主体项目</w:t>
      </w:r>
      <w:r>
        <w:rPr>
          <w:rFonts w:hint="eastAsia" w:ascii="仿宋_GB2312" w:hAnsi="仿宋_GB2312" w:eastAsia="仿宋_GB2312" w:cs="仿宋_GB2312"/>
          <w:b/>
          <w:sz w:val="32"/>
          <w:szCs w:val="32"/>
          <w:lang w:val="en-US" w:eastAsia="zh-CN"/>
        </w:rPr>
        <w:t>密码应用方案编制要求</w:t>
      </w:r>
    </w:p>
    <w:p>
      <w:pPr>
        <w:spacing w:line="560" w:lineRule="exact"/>
        <w:ind w:firstLine="640" w:firstLineChars="200"/>
        <w:rPr>
          <w:rFonts w:hint="default" w:eastAsia="仿宋_GB2312"/>
          <w:lang w:val="en-US" w:eastAsia="zh-CN"/>
        </w:rPr>
      </w:pPr>
      <w:r>
        <w:rPr>
          <w:rFonts w:hint="eastAsia" w:ascii="仿宋_GB2312" w:hAnsi="仿宋_GB2312" w:eastAsia="仿宋_GB2312" w:cs="仿宋_GB2312"/>
          <w:sz w:val="32"/>
          <w:szCs w:val="32"/>
          <w:lang w:val="en-US" w:eastAsia="zh-CN"/>
        </w:rPr>
        <w:t>根据《关于进一步规范市级政务信息化项目建设密码应用有关工作的通知》（深密局字〔2022〕1号）要求，项目建设单位在申报新建项目审批阶段，需编制《密码应用方案》作为项目审批必要条件。投标供应商对主体项目开展密码应用方案编制，协助采购人并配合第三方方案评估测评机构完成密码应用方案的编制和测评。</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保障措施</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须根据自身特点，在公司资质、案例、质量保障体系、人员结构、设施配置等不同角度说明按时完成上述咨询文档编制工作的保障措施。</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5</w:t>
      </w:r>
      <w:r>
        <w:rPr>
          <w:rFonts w:hint="default" w:ascii="仿宋_GB2312" w:hAnsi="仿宋_GB2312" w:eastAsia="仿宋_GB2312" w:cs="仿宋_GB2312"/>
          <w:b/>
          <w:sz w:val="32"/>
          <w:szCs w:val="32"/>
          <w:lang w:val="en-US" w:eastAsia="zh-CN"/>
        </w:rPr>
        <w:t>.</w:t>
      </w:r>
      <w:r>
        <w:rPr>
          <w:rFonts w:hint="eastAsia" w:ascii="仿宋_GB2312" w:hAnsi="仿宋_GB2312" w:eastAsia="仿宋_GB2312" w:cs="仿宋_GB2312"/>
          <w:b/>
          <w:sz w:val="32"/>
          <w:szCs w:val="32"/>
        </w:rPr>
        <w:t>项目成果提交及验收要求</w:t>
      </w:r>
      <w:r>
        <w:rPr>
          <w:rFonts w:hint="eastAsia" w:ascii="黑体" w:hAnsi="黑体" w:eastAsia="黑体"/>
          <w:sz w:val="32"/>
        </w:rPr>
        <w:t>★</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投标供应商须出具</w:t>
      </w:r>
      <w:r>
        <w:rPr>
          <w:rFonts w:hint="eastAsia" w:ascii="仿宋_GB2312" w:hAnsi="仿宋_GB2312" w:eastAsia="仿宋_GB2312" w:cs="仿宋_GB2312"/>
          <w:sz w:val="32"/>
          <w:szCs w:val="32"/>
        </w:rPr>
        <w:t>《深圳市投资项目在线审批监管平台三期项目立项方案》</w:t>
      </w:r>
      <w:r>
        <w:rPr>
          <w:rFonts w:hint="eastAsia" w:ascii="仿宋_GB2312" w:hAnsi="仿宋_GB2312" w:eastAsia="仿宋_GB2312" w:cs="仿宋_GB2312"/>
          <w:sz w:val="32"/>
          <w:szCs w:val="32"/>
          <w:lang w:eastAsia="zh-CN"/>
        </w:rPr>
        <w:t>纸质盖章版三</w:t>
      </w:r>
      <w:r>
        <w:rPr>
          <w:rFonts w:hint="eastAsia" w:ascii="仿宋_GB2312" w:hAnsi="仿宋_GB2312" w:eastAsia="仿宋_GB2312" w:cs="仿宋_GB2312"/>
          <w:sz w:val="32"/>
          <w:szCs w:val="32"/>
        </w:rPr>
        <w:t>份</w:t>
      </w:r>
      <w:r>
        <w:rPr>
          <w:rFonts w:hint="eastAsia" w:ascii="仿宋_GB2312" w:hAnsi="仿宋_GB2312" w:eastAsia="仿宋_GB2312" w:cs="仿宋_GB2312"/>
          <w:sz w:val="32"/>
          <w:szCs w:val="32"/>
          <w:lang w:eastAsia="zh-CN"/>
        </w:rPr>
        <w:t>，电子版一份</w:t>
      </w:r>
      <w:r>
        <w:rPr>
          <w:rFonts w:hint="eastAsia" w:ascii="仿宋_GB2312" w:hAnsi="仿宋_GB2312" w:eastAsia="仿宋_GB2312" w:cs="仿宋_GB2312"/>
          <w:sz w:val="32"/>
          <w:szCs w:val="32"/>
        </w:rPr>
        <w:t>。（具体项目名称以市政务服务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数据管理局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市财政局最终批复内容为准）。</w:t>
      </w:r>
    </w:p>
    <w:tbl>
      <w:tblPr>
        <w:tblStyle w:val="1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36"/>
        <w:gridCol w:w="1320"/>
        <w:gridCol w:w="1285"/>
        <w:gridCol w:w="1760"/>
        <w:gridCol w:w="1760"/>
        <w:gridCol w:w="1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b/>
                <w:bCs/>
                <w:sz w:val="24"/>
                <w:szCs w:val="24"/>
                <w:vertAlign w:val="baseline"/>
                <w:lang w:eastAsia="zh-CN"/>
              </w:rPr>
            </w:pPr>
            <w:r>
              <w:rPr>
                <w:rFonts w:hint="eastAsia"/>
                <w:b/>
                <w:bCs/>
                <w:sz w:val="24"/>
                <w:szCs w:val="24"/>
                <w:vertAlign w:val="baseline"/>
                <w:lang w:eastAsia="zh-CN"/>
              </w:rPr>
              <w:t>序号</w:t>
            </w:r>
          </w:p>
        </w:tc>
        <w:tc>
          <w:tcPr>
            <w:tcW w:w="132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b/>
                <w:bCs/>
                <w:sz w:val="24"/>
                <w:szCs w:val="24"/>
                <w:vertAlign w:val="baseline"/>
                <w:lang w:eastAsia="zh-CN"/>
              </w:rPr>
            </w:pPr>
            <w:r>
              <w:rPr>
                <w:rFonts w:hint="eastAsia"/>
                <w:b/>
                <w:bCs/>
                <w:sz w:val="24"/>
                <w:szCs w:val="24"/>
                <w:vertAlign w:val="baseline"/>
                <w:lang w:eastAsia="zh-CN"/>
              </w:rPr>
              <w:t>成果</w:t>
            </w:r>
          </w:p>
        </w:tc>
        <w:tc>
          <w:tcPr>
            <w:tcW w:w="1285"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eastAsia="仿宋"/>
                <w:b/>
                <w:bCs/>
                <w:sz w:val="24"/>
                <w:szCs w:val="24"/>
                <w:vertAlign w:val="baseline"/>
                <w:lang w:eastAsia="zh-CN"/>
              </w:rPr>
            </w:pPr>
            <w:r>
              <w:rPr>
                <w:rFonts w:hint="eastAsia"/>
                <w:b/>
                <w:bCs/>
                <w:sz w:val="24"/>
                <w:szCs w:val="24"/>
                <w:vertAlign w:val="baseline"/>
                <w:lang w:eastAsia="zh-CN"/>
              </w:rPr>
              <w:t>份数</w:t>
            </w:r>
          </w:p>
        </w:tc>
        <w:tc>
          <w:tcPr>
            <w:tcW w:w="176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eastAsia="zh-CN"/>
              </w:rPr>
            </w:pPr>
            <w:r>
              <w:rPr>
                <w:rFonts w:hint="eastAsia"/>
                <w:b/>
                <w:bCs/>
                <w:sz w:val="24"/>
                <w:szCs w:val="24"/>
                <w:vertAlign w:val="baseline"/>
                <w:lang w:eastAsia="zh-CN"/>
              </w:rPr>
              <w:t>完成时限要求</w:t>
            </w:r>
          </w:p>
        </w:tc>
        <w:tc>
          <w:tcPr>
            <w:tcW w:w="1760"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eastAsia="zh-CN"/>
              </w:rPr>
            </w:pPr>
            <w:r>
              <w:rPr>
                <w:rFonts w:hint="eastAsia"/>
                <w:b/>
                <w:bCs/>
                <w:sz w:val="24"/>
                <w:szCs w:val="24"/>
                <w:vertAlign w:val="baseline"/>
                <w:lang w:eastAsia="zh-CN"/>
              </w:rPr>
              <w:t>验收标准</w:t>
            </w:r>
          </w:p>
        </w:tc>
        <w:tc>
          <w:tcPr>
            <w:tcW w:w="1761"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b/>
                <w:bCs/>
                <w:sz w:val="24"/>
                <w:szCs w:val="24"/>
                <w:vertAlign w:val="baseline"/>
                <w:lang w:eastAsia="zh-CN"/>
              </w:rPr>
            </w:pPr>
            <w:r>
              <w:rPr>
                <w:rFonts w:hint="eastAsia"/>
                <w:b/>
                <w:bCs/>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6" w:type="dxa"/>
            <w:vAlign w:val="center"/>
          </w:tcPr>
          <w:p>
            <w:pPr>
              <w:pStyle w:val="8"/>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val="en-US" w:eastAsia="zh-CN"/>
              </w:rPr>
              <w:t>1</w:t>
            </w:r>
          </w:p>
        </w:tc>
        <w:tc>
          <w:tcPr>
            <w:tcW w:w="1320"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深圳市投资项目在线审批监管平台三期项目立项方案</w:t>
            </w:r>
          </w:p>
        </w:tc>
        <w:tc>
          <w:tcPr>
            <w:tcW w:w="1285"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纸质</w:t>
            </w:r>
            <w:r>
              <w:rPr>
                <w:rFonts w:hint="eastAsia" w:ascii="仿宋_GB2312" w:hAnsi="仿宋_GB2312" w:eastAsia="仿宋_GB2312" w:cs="仿宋_GB2312"/>
                <w:sz w:val="32"/>
                <w:szCs w:val="32"/>
                <w:vertAlign w:val="baseline"/>
                <w:lang w:val="en-US" w:eastAsia="zh-CN"/>
              </w:rPr>
              <w:t>3份；电子版1份</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val="en-US" w:eastAsia="zh-CN"/>
              </w:rPr>
            </w:pPr>
            <w:r>
              <w:rPr>
                <w:rFonts w:hint="eastAsia" w:ascii="仿宋_GB2312" w:hAnsi="仿宋_GB2312" w:eastAsia="仿宋_GB2312" w:cs="仿宋_GB2312"/>
                <w:sz w:val="32"/>
                <w:szCs w:val="32"/>
                <w:vertAlign w:val="baseline"/>
                <w:lang w:eastAsia="zh-CN"/>
              </w:rPr>
              <w:t>合同签订后</w:t>
            </w:r>
            <w:r>
              <w:rPr>
                <w:rFonts w:hint="eastAsia" w:ascii="仿宋_GB2312" w:hAnsi="仿宋_GB2312" w:eastAsia="仿宋_GB2312" w:cs="仿宋_GB2312"/>
                <w:sz w:val="32"/>
                <w:szCs w:val="32"/>
                <w:vertAlign w:val="baseline"/>
                <w:lang w:val="en-US" w:eastAsia="zh-CN"/>
              </w:rPr>
              <w:t>60个日历日</w:t>
            </w:r>
          </w:p>
        </w:tc>
        <w:tc>
          <w:tcPr>
            <w:tcW w:w="1760"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vertAlign w:val="baseline"/>
                <w:lang w:eastAsia="zh-CN"/>
              </w:rPr>
              <w:t>通过市政务服务和数据管理局及市财政局最终批复</w:t>
            </w:r>
          </w:p>
        </w:tc>
        <w:tc>
          <w:tcPr>
            <w:tcW w:w="1761" w:type="dxa"/>
          </w:tcPr>
          <w:p>
            <w:pPr>
              <w:pStyle w:val="8"/>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仿宋_GB2312" w:hAnsi="仿宋_GB2312" w:eastAsia="仿宋_GB2312" w:cs="仿宋_GB2312"/>
                <w:sz w:val="32"/>
                <w:szCs w:val="32"/>
                <w:vertAlign w:val="baseline"/>
                <w:lang w:eastAsia="zh-CN"/>
              </w:rPr>
            </w:pPr>
            <w:r>
              <w:rPr>
                <w:rFonts w:hint="eastAsia" w:ascii="仿宋_GB2312" w:hAnsi="仿宋_GB2312" w:eastAsia="仿宋_GB2312" w:cs="仿宋_GB2312"/>
                <w:sz w:val="32"/>
                <w:szCs w:val="32"/>
              </w:rPr>
              <w:t>具体项目名称以市政务服务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数据管理局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市财政局最终批复内容为准</w:t>
            </w:r>
          </w:p>
        </w:tc>
      </w:tr>
    </w:tbl>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（七）</w:t>
      </w:r>
      <w:r>
        <w:rPr>
          <w:rFonts w:hint="eastAsia" w:ascii="仿宋_GB2312" w:hAnsi="仿宋_GB2312" w:eastAsia="仿宋_GB2312" w:cs="仿宋_GB2312"/>
          <w:b/>
          <w:sz w:val="32"/>
          <w:szCs w:val="32"/>
        </w:rPr>
        <w:t>管理要求</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1.</w:t>
      </w:r>
      <w:r>
        <w:rPr>
          <w:rFonts w:hint="eastAsia" w:ascii="仿宋_GB2312" w:hAnsi="仿宋_GB2312" w:eastAsia="仿宋_GB2312" w:cs="仿宋_GB2312"/>
          <w:b/>
          <w:sz w:val="32"/>
          <w:szCs w:val="32"/>
        </w:rPr>
        <w:t>工作制度要求</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应制定本项目</w:t>
      </w:r>
      <w:r>
        <w:rPr>
          <w:rFonts w:hint="eastAsia" w:ascii="仿宋_GB2312" w:hAnsi="仿宋_GB2312" w:eastAsia="仿宋_GB2312" w:cs="仿宋_GB2312"/>
          <w:bCs w:val="0"/>
          <w:kern w:val="2"/>
          <w:sz w:val="32"/>
          <w:szCs w:val="32"/>
          <w:lang w:eastAsia="zh-CN"/>
        </w:rPr>
        <w:t>设计咨询服务</w:t>
      </w:r>
      <w:r>
        <w:rPr>
          <w:rFonts w:hint="eastAsia" w:ascii="仿宋_GB2312" w:hAnsi="仿宋_GB2312" w:eastAsia="仿宋_GB2312" w:cs="仿宋_GB2312"/>
          <w:bCs w:val="0"/>
          <w:kern w:val="2"/>
          <w:sz w:val="32"/>
          <w:szCs w:val="32"/>
        </w:rPr>
        <w:t>工作制度，通过制度规范项目咨询文件编制工作相关流程，达到有效协调各方关系的目的。</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2.</w:t>
      </w:r>
      <w:r>
        <w:rPr>
          <w:rFonts w:hint="eastAsia" w:ascii="仿宋_GB2312" w:hAnsi="仿宋_GB2312" w:eastAsia="仿宋_GB2312" w:cs="仿宋_GB2312"/>
          <w:b/>
          <w:sz w:val="32"/>
          <w:szCs w:val="32"/>
        </w:rPr>
        <w:t>文档管理要求</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应制定有关本项目咨询工作的管理流程，规范咨询工作相关文件，并负责整理记录归档</w:t>
      </w:r>
      <w:r>
        <w:rPr>
          <w:rFonts w:hint="eastAsia" w:ascii="仿宋_GB2312" w:hAnsi="仿宋_GB2312"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与</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来往的文档、合同、协议及会议记录等各种资料。</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3.项目人员安排要求</w:t>
      </w:r>
    </w:p>
    <w:p>
      <w:pPr>
        <w:ind w:firstLine="640" w:firstLineChars="200"/>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val="en-US" w:eastAsia="zh-CN"/>
        </w:rPr>
        <w:t>中标供应商</w:t>
      </w:r>
      <w:r>
        <w:rPr>
          <w:rFonts w:hint="eastAsia" w:ascii="仿宋_GB2312" w:hAnsi="仿宋_GB2312" w:eastAsia="仿宋_GB2312" w:cs="仿宋_GB2312"/>
          <w:bCs w:val="0"/>
          <w:kern w:val="2"/>
          <w:sz w:val="32"/>
          <w:szCs w:val="32"/>
        </w:rPr>
        <w:t>在合同签订后5个日历日内委派项目服务团队（共</w:t>
      </w:r>
      <w:r>
        <w:rPr>
          <w:rFonts w:hint="eastAsia" w:ascii="仿宋_GB2312" w:hAnsi="仿宋_GB2312" w:eastAsia="仿宋_GB2312" w:cs="仿宋_GB2312"/>
          <w:bCs w:val="0"/>
          <w:kern w:val="2"/>
          <w:sz w:val="32"/>
          <w:szCs w:val="32"/>
          <w:lang w:val="en-US" w:eastAsia="zh-CN"/>
        </w:rPr>
        <w:t>5</w:t>
      </w:r>
      <w:r>
        <w:rPr>
          <w:rFonts w:hint="eastAsia" w:ascii="仿宋_GB2312" w:hAnsi="仿宋_GB2312" w:eastAsia="仿宋_GB2312" w:cs="仿宋_GB2312"/>
          <w:bCs w:val="0"/>
          <w:kern w:val="2"/>
          <w:sz w:val="32"/>
          <w:szCs w:val="32"/>
        </w:rPr>
        <w:t>名），包括项目总负责人（1名）和咨询工程师（</w:t>
      </w:r>
      <w:r>
        <w:rPr>
          <w:rFonts w:hint="eastAsia" w:ascii="仿宋_GB2312" w:hAnsi="仿宋_GB2312" w:eastAsia="仿宋_GB2312" w:cs="仿宋_GB2312"/>
          <w:bCs w:val="0"/>
          <w:kern w:val="2"/>
          <w:sz w:val="32"/>
          <w:szCs w:val="32"/>
          <w:lang w:val="en-US" w:eastAsia="zh-CN"/>
        </w:rPr>
        <w:t>4</w:t>
      </w:r>
      <w:r>
        <w:rPr>
          <w:rFonts w:hint="eastAsia" w:ascii="仿宋_GB2312" w:hAnsi="仿宋_GB2312" w:eastAsia="仿宋_GB2312" w:cs="仿宋_GB2312"/>
          <w:bCs w:val="0"/>
          <w:kern w:val="2"/>
          <w:sz w:val="32"/>
          <w:szCs w:val="32"/>
        </w:rPr>
        <w:t>名）开展</w:t>
      </w:r>
      <w:r>
        <w:rPr>
          <w:rFonts w:hint="eastAsia" w:ascii="仿宋_GB2312" w:hAnsi="仿宋_GB2312" w:eastAsia="仿宋_GB2312" w:cs="仿宋_GB2312"/>
          <w:bCs w:val="0"/>
          <w:kern w:val="2"/>
          <w:sz w:val="32"/>
          <w:szCs w:val="32"/>
          <w:lang w:eastAsia="zh-CN"/>
        </w:rPr>
        <w:t>主体项目</w:t>
      </w:r>
      <w:r>
        <w:rPr>
          <w:rFonts w:hint="eastAsia" w:ascii="仿宋_GB2312" w:hAnsi="仿宋_GB2312" w:eastAsia="仿宋_GB2312" w:cs="仿宋_GB2312"/>
          <w:bCs w:val="0"/>
          <w:kern w:val="2"/>
          <w:sz w:val="32"/>
          <w:szCs w:val="32"/>
        </w:rPr>
        <w:t>立项方案等咨询文档编制工作</w:t>
      </w:r>
      <w:r>
        <w:rPr>
          <w:rFonts w:hint="eastAsia" w:ascii="仿宋_GB2312" w:hAnsi="仿宋_GB2312" w:eastAsia="仿宋_GB2312" w:cs="仿宋_GB2312"/>
          <w:sz w:val="32"/>
          <w:szCs w:val="32"/>
          <w:lang w:val="en"/>
        </w:rPr>
        <w:t>，以上人员至少有一人提供驻场服务（具体根据</w:t>
      </w:r>
      <w:r>
        <w:rPr>
          <w:rFonts w:hint="eastAsia" w:ascii="仿宋_GB2312" w:hAnsi="仿宋_GB2312" w:eastAsia="仿宋_GB2312" w:cs="仿宋_GB2312"/>
          <w:sz w:val="32"/>
          <w:szCs w:val="32"/>
          <w:lang w:val="en" w:eastAsia="zh-CN"/>
        </w:rPr>
        <w:t>采购人</w:t>
      </w:r>
      <w:r>
        <w:rPr>
          <w:rFonts w:hint="eastAsia" w:ascii="仿宋_GB2312" w:hAnsi="仿宋_GB2312" w:eastAsia="仿宋_GB2312" w:cs="仿宋_GB2312"/>
          <w:sz w:val="32"/>
          <w:szCs w:val="32"/>
          <w:lang w:val="en"/>
        </w:rPr>
        <w:t>要求）</w:t>
      </w:r>
      <w:r>
        <w:rPr>
          <w:rFonts w:hint="eastAsia" w:ascii="仿宋_GB2312" w:hAnsi="仿宋_GB2312" w:eastAsia="仿宋_GB2312" w:cs="仿宋_GB2312"/>
          <w:sz w:val="32"/>
          <w:szCs w:val="32"/>
        </w:rPr>
        <w:t>。</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未经</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同意，</w:t>
      </w:r>
      <w:r>
        <w:rPr>
          <w:rFonts w:hint="eastAsia" w:ascii="仿宋_GB2312" w:hAnsi="仿宋_GB2312"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不得随意更换项目经理和咨询工程师，如需更换，应书面向</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提出申请，并获得</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同意。</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项目服务团队均要求具有计算机相关专业本科或以上学历，具备三年及以上政府信息化项目咨询方案编制工作经验。</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val="en-US" w:eastAsia="zh-CN"/>
        </w:rPr>
        <w:t>4.</w:t>
      </w:r>
      <w:r>
        <w:rPr>
          <w:rFonts w:hint="eastAsia" w:ascii="仿宋_GB2312" w:hAnsi="仿宋_GB2312" w:eastAsia="仿宋_GB2312" w:cs="仿宋_GB2312"/>
          <w:b/>
          <w:sz w:val="32"/>
          <w:szCs w:val="32"/>
        </w:rPr>
        <w:t>工作内容要求</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委派的项目服务团队（共</w:t>
      </w:r>
      <w:r>
        <w:rPr>
          <w:rFonts w:hint="eastAsia" w:eastAsia="仿宋_GB2312" w:cs="仿宋_GB2312"/>
          <w:bCs w:val="0"/>
          <w:kern w:val="2"/>
          <w:sz w:val="32"/>
          <w:szCs w:val="32"/>
          <w:lang w:val="en-US" w:eastAsia="zh-CN"/>
        </w:rPr>
        <w:t>5</w:t>
      </w:r>
      <w:r>
        <w:rPr>
          <w:rFonts w:hint="eastAsia" w:ascii="仿宋_GB2312" w:hAnsi="仿宋_GB2312" w:eastAsia="仿宋_GB2312" w:cs="仿宋_GB2312"/>
          <w:bCs w:val="0"/>
          <w:kern w:val="2"/>
          <w:sz w:val="32"/>
          <w:szCs w:val="32"/>
        </w:rPr>
        <w:t>名）负责编制</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要求的</w:t>
      </w:r>
      <w:r>
        <w:rPr>
          <w:rFonts w:hint="eastAsia" w:ascii="仿宋_GB2312" w:hAnsi="仿宋_GB2312" w:eastAsia="仿宋_GB2312" w:cs="仿宋_GB2312"/>
          <w:bCs w:val="0"/>
          <w:kern w:val="2"/>
          <w:sz w:val="32"/>
          <w:szCs w:val="32"/>
          <w:lang w:eastAsia="zh-CN"/>
        </w:rPr>
        <w:t>主体项目</w:t>
      </w:r>
      <w:r>
        <w:rPr>
          <w:rFonts w:hint="eastAsia" w:ascii="仿宋_GB2312" w:hAnsi="仿宋_GB2312" w:eastAsia="仿宋_GB2312" w:cs="仿宋_GB2312"/>
          <w:bCs w:val="0"/>
          <w:kern w:val="2"/>
          <w:sz w:val="32"/>
          <w:szCs w:val="32"/>
        </w:rPr>
        <w:t>立项方案等向市政务服务</w:t>
      </w:r>
      <w:r>
        <w:rPr>
          <w:rFonts w:hint="eastAsia" w:eastAsia="仿宋_GB2312" w:cs="仿宋_GB2312"/>
          <w:bCs w:val="0"/>
          <w:kern w:val="2"/>
          <w:sz w:val="32"/>
          <w:szCs w:val="32"/>
          <w:lang w:eastAsia="zh-CN"/>
        </w:rPr>
        <w:t>和</w:t>
      </w:r>
      <w:r>
        <w:rPr>
          <w:rFonts w:hint="eastAsia" w:ascii="仿宋_GB2312" w:hAnsi="仿宋_GB2312" w:eastAsia="仿宋_GB2312" w:cs="仿宋_GB2312"/>
          <w:bCs w:val="0"/>
          <w:kern w:val="2"/>
          <w:sz w:val="32"/>
          <w:szCs w:val="32"/>
        </w:rPr>
        <w:t>数据管理局</w:t>
      </w:r>
      <w:r>
        <w:rPr>
          <w:rFonts w:hint="eastAsia" w:eastAsia="仿宋_GB2312" w:cs="仿宋_GB2312"/>
          <w:bCs w:val="0"/>
          <w:kern w:val="2"/>
          <w:sz w:val="32"/>
          <w:szCs w:val="32"/>
          <w:lang w:eastAsia="zh-CN"/>
        </w:rPr>
        <w:t>及</w:t>
      </w:r>
      <w:r>
        <w:rPr>
          <w:rFonts w:hint="eastAsia" w:ascii="仿宋_GB2312" w:hAnsi="仿宋_GB2312" w:eastAsia="仿宋_GB2312" w:cs="仿宋_GB2312"/>
          <w:bCs w:val="0"/>
          <w:kern w:val="2"/>
          <w:sz w:val="32"/>
          <w:szCs w:val="32"/>
        </w:rPr>
        <w:t>市财政局立项批复相关的所有文件，直到</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完成</w:t>
      </w:r>
      <w:r>
        <w:rPr>
          <w:rFonts w:hint="eastAsia" w:ascii="仿宋_GB2312" w:hAnsi="仿宋_GB2312" w:eastAsia="仿宋_GB2312" w:cs="仿宋_GB2312"/>
          <w:bCs w:val="0"/>
          <w:kern w:val="2"/>
          <w:sz w:val="32"/>
          <w:szCs w:val="32"/>
          <w:lang w:eastAsia="zh-CN"/>
        </w:rPr>
        <w:t>主体</w:t>
      </w:r>
      <w:r>
        <w:rPr>
          <w:rFonts w:hint="eastAsia" w:ascii="仿宋_GB2312" w:hAnsi="仿宋_GB2312" w:eastAsia="仿宋_GB2312" w:cs="仿宋_GB2312"/>
          <w:bCs w:val="0"/>
          <w:kern w:val="2"/>
          <w:sz w:val="32"/>
          <w:szCs w:val="32"/>
        </w:rPr>
        <w:t>项目立项方案批复为止。</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5.</w:t>
      </w:r>
      <w:r>
        <w:rPr>
          <w:rFonts w:hint="eastAsia" w:ascii="仿宋_GB2312" w:hAnsi="仿宋_GB2312" w:eastAsia="仿宋_GB2312" w:cs="仿宋_GB2312"/>
          <w:b/>
          <w:sz w:val="32"/>
          <w:szCs w:val="32"/>
        </w:rPr>
        <w:t>工作终止要求</w:t>
      </w:r>
    </w:p>
    <w:p>
      <w:pPr>
        <w:pStyle w:val="27"/>
        <w:keepNext w:val="0"/>
        <w:keepLines w:val="0"/>
        <w:pageBreakBefore w:val="0"/>
        <w:widowControl w:val="0"/>
        <w:kinsoku/>
        <w:wordWrap/>
        <w:overflowPunct/>
        <w:topLinePunct w:val="0"/>
        <w:autoSpaceDE/>
        <w:autoSpaceDN/>
        <w:bidi w:val="0"/>
        <w:spacing w:line="560" w:lineRule="exact"/>
        <w:ind w:firstLine="420"/>
        <w:textAlignment w:val="auto"/>
        <w:rPr>
          <w:rFonts w:hint="eastAsia" w:ascii="仿宋_GB2312" w:hAnsi="仿宋_GB2312" w:eastAsia="仿宋_GB2312" w:cs="仿宋_GB2312"/>
          <w:bCs w:val="0"/>
          <w:kern w:val="2"/>
          <w:sz w:val="32"/>
          <w:szCs w:val="32"/>
        </w:rPr>
      </w:pPr>
      <w:r>
        <w:rPr>
          <w:rFonts w:hint="eastAsia" w:ascii="仿宋_GB2312" w:hAnsi="仿宋_GB2312" w:eastAsia="仿宋_GB2312" w:cs="仿宋_GB2312"/>
          <w:bCs w:val="0"/>
          <w:kern w:val="2"/>
          <w:sz w:val="32"/>
          <w:szCs w:val="32"/>
        </w:rPr>
        <w:t>在咨询设计服务过程中，发生下列几种情况之一的，</w:t>
      </w:r>
      <w:r>
        <w:rPr>
          <w:rFonts w:hint="eastAsia" w:ascii="仿宋_GB2312" w:hAnsi="仿宋_GB2312" w:eastAsia="仿宋_GB2312" w:cs="仿宋_GB2312"/>
          <w:bCs w:val="0"/>
          <w:kern w:val="2"/>
          <w:sz w:val="32"/>
          <w:szCs w:val="32"/>
          <w:lang w:val="en-US"/>
        </w:rPr>
        <w:t>采购人</w:t>
      </w:r>
      <w:r>
        <w:rPr>
          <w:rFonts w:hint="eastAsia" w:ascii="仿宋_GB2312" w:hAnsi="仿宋_GB2312" w:eastAsia="仿宋_GB2312" w:cs="仿宋_GB2312"/>
          <w:bCs w:val="0"/>
          <w:kern w:val="2"/>
          <w:sz w:val="32"/>
          <w:szCs w:val="32"/>
        </w:rPr>
        <w:t>有权向有关部门申请，终止与</w:t>
      </w:r>
      <w:r>
        <w:rPr>
          <w:rFonts w:hint="eastAsia" w:ascii="仿宋_GB2312" w:hAnsi="仿宋_GB2312" w:eastAsia="仿宋_GB2312" w:cs="仿宋_GB2312"/>
          <w:bCs w:val="0"/>
          <w:kern w:val="2"/>
          <w:sz w:val="32"/>
          <w:szCs w:val="32"/>
          <w:lang w:eastAsia="zh-CN"/>
        </w:rPr>
        <w:t>投标供应商</w:t>
      </w:r>
      <w:r>
        <w:rPr>
          <w:rFonts w:hint="eastAsia" w:ascii="仿宋_GB2312" w:hAnsi="仿宋_GB2312" w:eastAsia="仿宋_GB2312" w:cs="仿宋_GB2312"/>
          <w:bCs w:val="0"/>
          <w:kern w:val="2"/>
          <w:sz w:val="32"/>
          <w:szCs w:val="32"/>
        </w:rPr>
        <w:t>所签订的</w:t>
      </w:r>
      <w:r>
        <w:rPr>
          <w:rFonts w:hint="eastAsia" w:ascii="仿宋_GB2312" w:hAnsi="仿宋_GB2312" w:eastAsia="仿宋_GB2312" w:cs="仿宋_GB2312"/>
          <w:bCs w:val="0"/>
          <w:kern w:val="2"/>
          <w:sz w:val="32"/>
          <w:szCs w:val="32"/>
          <w:lang w:eastAsia="zh-CN"/>
        </w:rPr>
        <w:t>设计咨询服务</w:t>
      </w:r>
      <w:r>
        <w:rPr>
          <w:rFonts w:hint="eastAsia" w:ascii="仿宋_GB2312" w:hAnsi="仿宋_GB2312" w:eastAsia="仿宋_GB2312" w:cs="仿宋_GB2312"/>
          <w:bCs w:val="0"/>
          <w:kern w:val="2"/>
          <w:sz w:val="32"/>
          <w:szCs w:val="32"/>
        </w:rPr>
        <w:t>合同：</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参与本项目的项目经理和咨询工程师频繁更换且未经</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同意的；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所派出的项目经理和咨询工程师的服务质量较差；</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将项目转包给其他单位的；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泄露本项目的工作秘密的；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未能依法履行设计职责的；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本项目未通过深圳市政务服务</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数据管理局</w:t>
      </w:r>
      <w:r>
        <w:rPr>
          <w:rFonts w:hint="eastAsia" w:ascii="仿宋_GB2312" w:hAnsi="仿宋_GB2312" w:eastAsia="仿宋_GB2312" w:cs="仿宋_GB2312"/>
          <w:sz w:val="32"/>
          <w:szCs w:val="32"/>
          <w:lang w:eastAsia="zh-CN"/>
        </w:rPr>
        <w:t>及</w:t>
      </w:r>
      <w:r>
        <w:rPr>
          <w:rFonts w:hint="eastAsia" w:ascii="仿宋_GB2312" w:hAnsi="仿宋_GB2312" w:eastAsia="仿宋_GB2312" w:cs="仿宋_GB2312"/>
          <w:sz w:val="32"/>
          <w:szCs w:val="32"/>
        </w:rPr>
        <w:t>市财政局审批。</w:t>
      </w:r>
    </w:p>
    <w:p>
      <w:pPr>
        <w:keepNext w:val="0"/>
        <w:keepLines w:val="0"/>
        <w:pageBreakBefore w:val="0"/>
        <w:widowControl w:val="0"/>
        <w:kinsoku/>
        <w:wordWrap/>
        <w:overflowPunct/>
        <w:topLinePunct w:val="0"/>
        <w:autoSpaceDE/>
        <w:autoSpaceDN/>
        <w:bidi w:val="0"/>
        <w:spacing w:line="560" w:lineRule="exact"/>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lang w:val="en-US" w:eastAsia="zh-CN"/>
        </w:rPr>
        <w:t>6.</w:t>
      </w:r>
      <w:r>
        <w:rPr>
          <w:rFonts w:hint="eastAsia" w:ascii="仿宋_GB2312" w:hAnsi="仿宋_GB2312" w:eastAsia="仿宋_GB2312" w:cs="仿宋_GB2312"/>
          <w:b/>
          <w:sz w:val="32"/>
          <w:szCs w:val="32"/>
        </w:rPr>
        <w:t>服务要求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委派的项目经理和咨询工程师必须接受</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工作场所进出及办公相关管理要求；</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委派的项目经理和咨询工程师必须与</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签订工作场所安全责任书；</w:t>
      </w:r>
    </w:p>
    <w:p>
      <w:pPr>
        <w:keepNext w:val="0"/>
        <w:keepLines w:val="0"/>
        <w:pageBreakBefore w:val="0"/>
        <w:widowControl w:val="0"/>
        <w:numPr>
          <w:ilvl w:val="0"/>
          <w:numId w:val="0"/>
        </w:numPr>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rPr>
        <w:t>委派的项目经理和咨询工程师必须按月接受</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的用人评价考核，对于不合格的人员，</w:t>
      </w:r>
      <w:r>
        <w:rPr>
          <w:rFonts w:hint="eastAsia" w:ascii="仿宋_GB2312" w:hAnsi="仿宋_GB2312" w:eastAsia="仿宋_GB2312" w:cs="仿宋_GB2312"/>
          <w:sz w:val="32"/>
          <w:szCs w:val="32"/>
          <w:lang w:val="en-US"/>
        </w:rPr>
        <w:t>采购人</w:t>
      </w:r>
      <w:r>
        <w:rPr>
          <w:rFonts w:hint="eastAsia" w:ascii="仿宋_GB2312" w:hAnsi="仿宋_GB2312" w:eastAsia="仿宋_GB2312" w:cs="仿宋_GB2312"/>
          <w:sz w:val="32"/>
          <w:szCs w:val="32"/>
        </w:rPr>
        <w:t>有权要求更换。</w:t>
      </w:r>
    </w:p>
    <w:p>
      <w:pPr>
        <w:spacing w:line="580" w:lineRule="exact"/>
        <w:jc w:val="left"/>
        <w:rPr>
          <w:rFonts w:ascii="黑体" w:hAnsi="黑体" w:eastAsia="黑体"/>
          <w:sz w:val="32"/>
        </w:rPr>
      </w:pPr>
      <w:r>
        <w:rPr>
          <w:rFonts w:hint="eastAsia" w:ascii="黑体" w:hAnsi="黑体" w:eastAsia="黑体"/>
          <w:sz w:val="32"/>
        </w:rPr>
        <w:t>　　三、供应商资格要求★</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1.具有独立法人资格或是具有独立承担民事责任能力的其它组织（提供营业执照或事业单位法人证书等证明资料扫描件，原件备查）。</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2.本项目不接受联合体投标。不得转包、分包。</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3.参与本项目投标前3年内，在经营活动中没有重大违法记录（由</w:t>
      </w:r>
      <w:r>
        <w:rPr>
          <w:rFonts w:hint="eastAsia" w:ascii="仿宋_GB2312" w:hAnsi="仿宋_GB2312" w:eastAsia="仿宋_GB2312"/>
          <w:sz w:val="32"/>
          <w:highlight w:val="none"/>
          <w:lang w:eastAsia="zh-CN"/>
        </w:rPr>
        <w:t>投标</w:t>
      </w:r>
      <w:r>
        <w:rPr>
          <w:rFonts w:hint="eastAsia" w:ascii="仿宋_GB2312" w:hAnsi="仿宋_GB2312" w:eastAsia="仿宋_GB2312" w:cs="仿宋_GB2312"/>
          <w:sz w:val="32"/>
          <w:szCs w:val="32"/>
        </w:rPr>
        <w:t>供应商在《政府采购投标及履约承诺函》中作出声明）。</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4.参与本项目政府采购活动时不存在被有关部门禁止参与政府采购活动且在有效期内的情况（由</w:t>
      </w:r>
      <w:r>
        <w:rPr>
          <w:rFonts w:hint="eastAsia" w:ascii="仿宋_GB2312" w:hAnsi="仿宋_GB2312" w:eastAsia="仿宋_GB2312"/>
          <w:sz w:val="32"/>
          <w:highlight w:val="none"/>
          <w:lang w:eastAsia="zh-CN"/>
        </w:rPr>
        <w:t>投标</w:t>
      </w:r>
      <w:r>
        <w:rPr>
          <w:rFonts w:hint="eastAsia" w:ascii="仿宋_GB2312" w:hAnsi="仿宋_GB2312" w:eastAsia="仿宋_GB2312" w:cs="仿宋_GB2312"/>
          <w:sz w:val="32"/>
          <w:szCs w:val="32"/>
        </w:rPr>
        <w:t>供应商在《政府采购投标及履约承诺函》中作出声明）。</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5.具备《中华人民共和国政府采购法》第二十二条第一款的条件（由</w:t>
      </w:r>
      <w:r>
        <w:rPr>
          <w:rFonts w:hint="eastAsia" w:ascii="仿宋_GB2312" w:hAnsi="仿宋_GB2312" w:eastAsia="仿宋_GB2312"/>
          <w:sz w:val="32"/>
          <w:highlight w:val="none"/>
          <w:lang w:eastAsia="zh-CN"/>
        </w:rPr>
        <w:t>投标</w:t>
      </w:r>
      <w:r>
        <w:rPr>
          <w:rFonts w:hint="eastAsia" w:ascii="仿宋_GB2312" w:hAnsi="仿宋_GB2312" w:eastAsia="仿宋_GB2312" w:cs="仿宋_GB2312"/>
          <w:sz w:val="32"/>
          <w:szCs w:val="32"/>
        </w:rPr>
        <w:t>供应商在《政府采购投标及履约承诺函》中作出声明）。</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6.未被列入失信被执行人、重大税收违法案件当事人名单、政府采购严重违法失信行为记录名单（由</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供应商在《政府采购投标及履约承诺函》中作出声明）。</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单位负责人为同一人或存在直接控股、管理关系的不同供应商，不得参加同一合同项下的政府采购活动；为采购项目提供整体设计、规范编制或项目管理、监理、检测等服务的供应商，不得再参加该采购项目的其他采购活动（由</w:t>
      </w:r>
      <w:r>
        <w:rPr>
          <w:rFonts w:hint="eastAsia" w:ascii="仿宋_GB2312" w:hAnsi="仿宋_GB2312" w:eastAsia="仿宋_GB2312" w:cs="仿宋_GB2312"/>
          <w:sz w:val="32"/>
          <w:szCs w:val="32"/>
          <w:lang w:eastAsia="zh-CN"/>
        </w:rPr>
        <w:t>投标</w:t>
      </w:r>
      <w:r>
        <w:rPr>
          <w:rFonts w:hint="eastAsia" w:ascii="仿宋_GB2312" w:hAnsi="仿宋_GB2312" w:eastAsia="仿宋_GB2312" w:cs="仿宋_GB2312"/>
          <w:sz w:val="32"/>
          <w:szCs w:val="32"/>
        </w:rPr>
        <w:t>供应商在《政府采购投标及履约承诺函》中作出声明）。</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8.须提供国家企业信用信息公示系统</w:t>
      </w:r>
    </w:p>
    <w:p>
      <w:pPr>
        <w:pStyle w:val="25"/>
        <w:rPr>
          <w:rFonts w:hint="eastAsia" w:ascii="仿宋_GB2312" w:hAnsi="仿宋_GB2312" w:eastAsia="仿宋_GB2312" w:cs="仿宋_GB2312"/>
          <w:sz w:val="32"/>
          <w:szCs w:val="32"/>
        </w:rPr>
      </w:pPr>
      <w:r>
        <w:rPr>
          <w:rFonts w:hint="eastAsia" w:ascii="仿宋_GB2312" w:hAnsi="仿宋_GB2312" w:eastAsia="仿宋_GB2312" w:cs="Times New Roman"/>
          <w:kern w:val="2"/>
          <w:sz w:val="32"/>
          <w:szCs w:val="22"/>
          <w:lang w:val="en-US" w:eastAsia="zh-CN" w:bidi="ar-SA"/>
        </w:rPr>
        <w:t>（http://www.gsxt.gov.cn/corp-query-homepage.html）</w:t>
      </w:r>
      <w:r>
        <w:rPr>
          <w:rFonts w:hint="eastAsia" w:ascii="仿宋_GB2312" w:hAnsi="仿宋_GB2312" w:eastAsia="仿宋_GB2312" w:cs="仿宋_GB2312"/>
          <w:sz w:val="32"/>
          <w:szCs w:val="32"/>
        </w:rPr>
        <w:t>的股权结构截图和法人关联公司等信息，并加盖公章。</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9.具有信息化咨询设计相关资质</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（1）具有ITSS信息技术服务咨询设计标准符合性证书或工程咨询甲级资质（https://xxgs.chinanpo.mca.gov.cn/gsxt/newList）</w:t>
      </w:r>
    </w:p>
    <w:p>
      <w:pPr>
        <w:spacing w:line="580" w:lineRule="exact"/>
        <w:ind w:firstLine="640" w:firstLineChars="200"/>
        <w:jc w:val="left"/>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（2）具有质量管理体系认证证书或知识产权管理体系认证证书（http://cx.cnca.cn/CertECloud/index/index/page）</w:t>
      </w:r>
    </w:p>
    <w:p>
      <w:pPr>
        <w:spacing w:line="580" w:lineRule="exact"/>
        <w:ind w:firstLine="640" w:firstLineChars="200"/>
        <w:jc w:val="left"/>
        <w:rPr>
          <w:rFonts w:ascii="黑体" w:hAnsi="黑体" w:eastAsia="黑体"/>
          <w:sz w:val="32"/>
        </w:rPr>
      </w:pPr>
      <w:r>
        <w:rPr>
          <w:rFonts w:hint="eastAsia" w:ascii="黑体" w:hAnsi="黑体" w:eastAsia="黑体"/>
          <w:sz w:val="32"/>
        </w:rPr>
        <w:t>四、评标定标方法</w:t>
      </w:r>
    </w:p>
    <w:p>
      <w:pPr>
        <w:keepNext w:val="0"/>
        <w:keepLines w:val="0"/>
        <w:pageBreakBefore w:val="0"/>
        <w:kinsoku/>
        <w:wordWrap/>
        <w:overflowPunct/>
        <w:topLinePunct w:val="0"/>
        <w:autoSpaceDE/>
        <w:autoSpaceDN/>
        <w:bidi w:val="0"/>
        <w:spacing w:line="560" w:lineRule="exact"/>
        <w:ind w:firstLine="640" w:firstLineChars="200"/>
        <w:jc w:val="left"/>
        <w:textAlignment w:val="auto"/>
        <w:rPr>
          <w:rFonts w:hint="eastAsia" w:ascii="仿宋_GB2312" w:hAnsi="仿宋_GB2312" w:eastAsia="仿宋_GB2312"/>
          <w:sz w:val="32"/>
          <w:lang w:val="en-US" w:eastAsia="zh-CN"/>
        </w:rPr>
      </w:pPr>
      <w:r>
        <w:rPr>
          <w:rFonts w:hint="eastAsia" w:ascii="仿宋_GB2312" w:hAnsi="仿宋_GB2312" w:eastAsia="仿宋_GB2312"/>
          <w:sz w:val="32"/>
          <w:lang w:val="en-US" w:eastAsia="zh-CN"/>
        </w:rPr>
        <w:t>本项目采用最低价法。</w:t>
      </w:r>
    </w:p>
    <w:p>
      <w:pPr>
        <w:pStyle w:val="25"/>
        <w:ind w:firstLine="640" w:firstLineChars="200"/>
        <w:rPr>
          <w:rFonts w:hint="eastAsia" w:ascii="黑体" w:hAnsi="黑体" w:eastAsia="黑体" w:cs="黑体"/>
          <w:sz w:val="32"/>
          <w:szCs w:val="32"/>
        </w:rPr>
      </w:pPr>
      <w:r>
        <w:rPr>
          <w:rFonts w:hint="eastAsia" w:ascii="黑体" w:hAnsi="黑体" w:eastAsia="黑体" w:cs="黑体"/>
          <w:sz w:val="32"/>
          <w:szCs w:val="32"/>
        </w:rPr>
        <w:t>五、商务需求</w:t>
      </w:r>
      <w:r>
        <w:rPr>
          <w:rFonts w:hint="eastAsia" w:ascii="黑体" w:hAnsi="黑体" w:eastAsia="黑体"/>
          <w:sz w:val="32"/>
        </w:rPr>
        <w:t>★</w:t>
      </w:r>
      <w:bookmarkStart w:id="0" w:name="_GoBack"/>
      <w:bookmarkEnd w:id="0"/>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（一）服务期：</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sz w:val="32"/>
          <w:highlight w:val="none"/>
          <w:lang w:val="en-US" w:eastAsia="zh-CN"/>
        </w:rPr>
        <w:t>1.报告提交期限：</w:t>
      </w:r>
      <w:r>
        <w:rPr>
          <w:rFonts w:hint="eastAsia" w:ascii="仿宋_GB2312" w:hAnsi="仿宋_GB2312" w:eastAsia="仿宋_GB2312" w:cs="仿宋_GB2312"/>
          <w:sz w:val="32"/>
          <w:szCs w:val="32"/>
        </w:rPr>
        <w:t>合同签订后</w:t>
      </w:r>
      <w:r>
        <w:rPr>
          <w:rFonts w:hint="eastAsia" w:ascii="仿宋_GB2312" w:hAnsi="仿宋_GB2312" w:eastAsia="仿宋_GB2312" w:cs="仿宋_GB2312"/>
          <w:b w:val="0"/>
          <w:i w:val="0"/>
          <w:caps w:val="0"/>
          <w:color w:val="040404"/>
          <w:spacing w:val="0"/>
          <w:sz w:val="32"/>
          <w:szCs w:val="32"/>
          <w:shd w:val="clear" w:fill="FFFFFF"/>
        </w:rPr>
        <w:t>60个日历日</w:t>
      </w:r>
      <w:r>
        <w:rPr>
          <w:rFonts w:hint="eastAsia" w:ascii="仿宋_GB2312" w:hAnsi="仿宋_GB2312" w:eastAsia="仿宋_GB2312" w:cs="仿宋_GB2312"/>
          <w:sz w:val="32"/>
          <w:szCs w:val="32"/>
        </w:rPr>
        <w:t>内完成本项目的立项方案编制工作，并协助采购单位按期完成本项目市财政局的预算批复（不包括招标人进行成果审核和验收的时间）。</w:t>
      </w:r>
    </w:p>
    <w:p>
      <w:pPr>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Times New Roman"/>
          <w:b w:val="0"/>
          <w:bCs w:val="0"/>
          <w:sz w:val="32"/>
          <w:highlight w:val="none"/>
          <w:u w:val="none"/>
          <w:lang w:val="en-US" w:eastAsia="zh-CN"/>
        </w:rPr>
        <w:t>2.合同履行总期限：自合同签订之日至方案通过市财政局下达经费止,即获取市财政局下达经费后视为完成合同约定内容。</w:t>
      </w:r>
    </w:p>
    <w:p>
      <w:pPr>
        <w:pStyle w:val="25"/>
        <w:numPr>
          <w:ilvl w:val="0"/>
          <w:numId w:val="2"/>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服务地点：</w:t>
      </w:r>
      <w:r>
        <w:rPr>
          <w:rFonts w:hint="eastAsia" w:ascii="仿宋_GB2312" w:hAnsi="仿宋_GB2312" w:eastAsia="仿宋_GB2312" w:cs="仿宋_GB2312"/>
          <w:sz w:val="32"/>
          <w:szCs w:val="32"/>
          <w:lang w:eastAsia="zh-CN"/>
        </w:rPr>
        <w:t>市民中心</w:t>
      </w:r>
      <w:r>
        <w:rPr>
          <w:rFonts w:hint="eastAsia" w:ascii="仿宋_GB2312" w:hAnsi="仿宋_GB2312" w:eastAsia="仿宋_GB2312" w:cs="仿宋_GB2312"/>
          <w:sz w:val="32"/>
          <w:szCs w:val="32"/>
          <w:lang w:val="en-US" w:eastAsia="zh-CN"/>
        </w:rPr>
        <w:t>B区</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（三）报价要求：</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项目服务费采用包干制，应包括服务成本、包装运输成本、法定税费和企业的利润。由投标供应商根据采购文件所提供的资料自行测算投标报价；一经中标，报价总价作为中标供应商与采购人签定的合同金额。</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2.投标供应商应当根据本企业的成本自行决定报价，但不得以低于其企业成本的报价投标。</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3.投标供应商的报价不得超过项目预算金额。</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4.投标供应商的报价，应当是本项目采购范围和采购文件及合同条款上所列的各项内容中所述的全部，不得以任何理由予以重复。</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除非采购人通过修改采购文件予以更正，否则，投标供应商应毫无例外地按响应文件所列的清单中项目和数量填报综合单价和合价。投标供应商未填综合单价或合价的项目，在实施后，将不得以支付，并视作该项费用已包括在其它有价款的综合单价或合价内。</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6.投标供应商应先到项目地点踏勘以充分了解项目的位置、情况、道路及任何其它足以影响投标报价的情况，任何因忽视或误解项目情况而导致的索赔或服务期限延长申请将不获批准。</w:t>
      </w:r>
    </w:p>
    <w:p>
      <w:pPr>
        <w:widowControl/>
        <w:spacing w:line="56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7.投标供应商不得期望通过索赔等方式获取补偿，否则，除可能遭到拒绝外，还可能将被作为不良行为记录在案，并可能影响其以后参加政府采购的项目投标。各投标供应商在报价时，应充分考虑报价的风险。</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（四）付款方式：</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主体项目立项方案通过相关主管部门立项审批后，根据相关主管部门关于第三方服务预算中“设计咨询服务”费的下达金额一次性支付（如审批金额低于中标金额，则以审批额为准，并作为合同总额支付；如审批金额高于中标金额，则支付总额不得超过中标金额）。如主体项目立项方案未通过相关主管部门立项审批，采购人不支付任何费用。</w:t>
      </w:r>
    </w:p>
    <w:p>
      <w:pPr>
        <w:pStyle w:val="25"/>
        <w:numPr>
          <w:ilvl w:val="0"/>
          <w:numId w:val="3"/>
        </w:num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履约担保金：</w:t>
      </w:r>
      <w:r>
        <w:rPr>
          <w:rFonts w:hint="eastAsia" w:ascii="仿宋_GB2312" w:hAnsi="仿宋_GB2312" w:eastAsia="仿宋_GB2312"/>
          <w:sz w:val="32"/>
        </w:rPr>
        <w:t>本项目无履约担保金。</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（六）售后服务：中标供应商在项目验收完成后，提供1年的售后支持，中标供应商应按采购人要求提供成果的修改完善及其他服务。</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知识产权归属：为履行本项目所规定的内容及义务，中标供应商产出的服务成果知识产权归</w:t>
      </w:r>
      <w:r>
        <w:rPr>
          <w:rFonts w:hint="eastAsia" w:ascii="仿宋_GB2312" w:hAnsi="仿宋_GB2312" w:eastAsia="仿宋_GB2312" w:cs="仿宋_GB2312"/>
          <w:sz w:val="32"/>
          <w:szCs w:val="32"/>
          <w:lang w:eastAsia="zh-CN"/>
        </w:rPr>
        <w:t>采购人</w:t>
      </w:r>
      <w:r>
        <w:rPr>
          <w:rFonts w:hint="eastAsia" w:ascii="仿宋_GB2312" w:hAnsi="仿宋_GB2312" w:eastAsia="仿宋_GB2312" w:cs="仿宋_GB2312"/>
          <w:sz w:val="32"/>
          <w:szCs w:val="32"/>
        </w:rPr>
        <w:t>所有。</w:t>
      </w:r>
    </w:p>
    <w:p>
      <w:pPr>
        <w:pStyle w:val="15"/>
        <w:keepNext w:val="0"/>
        <w:keepLines w:val="0"/>
        <w:pageBreakBefore w:val="0"/>
        <w:widowControl w:val="0"/>
        <w:kinsoku/>
        <w:wordWrap/>
        <w:overflowPunct/>
        <w:topLinePunct w:val="0"/>
        <w:autoSpaceDE/>
        <w:autoSpaceDN/>
        <w:bidi w:val="0"/>
        <w:adjustRightInd/>
        <w:snapToGrid/>
        <w:spacing w:after="0"/>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color w:val="auto"/>
          <w:sz w:val="32"/>
          <w:szCs w:val="32"/>
          <w:highlight w:val="none"/>
          <w:lang w:val="en-US" w:eastAsia="zh-CN"/>
        </w:rPr>
        <w:t>投标</w:t>
      </w:r>
      <w:r>
        <w:rPr>
          <w:rFonts w:hint="eastAsia" w:ascii="仿宋_GB2312" w:hAnsi="仿宋_GB2312" w:eastAsia="仿宋_GB2312" w:cs="仿宋_GB2312"/>
          <w:color w:val="auto"/>
          <w:sz w:val="32"/>
          <w:szCs w:val="32"/>
          <w:highlight w:val="none"/>
        </w:rPr>
        <w:t>供应商</w:t>
      </w:r>
      <w:r>
        <w:rPr>
          <w:rFonts w:hint="eastAsia" w:ascii="仿宋_GB2312" w:hAnsi="仿宋_GB2312" w:eastAsia="仿宋_GB2312" w:cs="仿宋_GB2312"/>
          <w:color w:val="auto"/>
          <w:sz w:val="32"/>
          <w:szCs w:val="32"/>
          <w:highlight w:val="none"/>
          <w:lang w:val="en-US" w:eastAsia="zh-CN"/>
        </w:rPr>
        <w:t>应保证本项目的投标技术、服务或其他任何一部分不会产生因第三方提出侵犯其专利权、商标权或其他知识产权而引起的法律或经济纠纷；如因第三方提出其专利权、商标权或其他知识产权的侵权之诉，则一切法律责任由投标供应商承担。</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lang w:eastAsia="zh-CN"/>
        </w:rPr>
        <w:t>（八）</w:t>
      </w:r>
      <w:r>
        <w:rPr>
          <w:rFonts w:hint="eastAsia" w:ascii="仿宋_GB2312" w:hAnsi="仿宋_GB2312" w:eastAsia="仿宋_GB2312" w:cs="仿宋_GB2312"/>
          <w:b/>
          <w:sz w:val="32"/>
          <w:szCs w:val="32"/>
        </w:rPr>
        <w:t>保密要求</w:t>
      </w:r>
    </w:p>
    <w:p>
      <w:pPr>
        <w:spacing w:line="560" w:lineRule="exact"/>
        <w:ind w:firstLine="640" w:firstLineChars="200"/>
      </w:pPr>
      <w:r>
        <w:rPr>
          <w:rFonts w:hint="eastAsia" w:ascii="仿宋_GB2312" w:hAnsi="仿宋_GB2312" w:eastAsia="仿宋_GB2312"/>
          <w:sz w:val="32"/>
          <w:lang w:eastAsia="zh-CN"/>
        </w:rPr>
        <w:t>投标供应商</w:t>
      </w:r>
      <w:r>
        <w:rPr>
          <w:rFonts w:hint="eastAsia" w:ascii="仿宋_GB2312" w:hAnsi="仿宋_GB2312" w:eastAsia="仿宋_GB2312"/>
          <w:sz w:val="32"/>
        </w:rPr>
        <w:t>有为</w:t>
      </w:r>
      <w:r>
        <w:rPr>
          <w:rFonts w:hint="eastAsia" w:ascii="仿宋_GB2312" w:hAnsi="仿宋_GB2312" w:eastAsia="仿宋_GB2312"/>
          <w:sz w:val="32"/>
          <w:lang w:val="en-US" w:eastAsia="zh-CN"/>
        </w:rPr>
        <w:t>采购人</w:t>
      </w:r>
      <w:r>
        <w:rPr>
          <w:rFonts w:hint="eastAsia" w:ascii="仿宋_GB2312" w:hAnsi="仿宋_GB2312" w:eastAsia="仿宋_GB2312"/>
          <w:sz w:val="32"/>
        </w:rPr>
        <w:t>保守本项目秘密的义务，</w:t>
      </w:r>
      <w:r>
        <w:rPr>
          <w:rFonts w:hint="eastAsia" w:ascii="仿宋_GB2312" w:hAnsi="仿宋_GB2312" w:eastAsia="仿宋_GB2312"/>
          <w:sz w:val="32"/>
          <w:lang w:eastAsia="zh-CN"/>
        </w:rPr>
        <w:t>投标供应商</w:t>
      </w:r>
      <w:r>
        <w:rPr>
          <w:rFonts w:hint="eastAsia" w:ascii="仿宋_GB2312" w:hAnsi="仿宋_GB2312" w:eastAsia="仿宋_GB2312"/>
          <w:sz w:val="32"/>
        </w:rPr>
        <w:t>应对本项目的内容、因履行本项目或在本项目期间获得的或收到的采购人的商务、财务、技术、产品的信息、用户资料或其他标明保密的文件或信息的内容(简称“保密资料”)保守秘密，未经采购人书面事先同意，不得向本项目以外的任何第三方披露。</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本项目要求</w:t>
      </w:r>
      <w:r>
        <w:rPr>
          <w:rFonts w:hint="eastAsia" w:ascii="仿宋_GB2312" w:hAnsi="仿宋_GB2312" w:eastAsia="仿宋_GB2312" w:cs="仿宋_GB2312"/>
          <w:sz w:val="32"/>
          <w:szCs w:val="32"/>
          <w:lang w:eastAsia="zh-CN"/>
        </w:rPr>
        <w:t>投标供应商</w:t>
      </w:r>
      <w:r>
        <w:rPr>
          <w:rFonts w:hint="eastAsia" w:ascii="仿宋_GB2312" w:hAnsi="仿宋_GB2312" w:eastAsia="仿宋_GB2312" w:cs="仿宋_GB2312"/>
          <w:sz w:val="32"/>
          <w:szCs w:val="32"/>
        </w:rPr>
        <w:t>安全保密制度按照国家、省的有关法规文件规定，履行保密责任，</w:t>
      </w:r>
      <w:r>
        <w:rPr>
          <w:rFonts w:hint="eastAsia" w:ascii="仿宋_GB2312" w:hAnsi="仿宋_GB2312" w:eastAsia="仿宋_GB2312" w:cs="仿宋_GB2312"/>
          <w:sz w:val="32"/>
          <w:szCs w:val="32"/>
          <w:lang w:eastAsia="zh-CN"/>
        </w:rPr>
        <w:t>中标供应商需签订保密承诺函。具体以合同约定为准。</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（九）违约责任</w:t>
      </w:r>
    </w:p>
    <w:p>
      <w:pPr>
        <w:pStyle w:val="2"/>
        <w:ind w:firstLine="640" w:firstLineChars="200"/>
        <w:rPr>
          <w:rFonts w:hint="eastAsia" w:ascii="仿宋_GB2312" w:hAnsi="仿宋_GB2312" w:eastAsia="仿宋_GB2312"/>
          <w:kern w:val="2"/>
          <w:sz w:val="32"/>
          <w:szCs w:val="22"/>
          <w:lang w:val="en-US" w:eastAsia="zh-CN"/>
        </w:rPr>
      </w:pPr>
      <w:r>
        <w:rPr>
          <w:rFonts w:hint="eastAsia" w:ascii="仿宋_GB2312" w:hAnsi="仿宋_GB2312" w:eastAsia="仿宋_GB2312"/>
          <w:kern w:val="2"/>
          <w:sz w:val="32"/>
          <w:szCs w:val="22"/>
          <w:lang w:val="en-US" w:eastAsia="zh-CN"/>
        </w:rPr>
        <w:t>中标供应商在合同履行过程中，不履行或不按照合同约定适格履行均构成违约，采购人有权解除合同，中标供应商应承担违约责任并赔偿损失；具体违约责任约定详见合同。</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eastAsia="zh-CN"/>
        </w:rPr>
      </w:pPr>
      <w:r>
        <w:rPr>
          <w:rFonts w:hint="eastAsia" w:ascii="仿宋_GB2312" w:hAnsi="仿宋_GB2312" w:eastAsia="仿宋_GB2312" w:cs="仿宋_GB2312"/>
          <w:b/>
          <w:sz w:val="32"/>
          <w:szCs w:val="32"/>
          <w:lang w:val="en-US" w:eastAsia="zh-CN"/>
        </w:rPr>
        <w:t>（十）</w:t>
      </w:r>
      <w:r>
        <w:rPr>
          <w:rFonts w:hint="eastAsia" w:ascii="仿宋_GB2312" w:hAnsi="仿宋_GB2312" w:eastAsia="仿宋_GB2312" w:cs="仿宋_GB2312"/>
          <w:b/>
          <w:sz w:val="32"/>
          <w:szCs w:val="32"/>
          <w:lang w:eastAsia="zh-CN"/>
        </w:rPr>
        <w:t>争议解决方式</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采购人和</w:t>
      </w:r>
      <w:r>
        <w:rPr>
          <w:rFonts w:hint="eastAsia" w:ascii="仿宋_GB2312" w:hAnsi="仿宋_GB2312" w:eastAsia="仿宋_GB2312" w:cs="仿宋_GB2312"/>
          <w:sz w:val="32"/>
          <w:szCs w:val="32"/>
          <w:lang w:val="en-US" w:eastAsia="zh-CN"/>
        </w:rPr>
        <w:t>中标供应商</w:t>
      </w:r>
      <w:r>
        <w:rPr>
          <w:rFonts w:hint="eastAsia" w:ascii="仿宋_GB2312" w:hAnsi="仿宋_GB2312" w:eastAsia="仿宋_GB2312" w:cs="仿宋_GB2312"/>
          <w:sz w:val="32"/>
          <w:szCs w:val="32"/>
          <w:lang w:eastAsia="zh-CN"/>
        </w:rPr>
        <w:t>因合同履行发生争议，应当友好协商解决；如协商不成，任何一方均有权将争议向采购人所在地有管辖权的人民法院起诉。</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b/>
          <w:sz w:val="32"/>
          <w:szCs w:val="32"/>
          <w:lang w:val="en-US" w:eastAsia="zh-CN"/>
        </w:rPr>
      </w:pPr>
      <w:r>
        <w:rPr>
          <w:rFonts w:hint="eastAsia" w:ascii="仿宋_GB2312" w:hAnsi="仿宋_GB2312" w:eastAsia="仿宋_GB2312" w:cs="仿宋_GB2312"/>
          <w:b/>
          <w:sz w:val="32"/>
          <w:szCs w:val="32"/>
          <w:lang w:val="en-US" w:eastAsia="zh-CN"/>
        </w:rPr>
        <w:t>（十一）争议解决地点</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eastAsia="zh-CN"/>
        </w:rPr>
        <w:t>采购人和投标供应商因合同履行发生争议，应当友好协商解决；如协商不成，任何一方均有权将争议向采购人所在地有管辖权的人民法院起诉。</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b/>
          <w:bCs/>
          <w:sz w:val="32"/>
          <w:szCs w:val="32"/>
          <w:lang w:val="en-US" w:eastAsia="zh-CN"/>
        </w:rPr>
        <w:t>十二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其他：</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1.投标供应商须提供纸质投标文件和纸质投标文件的电子版等投标资料。</w:t>
      </w: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.投标供应商须提交《政府采购违法行为风险知悉确认书》（附件1），由负责人或投标授权代表签字并加盖单位公章。</w:t>
      </w:r>
    </w:p>
    <w:p>
      <w:pPr>
        <w:pStyle w:val="25"/>
        <w:ind w:firstLine="640" w:firstLineChars="200"/>
        <w:rPr>
          <w:rFonts w:hint="eastAsia" w:ascii="仿宋_GB2312" w:hAnsi="仿宋_GB2312" w:eastAsia="仿宋_GB2312" w:cs="仿宋_GB2312"/>
          <w:sz w:val="32"/>
          <w:szCs w:val="32"/>
        </w:rPr>
      </w:pPr>
    </w:p>
    <w:p>
      <w:pPr>
        <w:pStyle w:val="25"/>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附件：1.政府采购违法行为风险知悉确认书</w:t>
      </w:r>
    </w:p>
    <w:p>
      <w:pPr>
        <w:pStyle w:val="25"/>
        <w:ind w:firstLine="1600" w:firstLineChars="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2.偏离表</w:t>
      </w:r>
    </w:p>
    <w:p>
      <w:pPr>
        <w:sectPr>
          <w:pgSz w:w="11906" w:h="16838"/>
          <w:pgMar w:top="1440" w:right="1800" w:bottom="1440" w:left="1800" w:header="851" w:footer="992" w:gutter="0"/>
          <w:cols w:space="425" w:num="1"/>
          <w:docGrid w:type="lines" w:linePitch="312" w:charSpace="0"/>
        </w:sectPr>
      </w:pPr>
    </w:p>
    <w:p>
      <w:pPr>
        <w:spacing w:line="580" w:lineRule="exact"/>
        <w:rPr>
          <w:rFonts w:ascii="仿宋_GB2312" w:hAnsi="仿宋" w:eastAsia="仿宋_GB2312" w:cs="仿宋"/>
          <w:bCs/>
          <w:sz w:val="32"/>
          <w:szCs w:val="32"/>
        </w:rPr>
      </w:pPr>
      <w:r>
        <w:rPr>
          <w:rFonts w:hint="eastAsia" w:ascii="仿宋_GB2312" w:hAnsi="仿宋" w:eastAsia="仿宋_GB2312" w:cs="仿宋"/>
          <w:bCs/>
          <w:sz w:val="32"/>
          <w:szCs w:val="32"/>
        </w:rPr>
        <w:t>附件1</w:t>
      </w:r>
    </w:p>
    <w:p>
      <w:pPr>
        <w:autoSpaceDE w:val="0"/>
        <w:autoSpaceDN w:val="0"/>
        <w:adjustRightInd w:val="0"/>
        <w:spacing w:line="520" w:lineRule="exact"/>
        <w:jc w:val="center"/>
        <w:rPr>
          <w:rFonts w:ascii="方正小标宋_GBK" w:hAnsi="方正小标宋_GBK" w:eastAsia="方正小标宋_GBK" w:cs="方正小标宋_GBK"/>
          <w:kern w:val="0"/>
          <w:sz w:val="44"/>
          <w:szCs w:val="44"/>
        </w:rPr>
      </w:pPr>
    </w:p>
    <w:p>
      <w:pPr>
        <w:autoSpaceDE w:val="0"/>
        <w:autoSpaceDN w:val="0"/>
        <w:adjustRightInd w:val="0"/>
        <w:spacing w:line="520" w:lineRule="exact"/>
        <w:jc w:val="center"/>
        <w:rPr>
          <w:rFonts w:ascii="方正小标宋_GBK" w:hAnsi="方正小标宋_GBK" w:eastAsia="方正小标宋_GBK" w:cs="方正小标宋_GBK"/>
          <w:kern w:val="0"/>
          <w:sz w:val="44"/>
          <w:szCs w:val="44"/>
        </w:rPr>
      </w:pPr>
      <w:r>
        <w:rPr>
          <w:rFonts w:hint="eastAsia" w:ascii="方正小标宋_GBK" w:hAnsi="方正小标宋_GBK" w:eastAsia="方正小标宋_GBK" w:cs="方正小标宋_GBK"/>
          <w:kern w:val="0"/>
          <w:sz w:val="44"/>
          <w:szCs w:val="44"/>
        </w:rPr>
        <w:t>政府采购违法行为风险知悉确认书</w:t>
      </w:r>
    </w:p>
    <w:p>
      <w:pPr>
        <w:spacing w:line="520" w:lineRule="exact"/>
        <w:ind w:firstLine="560" w:firstLineChars="200"/>
        <w:rPr>
          <w:rFonts w:ascii="仿宋_GB2312" w:hAnsi="仿宋_GB2312" w:eastAsia="仿宋_GB2312" w:cs="仿宋_GB2312"/>
          <w:sz w:val="28"/>
          <w:szCs w:val="28"/>
        </w:rPr>
      </w:pPr>
    </w:p>
    <w:p>
      <w:pPr>
        <w:spacing w:line="520" w:lineRule="exact"/>
        <w:ind w:firstLine="560" w:firstLineChars="200"/>
        <w:rPr>
          <w:rFonts w:ascii="仿宋_GB2312" w:hAnsi="仿宋_GB2312" w:eastAsia="仿宋_GB2312" w:cs="仿宋_GB2312"/>
          <w:kern w:val="0"/>
          <w:sz w:val="28"/>
          <w:szCs w:val="28"/>
        </w:rPr>
      </w:pPr>
      <w:r>
        <w:rPr>
          <w:rFonts w:hint="eastAsia" w:ascii="仿宋_GB2312" w:hAnsi="仿宋_GB2312" w:eastAsia="仿宋_GB2312" w:cs="仿宋_GB2312"/>
          <w:sz w:val="28"/>
          <w:szCs w:val="28"/>
        </w:rPr>
        <w:t>本公司在投标前已充分知悉以下情形为参与政府采购活动时的重大风险事项，并承诺已对下述风险提示事项重点排查，做到严谨、诚信、依法依规参与政府采购活动。</w:t>
      </w:r>
    </w:p>
    <w:p>
      <w:pPr>
        <w:spacing w:line="5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一、本公司已充分知悉“隐瞒真实情况，提供虚假资料”的法定情形，相关情形包括但不限于</w:t>
      </w:r>
      <w:r>
        <w:rPr>
          <w:rFonts w:hint="eastAsia" w:ascii="仿宋_GB2312" w:hAnsi="仿宋_GB2312" w:eastAsia="仿宋_GB2312" w:cs="仿宋_GB2312"/>
          <w:sz w:val="28"/>
          <w:szCs w:val="28"/>
        </w:rPr>
        <w:t>：</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（一）通过转让或者租借等方式从其他单位获取资格或者资质证书投标的。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（二）由其他单位或者其他单位负责人在投标供应商编制的投标文件上加盖印章或者签字的。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（三）项目负责人或者主要技术人员不是本单位人员的。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（四）投标保证金不是从投标供应商基本账户转出的。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（五）其他隐瞒真实情况、提供虚假资料的行为。</w:t>
      </w:r>
    </w:p>
    <w:p>
      <w:pPr>
        <w:spacing w:line="520" w:lineRule="exact"/>
        <w:ind w:firstLine="562" w:firstLineChars="200"/>
        <w:rPr>
          <w:rFonts w:ascii="仿宋_GB2312" w:hAnsi="仿宋_GB2312" w:eastAsia="仿宋_GB2312" w:cs="仿宋_GB2312"/>
          <w:sz w:val="28"/>
          <w:szCs w:val="28"/>
        </w:rPr>
      </w:pPr>
      <w:r>
        <w:rPr>
          <w:rFonts w:hint="eastAsia" w:ascii="仿宋_GB2312" w:hAnsi="仿宋_GB2312" w:eastAsia="仿宋_GB2312" w:cs="仿宋_GB2312"/>
          <w:b/>
          <w:bCs/>
          <w:sz w:val="28"/>
          <w:szCs w:val="28"/>
        </w:rPr>
        <w:t>二、本公司已充分知悉“与其他采购参加人串通投标”的法定情形，相关情形包括但不限于：</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（一）投标供应商之间相互约定给予未中标的供应商利益补偿。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（二）不同投标供应商的法定代表人、主要经营负责人、项目投标授权代表人、项目负责人、主要技术人员为同一人、属同一单位或者在同一单位缴纳社会保险。</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（三）不同投标供应商的投标文件由同一单位或者同一人编制，或者由同一人分阶段参与编制的。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（四）不同投标供应商的投标文件或部分投标文件相互混装。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（五）不同投标供应商的投标文件内容存在非正常一致。</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（六）由同一单位工作人员为两家以上（含两家）供应商进行同一项投标活动的。</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（七）不同投标供应商的投标报价呈规律性差异。</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（八）不同投标供应商的投标保证金从同一单位或者个人的账户转出。</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（九）主管部门依照法律、法规认定的其他情形。</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三、本公司已充分知悉下列情形所对应的法律风险，并在投标前已对相关风险事项进行排查。</w:t>
      </w:r>
    </w:p>
    <w:p>
      <w:pPr>
        <w:spacing w:line="520" w:lineRule="exact"/>
        <w:ind w:firstLine="560" w:firstLineChars="200"/>
        <w:rPr>
          <w:rFonts w:ascii="仿宋_GB2312" w:hAnsi="仿宋_GB2312" w:eastAsia="仿宋_GB2312" w:cs="仿宋_GB2312"/>
          <w:b/>
          <w:bCs/>
          <w:sz w:val="28"/>
          <w:szCs w:val="28"/>
        </w:rPr>
      </w:pPr>
      <w:r>
        <w:rPr>
          <w:rFonts w:hint="eastAsia" w:ascii="仿宋_GB2312" w:hAnsi="仿宋_GB2312" w:eastAsia="仿宋_GB2312" w:cs="仿宋_GB2312"/>
          <w:sz w:val="28"/>
          <w:szCs w:val="28"/>
        </w:rPr>
        <w:t>（一）对于从其他主体获取的投标资料，供应商应审慎核查，确保投标资料的真实性。</w:t>
      </w:r>
      <w:r>
        <w:rPr>
          <w:rFonts w:hint="eastAsia" w:ascii="仿宋_GB2312" w:hAnsi="仿宋_GB2312" w:eastAsia="仿宋_GB2312" w:cs="仿宋_GB2312"/>
          <w:b/>
          <w:bCs/>
          <w:sz w:val="28"/>
          <w:szCs w:val="28"/>
        </w:rPr>
        <w:t>如主管部门查实投标文件中存在虚假资料的，无论相关资料是否由第三方或本公司员工提供，均不影响主管部门对供应商存在“隐瞒真实情况，提供虚假资料”违法行为的认定。</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（二）对于涉及国家机关出具的公文、证件、证明材料等文件，一旦涉嫌虚假，经查实，主管部门将依法从严处理，并移送有关部门追究法律责任；涉嫌犯罪的，主管部门将一并移送司法机关追究法律责任。</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（三）对于涉及安全生产、特种作业、抢险救灾、防疫等政府采购项目，供应商实施提供虚假资料、串通投标等违法行为的，主管部门将依法从严处理。 </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四）供应商应严格规范项目授权代表、员工参与招标投标的行为，加强对投标文件的审核。项目授权代表、员工编制、上传投标文件等行为违反政府采购法律法规或招标文件要求的，投标供应商应当依法承担相应法律责任。</w:t>
      </w:r>
    </w:p>
    <w:p>
      <w:pPr>
        <w:spacing w:line="520" w:lineRule="exact"/>
        <w:ind w:firstLine="560" w:firstLineChars="200"/>
        <w:jc w:val="left"/>
        <w:rPr>
          <w:rFonts w:ascii="仿宋_GB2312" w:hAnsi="仿宋_GB2312" w:eastAsia="仿宋_GB2312" w:cs="仿宋_GB2312"/>
          <w:sz w:val="28"/>
          <w:szCs w:val="28"/>
        </w:rPr>
      </w:pPr>
      <w:r>
        <w:rPr>
          <w:rFonts w:hint="eastAsia" w:ascii="仿宋_GB2312" w:hAnsi="仿宋_GB2312" w:eastAsia="仿宋_GB2312" w:cs="仿宋_GB2312"/>
          <w:sz w:val="28"/>
          <w:szCs w:val="28"/>
        </w:rPr>
        <w:t>（五）供应商对投标电子密钥负有妥善保管、及时变更和续期等主体责任。供应商使用电子密钥在深圳政府采购网站进行的活动，均具有法律效力，须承担相应的法律后果。供应商擅自将投标密钥出借他人使用所造成的法律后果，由供应商自行承担。</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（六）单位负责人为同一人或者存在直接控股、管理关系的不同供应商，不得参加同一合同项下的政府采购活动。相关情形如查实，依法作投标无效处理；涉嫌串通投标等违法行为的，主管部门将依法调查处理。</w:t>
      </w:r>
    </w:p>
    <w:p>
      <w:pPr>
        <w:spacing w:line="520" w:lineRule="exact"/>
        <w:ind w:firstLine="562" w:firstLineChars="200"/>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四、本公司已充分知悉政府采购违法、违规行为的法律后果。</w:t>
      </w:r>
      <w:r>
        <w:rPr>
          <w:rFonts w:hint="eastAsia" w:ascii="仿宋_GB2312" w:hAnsi="仿宋_GB2312" w:eastAsia="仿宋_GB2312" w:cs="仿宋_GB2312"/>
          <w:sz w:val="28"/>
          <w:szCs w:val="28"/>
        </w:rPr>
        <w:t>经查实，若投标供应商存在政府采购违法、违规行为，主管部门将依据《深圳经济特区政府采购条例》第五十七条的规定，处以一至三年内禁止参与本市政府采购，并由主管部门记入供应商诚信档案，处采购金额千分之十以上千分之二十以下罚款；情节严重的，取消参与本市政府采购资格，处采购金额千分之二十以上千分之三十以下罚款，并由市场监管部门依法吊销营业执照。</w:t>
      </w:r>
    </w:p>
    <w:p>
      <w:pPr>
        <w:spacing w:line="520" w:lineRule="exact"/>
        <w:ind w:firstLine="560" w:firstLineChars="200"/>
        <w:rPr>
          <w:rFonts w:ascii="仿宋_GB2312" w:hAnsi="仿宋_GB2312" w:eastAsia="仿宋_GB2312" w:cs="仿宋_GB2312"/>
          <w:sz w:val="28"/>
          <w:szCs w:val="28"/>
        </w:rPr>
      </w:pPr>
      <w:r>
        <w:rPr>
          <w:rFonts w:hint="eastAsia" w:ascii="仿宋_GB2312" w:hAnsi="仿宋_GB2312" w:eastAsia="仿宋_GB2312" w:cs="仿宋_GB2312"/>
          <w:sz w:val="28"/>
          <w:szCs w:val="28"/>
        </w:rPr>
        <w:t>以下文字请投标供应商抄写并确认：“本公司已仔细阅读《政府采购违法行为风险知悉确认书》，充分知悉违法行为的法律后果，并承诺将严谨、诚信、依法依规参与政府采购活动”。</w:t>
      </w:r>
    </w:p>
    <w:p>
      <w:pPr>
        <w:spacing w:line="520" w:lineRule="exact"/>
        <w:rPr>
          <w:rFonts w:ascii="仿宋_GB2312" w:hAnsi="仿宋_GB2312" w:eastAsia="仿宋_GB2312" w:cs="仿宋_GB2312"/>
          <w:sz w:val="28"/>
          <w:szCs w:val="28"/>
        </w:rPr>
      </w:pPr>
    </w:p>
    <w:p>
      <w:pPr>
        <w:pStyle w:val="6"/>
        <w:ind w:firstLine="0" w:firstLineChars="0"/>
        <w:rPr>
          <w:rFonts w:ascii="仿宋_GB2312" w:hAnsi="仿宋_GB2312" w:eastAsia="仿宋_GB2312" w:cs="仿宋_GB2312"/>
          <w:sz w:val="36"/>
          <w:szCs w:val="36"/>
          <w:u w:val="single"/>
        </w:rPr>
      </w:pPr>
      <w:r>
        <w:rPr>
          <w:rFonts w:hint="eastAsia" w:ascii="仿宋_GB2312" w:hAnsi="仿宋_GB2312" w:eastAsia="仿宋_GB2312" w:cs="仿宋_GB2312"/>
          <w:sz w:val="36"/>
          <w:szCs w:val="36"/>
          <w:u w:val="single"/>
        </w:rPr>
        <w:t xml:space="preserve">                                              </w:t>
      </w:r>
    </w:p>
    <w:p>
      <w:pPr>
        <w:pStyle w:val="8"/>
        <w:rPr>
          <w:rFonts w:ascii="仿宋_GB2312" w:hAnsi="仿宋_GB2312" w:eastAsia="仿宋_GB2312" w:cs="仿宋_GB2312"/>
          <w:sz w:val="36"/>
          <w:szCs w:val="36"/>
        </w:rPr>
      </w:pPr>
      <w:r>
        <w:rPr>
          <w:rFonts w:hint="eastAsia" w:ascii="仿宋_GB2312" w:hAnsi="仿宋_GB2312" w:eastAsia="仿宋_GB2312" w:cs="仿宋_GB2312"/>
          <w:sz w:val="36"/>
          <w:szCs w:val="36"/>
          <w:u w:val="single"/>
        </w:rPr>
        <w:t xml:space="preserve">                                              </w:t>
      </w:r>
    </w:p>
    <w:p>
      <w:pPr>
        <w:pStyle w:val="14"/>
        <w:jc w:val="both"/>
        <w:rPr>
          <w:rFonts w:ascii="仿宋_GB2312" w:hAnsi="仿宋_GB2312" w:eastAsia="仿宋_GB2312" w:cs="仿宋_GB2312"/>
          <w:color w:val="auto"/>
          <w:sz w:val="36"/>
          <w:szCs w:val="36"/>
          <w:u w:val="single"/>
        </w:rPr>
      </w:pPr>
      <w:r>
        <w:rPr>
          <w:rFonts w:hint="eastAsia" w:ascii="仿宋_GB2312" w:hAnsi="仿宋_GB2312" w:eastAsia="仿宋_GB2312" w:cs="仿宋_GB2312"/>
          <w:color w:val="auto"/>
          <w:sz w:val="36"/>
          <w:szCs w:val="36"/>
          <w:u w:val="single"/>
        </w:rPr>
        <w:t xml:space="preserve">                                              </w:t>
      </w:r>
    </w:p>
    <w:p>
      <w:pPr>
        <w:pStyle w:val="14"/>
        <w:jc w:val="both"/>
        <w:rPr>
          <w:color w:val="auto"/>
        </w:rPr>
      </w:pPr>
      <w:r>
        <w:rPr>
          <w:rFonts w:hint="eastAsia" w:ascii="仿宋_GB2312" w:hAnsi="仿宋_GB2312" w:eastAsia="仿宋_GB2312" w:cs="仿宋_GB2312"/>
          <w:color w:val="auto"/>
          <w:sz w:val="36"/>
          <w:szCs w:val="36"/>
          <w:u w:val="single"/>
        </w:rPr>
        <w:t xml:space="preserve">                                              </w:t>
      </w:r>
    </w:p>
    <w:p>
      <w:pPr>
        <w:wordWrap w:val="0"/>
        <w:spacing w:line="520" w:lineRule="exact"/>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负责人/投标授权代表签名：                    </w:t>
      </w:r>
    </w:p>
    <w:p>
      <w:pPr>
        <w:wordWrap w:val="0"/>
        <w:spacing w:line="520" w:lineRule="exact"/>
        <w:ind w:firstLine="2800" w:firstLineChars="1000"/>
        <w:jc w:val="right"/>
        <w:rPr>
          <w:rFonts w:ascii="仿宋_GB2312" w:hAnsi="仿宋_GB2312" w:eastAsia="仿宋_GB2312" w:cs="仿宋_GB2312"/>
          <w:sz w:val="28"/>
          <w:szCs w:val="28"/>
        </w:rPr>
      </w:pPr>
      <w:r>
        <w:rPr>
          <w:rFonts w:hint="eastAsia" w:ascii="仿宋_GB2312" w:hAnsi="仿宋_GB2312" w:eastAsia="仿宋_GB2312" w:cs="仿宋_GB2312"/>
          <w:sz w:val="28"/>
          <w:szCs w:val="28"/>
        </w:rPr>
        <w:t xml:space="preserve">知悉人（公章）：                    </w:t>
      </w:r>
    </w:p>
    <w:p>
      <w:pPr>
        <w:wordWrap w:val="0"/>
        <w:spacing w:line="360" w:lineRule="auto"/>
        <w:jc w:val="right"/>
        <w:rPr>
          <w:rFonts w:ascii="黑体" w:hAnsi="黑体" w:eastAsia="黑体"/>
          <w:sz w:val="32"/>
          <w:szCs w:val="32"/>
        </w:rPr>
      </w:pPr>
      <w:r>
        <w:rPr>
          <w:rFonts w:hint="eastAsia" w:ascii="仿宋_GB2312" w:hAnsi="仿宋_GB2312" w:eastAsia="仿宋_GB2312" w:cs="仿宋_GB2312"/>
          <w:sz w:val="28"/>
          <w:szCs w:val="28"/>
        </w:rPr>
        <w:t>日期：</w:t>
      </w:r>
      <w:r>
        <w:rPr>
          <w:rFonts w:ascii="仿宋_GB2312" w:hAnsi="仿宋_GB2312" w:eastAsia="仿宋_GB2312" w:cs="仿宋_GB2312"/>
          <w:sz w:val="28"/>
          <w:szCs w:val="28"/>
        </w:rPr>
        <w:t xml:space="preserve">                    </w:t>
      </w:r>
    </w:p>
    <w:p>
      <w:pPr>
        <w:pStyle w:val="16"/>
        <w:ind w:left="0" w:leftChars="0" w:firstLine="0" w:firstLineChars="0"/>
      </w:pPr>
    </w:p>
    <w:p>
      <w:pPr>
        <w:sectPr>
          <w:pgSz w:w="11906" w:h="16838"/>
          <w:pgMar w:top="1440" w:right="1800" w:bottom="1440" w:left="1800" w:header="851" w:footer="992" w:gutter="0"/>
          <w:cols w:space="425" w:num="1"/>
          <w:docGrid w:type="lines" w:linePitch="312" w:charSpace="0"/>
        </w:sectPr>
      </w:pPr>
    </w:p>
    <w:p>
      <w:pPr>
        <w:spacing w:line="580" w:lineRule="exact"/>
        <w:rPr>
          <w:rFonts w:ascii="仿宋" w:hAnsi="仿宋" w:eastAsia="仿宋" w:cs="仿宋"/>
          <w:sz w:val="32"/>
          <w:szCs w:val="32"/>
        </w:rPr>
      </w:pPr>
      <w:r>
        <w:rPr>
          <w:rFonts w:hint="eastAsia" w:ascii="仿宋_GB2312" w:hAnsi="仿宋" w:eastAsia="仿宋_GB2312" w:cs="仿宋"/>
          <w:bCs/>
          <w:sz w:val="32"/>
          <w:szCs w:val="32"/>
        </w:rPr>
        <w:t>附件2：</w:t>
      </w:r>
    </w:p>
    <w:p>
      <w:pPr>
        <w:spacing w:line="560" w:lineRule="exact"/>
        <w:ind w:right="-1"/>
        <w:jc w:val="center"/>
        <w:rPr>
          <w:rFonts w:ascii="方正小标宋_GBK" w:hAnsi="仿宋" w:eastAsia="方正小标宋_GBK" w:cs="仿宋"/>
          <w:sz w:val="44"/>
          <w:szCs w:val="44"/>
        </w:rPr>
      </w:pPr>
      <w:r>
        <w:rPr>
          <w:rFonts w:hint="eastAsia" w:ascii="方正小标宋_GBK" w:hAnsi="仿宋" w:eastAsia="方正小标宋_GBK" w:cs="仿宋"/>
          <w:sz w:val="44"/>
          <w:szCs w:val="44"/>
        </w:rPr>
        <w:t>偏 离 表</w:t>
      </w:r>
    </w:p>
    <w:p>
      <w:pPr>
        <w:spacing w:line="560" w:lineRule="exact"/>
        <w:ind w:right="640"/>
        <w:rPr>
          <w:rFonts w:ascii="仿宋" w:hAnsi="仿宋" w:eastAsia="仿宋" w:cs="仿宋"/>
          <w:sz w:val="32"/>
          <w:szCs w:val="32"/>
        </w:rPr>
      </w:pPr>
    </w:p>
    <w:p>
      <w:pPr>
        <w:spacing w:line="560" w:lineRule="exact"/>
        <w:ind w:right="640"/>
        <w:rPr>
          <w:rFonts w:ascii="仿宋" w:hAnsi="仿宋" w:eastAsia="仿宋" w:cs="仿宋"/>
          <w:sz w:val="26"/>
          <w:szCs w:val="26"/>
        </w:rPr>
      </w:pPr>
      <w:r>
        <w:rPr>
          <w:rFonts w:hint="eastAsia" w:ascii="仿宋" w:hAnsi="仿宋" w:eastAsia="仿宋" w:cs="仿宋"/>
          <w:sz w:val="26"/>
          <w:szCs w:val="26"/>
        </w:rPr>
        <w:t xml:space="preserve">项目名称：             </w:t>
      </w:r>
      <w:r>
        <w:rPr>
          <w:rFonts w:ascii="仿宋" w:hAnsi="仿宋" w:eastAsia="仿宋" w:cs="仿宋"/>
          <w:sz w:val="26"/>
          <w:szCs w:val="26"/>
        </w:rPr>
        <w:t xml:space="preserve">          </w:t>
      </w:r>
      <w:r>
        <w:rPr>
          <w:rFonts w:hint="eastAsia" w:ascii="仿宋" w:hAnsi="仿宋" w:eastAsia="仿宋" w:cs="仿宋"/>
          <w:sz w:val="26"/>
          <w:szCs w:val="26"/>
        </w:rPr>
        <w:t xml:space="preserve">         项目编号：      </w:t>
      </w:r>
      <w:r>
        <w:rPr>
          <w:rFonts w:ascii="仿宋" w:hAnsi="仿宋" w:eastAsia="仿宋" w:cs="仿宋"/>
          <w:sz w:val="26"/>
          <w:szCs w:val="26"/>
        </w:rPr>
        <w:t xml:space="preserve"> </w:t>
      </w:r>
      <w:r>
        <w:rPr>
          <w:rFonts w:hint="eastAsia" w:ascii="仿宋" w:hAnsi="仿宋" w:eastAsia="仿宋" w:cs="仿宋"/>
          <w:sz w:val="26"/>
          <w:szCs w:val="26"/>
        </w:rPr>
        <w:t xml:space="preserve">     </w:t>
      </w:r>
    </w:p>
    <w:tbl>
      <w:tblPr>
        <w:tblStyle w:val="17"/>
        <w:tblW w:w="9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985"/>
        <w:gridCol w:w="2976"/>
        <w:gridCol w:w="2694"/>
        <w:gridCol w:w="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jc w:val="center"/>
              <w:rPr>
                <w:b/>
                <w:szCs w:val="21"/>
              </w:rPr>
            </w:pPr>
            <w:r>
              <w:rPr>
                <w:rFonts w:hint="eastAsia"/>
                <w:b/>
                <w:szCs w:val="21"/>
              </w:rPr>
              <w:t>序号</w:t>
            </w:r>
          </w:p>
        </w:tc>
        <w:tc>
          <w:tcPr>
            <w:tcW w:w="1985" w:type="dxa"/>
            <w:shd w:val="clear" w:color="auto" w:fill="auto"/>
          </w:tcPr>
          <w:p>
            <w:pPr>
              <w:spacing w:before="100" w:beforeAutospacing="1" w:after="100" w:afterAutospacing="1"/>
              <w:jc w:val="center"/>
              <w:rPr>
                <w:b/>
                <w:szCs w:val="21"/>
              </w:rPr>
            </w:pPr>
            <w:r>
              <w:rPr>
                <w:rFonts w:hint="eastAsia"/>
                <w:b/>
                <w:szCs w:val="21"/>
              </w:rPr>
              <w:t>需求文件条目号</w:t>
            </w:r>
          </w:p>
        </w:tc>
        <w:tc>
          <w:tcPr>
            <w:tcW w:w="2976" w:type="dxa"/>
            <w:shd w:val="clear" w:color="auto" w:fill="auto"/>
          </w:tcPr>
          <w:p>
            <w:pPr>
              <w:spacing w:before="100" w:beforeAutospacing="1" w:after="100" w:afterAutospacing="1"/>
              <w:jc w:val="center"/>
              <w:rPr>
                <w:b/>
                <w:szCs w:val="21"/>
              </w:rPr>
            </w:pPr>
            <w:r>
              <w:rPr>
                <w:rFonts w:hint="eastAsia"/>
                <w:b/>
                <w:szCs w:val="21"/>
              </w:rPr>
              <w:t>需求文件条款</w:t>
            </w:r>
          </w:p>
        </w:tc>
        <w:tc>
          <w:tcPr>
            <w:tcW w:w="2694" w:type="dxa"/>
            <w:shd w:val="clear" w:color="auto" w:fill="auto"/>
          </w:tcPr>
          <w:p>
            <w:pPr>
              <w:spacing w:before="100" w:beforeAutospacing="1" w:after="100" w:afterAutospacing="1"/>
              <w:jc w:val="center"/>
              <w:rPr>
                <w:b/>
                <w:szCs w:val="21"/>
              </w:rPr>
            </w:pPr>
            <w:r>
              <w:rPr>
                <w:rFonts w:hint="eastAsia"/>
                <w:b/>
                <w:szCs w:val="21"/>
              </w:rPr>
              <w:t>投标文件条款</w:t>
            </w:r>
          </w:p>
        </w:tc>
        <w:tc>
          <w:tcPr>
            <w:tcW w:w="815" w:type="dxa"/>
            <w:shd w:val="clear" w:color="auto" w:fill="auto"/>
          </w:tcPr>
          <w:p>
            <w:pPr>
              <w:spacing w:before="100" w:beforeAutospacing="1" w:after="100" w:afterAutospacing="1"/>
              <w:jc w:val="center"/>
              <w:rPr>
                <w:b/>
                <w:szCs w:val="21"/>
              </w:rPr>
            </w:pPr>
            <w:r>
              <w:rPr>
                <w:rFonts w:hint="eastAsia"/>
                <w:b/>
                <w:szCs w:val="21"/>
              </w:rPr>
              <w:t>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技术部分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rFonts w:ascii="仿宋_GB2312" w:hAnsi="仿宋_GB2312" w:eastAsia="仿宋_GB2312" w:cs="仿宋_GB2312"/>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174" w:type="dxa"/>
            <w:gridSpan w:val="5"/>
            <w:shd w:val="clear" w:color="auto" w:fill="auto"/>
          </w:tcPr>
          <w:p>
            <w:pPr>
              <w:spacing w:before="100" w:beforeAutospacing="1" w:after="100" w:afterAutospacing="1"/>
              <w:jc w:val="center"/>
              <w:rPr>
                <w:b/>
                <w:szCs w:val="21"/>
              </w:rPr>
            </w:pPr>
            <w:r>
              <w:rPr>
                <w:rFonts w:hint="eastAsia"/>
                <w:b/>
                <w:szCs w:val="21"/>
              </w:rPr>
              <w:t>商务</w:t>
            </w:r>
            <w:r>
              <w:rPr>
                <w:b/>
                <w:szCs w:val="21"/>
              </w:rPr>
              <w:t>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rFonts w:ascii="仿宋_GB2312" w:hAnsi="仿宋_GB2312" w:eastAsia="仿宋_GB2312" w:cs="仿宋_GB2312"/>
                <w:color w:val="000000"/>
                <w:szCs w:val="21"/>
              </w:rPr>
            </w:pPr>
          </w:p>
        </w:tc>
        <w:tc>
          <w:tcPr>
            <w:tcW w:w="2976" w:type="dxa"/>
            <w:shd w:val="clear" w:color="auto" w:fill="auto"/>
          </w:tcPr>
          <w:p>
            <w:pPr>
              <w:spacing w:before="100" w:beforeAutospacing="1" w:after="100" w:afterAutospacing="1"/>
              <w:rPr>
                <w:rFonts w:ascii="仿宋_GB2312" w:hAnsi="仿宋" w:eastAsia="仿宋_GB2312" w:cs="仿宋"/>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4" w:type="dxa"/>
            <w:shd w:val="clear" w:color="auto" w:fill="auto"/>
          </w:tcPr>
          <w:p>
            <w:pPr>
              <w:spacing w:before="100" w:beforeAutospacing="1" w:after="100" w:afterAutospacing="1"/>
              <w:rPr>
                <w:szCs w:val="21"/>
              </w:rPr>
            </w:pPr>
          </w:p>
        </w:tc>
        <w:tc>
          <w:tcPr>
            <w:tcW w:w="1985" w:type="dxa"/>
            <w:shd w:val="clear" w:color="auto" w:fill="auto"/>
          </w:tcPr>
          <w:p>
            <w:pPr>
              <w:spacing w:before="100" w:beforeAutospacing="1" w:after="100" w:afterAutospacing="1"/>
              <w:rPr>
                <w:szCs w:val="21"/>
              </w:rPr>
            </w:pPr>
          </w:p>
        </w:tc>
        <w:tc>
          <w:tcPr>
            <w:tcW w:w="2976" w:type="dxa"/>
            <w:shd w:val="clear" w:color="auto" w:fill="auto"/>
          </w:tcPr>
          <w:p>
            <w:pPr>
              <w:spacing w:before="100" w:beforeAutospacing="1" w:after="100" w:afterAutospacing="1"/>
              <w:rPr>
                <w:szCs w:val="21"/>
              </w:rPr>
            </w:pPr>
          </w:p>
        </w:tc>
        <w:tc>
          <w:tcPr>
            <w:tcW w:w="2694" w:type="dxa"/>
            <w:shd w:val="clear" w:color="auto" w:fill="auto"/>
          </w:tcPr>
          <w:p>
            <w:pPr>
              <w:spacing w:before="100" w:beforeAutospacing="1" w:after="100" w:afterAutospacing="1"/>
              <w:rPr>
                <w:szCs w:val="21"/>
              </w:rPr>
            </w:pPr>
          </w:p>
        </w:tc>
        <w:tc>
          <w:tcPr>
            <w:tcW w:w="815" w:type="dxa"/>
            <w:shd w:val="clear" w:color="auto" w:fill="auto"/>
          </w:tcPr>
          <w:p>
            <w:pPr>
              <w:spacing w:before="100" w:beforeAutospacing="1" w:after="100" w:afterAutospacing="1"/>
              <w:rPr>
                <w:szCs w:val="21"/>
              </w:rPr>
            </w:pPr>
          </w:p>
        </w:tc>
      </w:tr>
    </w:tbl>
    <w:p>
      <w:pPr>
        <w:spacing w:line="460" w:lineRule="exact"/>
        <w:ind w:right="-340" w:rightChars="-162"/>
        <w:rPr>
          <w:rFonts w:ascii="仿宋_GB2312" w:eastAsia="仿宋_GB2312"/>
          <w:sz w:val="26"/>
          <w:szCs w:val="26"/>
        </w:rPr>
      </w:pPr>
      <w:r>
        <w:rPr>
          <w:rFonts w:hint="eastAsia" w:ascii="仿宋_GB2312" w:eastAsia="仿宋_GB2312"/>
          <w:b/>
          <w:sz w:val="26"/>
          <w:szCs w:val="26"/>
        </w:rPr>
        <w:t>注：1.需求文件条目号：</w:t>
      </w:r>
      <w:r>
        <w:rPr>
          <w:rFonts w:hint="eastAsia" w:ascii="仿宋_GB2312" w:eastAsia="仿宋_GB2312"/>
          <w:sz w:val="26"/>
          <w:szCs w:val="26"/>
        </w:rPr>
        <w:t>对应需求文件的第几页第几部分第几条第几款等；</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2.需求文件条款：</w:t>
      </w:r>
      <w:r>
        <w:rPr>
          <w:rFonts w:hint="eastAsia" w:ascii="仿宋_GB2312" w:eastAsia="仿宋_GB2312"/>
          <w:sz w:val="26"/>
          <w:szCs w:val="26"/>
        </w:rPr>
        <w:t>对应需求文件具体条款的内容摘要；</w:t>
      </w:r>
    </w:p>
    <w:p>
      <w:pPr>
        <w:spacing w:line="460" w:lineRule="exact"/>
        <w:ind w:right="-340" w:rightChars="-162" w:firstLine="522" w:firstLineChars="200"/>
        <w:rPr>
          <w:rFonts w:ascii="仿宋_GB2312" w:eastAsia="仿宋_GB2312"/>
          <w:sz w:val="26"/>
          <w:szCs w:val="26"/>
        </w:rPr>
      </w:pPr>
      <w:r>
        <w:rPr>
          <w:rFonts w:hint="eastAsia" w:ascii="仿宋_GB2312" w:eastAsia="仿宋_GB2312"/>
          <w:b/>
          <w:sz w:val="26"/>
          <w:szCs w:val="26"/>
        </w:rPr>
        <w:t>3.投标文件条款：</w:t>
      </w:r>
      <w:r>
        <w:rPr>
          <w:rFonts w:hint="eastAsia" w:ascii="仿宋_GB2312" w:eastAsia="仿宋_GB2312"/>
          <w:sz w:val="26"/>
          <w:szCs w:val="26"/>
        </w:rPr>
        <w:t>由投标单位填写，对应需求文件，投标文件所给出的</w:t>
      </w:r>
    </w:p>
    <w:p>
      <w:pPr>
        <w:spacing w:line="460" w:lineRule="exact"/>
        <w:ind w:right="-340" w:rightChars="-162" w:firstLine="520" w:firstLineChars="200"/>
        <w:rPr>
          <w:rFonts w:ascii="仿宋_GB2312" w:eastAsia="仿宋_GB2312"/>
          <w:sz w:val="26"/>
          <w:szCs w:val="26"/>
        </w:rPr>
      </w:pPr>
      <w:r>
        <w:rPr>
          <w:rFonts w:hint="eastAsia" w:ascii="仿宋_GB2312" w:eastAsia="仿宋_GB2312"/>
          <w:sz w:val="26"/>
          <w:szCs w:val="26"/>
        </w:rPr>
        <w:t>具体解决方法摘要；</w:t>
      </w:r>
    </w:p>
    <w:p>
      <w:pPr>
        <w:spacing w:line="460" w:lineRule="exact"/>
        <w:ind w:right="-340" w:rightChars="-162" w:firstLine="525"/>
        <w:rPr>
          <w:rFonts w:ascii="仿宋_GB2312" w:eastAsia="仿宋_GB2312"/>
          <w:sz w:val="26"/>
          <w:szCs w:val="26"/>
        </w:rPr>
      </w:pPr>
      <w:r>
        <w:rPr>
          <w:rFonts w:hint="eastAsia" w:ascii="仿宋_GB2312" w:eastAsia="仿宋_GB2312"/>
          <w:b/>
          <w:sz w:val="26"/>
          <w:szCs w:val="26"/>
        </w:rPr>
        <w:t>4.偏离：</w:t>
      </w:r>
      <w:r>
        <w:rPr>
          <w:rFonts w:hint="eastAsia" w:ascii="仿宋_GB2312" w:eastAsia="仿宋_GB2312"/>
          <w:sz w:val="26"/>
          <w:szCs w:val="26"/>
        </w:rPr>
        <w:t>由投标单位填写并承担法律责任，分为正偏离（投保文件优于</w:t>
      </w:r>
    </w:p>
    <w:p>
      <w:pPr>
        <w:spacing w:line="460" w:lineRule="exact"/>
        <w:ind w:right="-340" w:rightChars="-162" w:firstLine="525"/>
        <w:rPr>
          <w:rFonts w:ascii="仿宋_GB2312" w:eastAsia="仿宋_GB2312"/>
          <w:sz w:val="26"/>
          <w:szCs w:val="26"/>
        </w:rPr>
      </w:pPr>
      <w:r>
        <w:rPr>
          <w:rFonts w:hint="eastAsia" w:ascii="仿宋_GB2312" w:eastAsia="仿宋_GB2312"/>
          <w:sz w:val="26"/>
          <w:szCs w:val="26"/>
        </w:rPr>
        <w:t>需求文件）、无偏离（投标文件与需求文件一致）或负偏离（投保文件差</w:t>
      </w:r>
    </w:p>
    <w:p>
      <w:pPr>
        <w:spacing w:line="460" w:lineRule="exact"/>
        <w:ind w:right="-340" w:rightChars="-162" w:firstLine="525"/>
        <w:rPr>
          <w:rFonts w:hint="eastAsia" w:ascii="仿宋_GB2312" w:eastAsia="仿宋_GB2312"/>
          <w:sz w:val="26"/>
          <w:szCs w:val="26"/>
        </w:rPr>
      </w:pPr>
      <w:r>
        <w:rPr>
          <w:rFonts w:hint="eastAsia" w:ascii="仿宋_GB2312" w:eastAsia="仿宋_GB2312"/>
          <w:sz w:val="26"/>
          <w:szCs w:val="26"/>
        </w:rPr>
        <w:t>于需求文件）。</w:t>
      </w:r>
    </w:p>
    <w:p>
      <w:pPr>
        <w:pStyle w:val="2"/>
        <w:rPr>
          <w:rFonts w:hint="eastAsia" w:ascii="仿宋_GB2312" w:hAnsi="仿宋" w:eastAsia="仿宋_GB2312" w:cs="仿宋"/>
          <w:b/>
          <w:bCs/>
          <w:sz w:val="32"/>
          <w:szCs w:val="32"/>
        </w:rPr>
      </w:pPr>
    </w:p>
    <w:p>
      <w:pPr>
        <w:pStyle w:val="2"/>
      </w:pPr>
      <w:r>
        <w:rPr>
          <w:rFonts w:hint="eastAsia" w:ascii="仿宋_GB2312" w:hAnsi="仿宋" w:eastAsia="仿宋_GB2312" w:cs="仿宋"/>
          <w:b/>
          <w:bCs/>
          <w:sz w:val="32"/>
          <w:szCs w:val="32"/>
        </w:rPr>
        <w:t>备注：该参考模板仅适用于采购人自行组织实施的自行采购项目。</w:t>
      </w:r>
    </w:p>
    <w:p>
      <w:pPr>
        <w:spacing w:line="580" w:lineRule="exact"/>
        <w:rPr>
          <w:rFonts w:ascii="仿宋_GB2312" w:hAnsi="仿宋" w:eastAsia="仿宋_GB2312" w:cs="仿宋"/>
          <w:bCs/>
          <w:sz w:val="32"/>
          <w:szCs w:val="32"/>
        </w:rPr>
      </w:pPr>
    </w:p>
    <w:p>
      <w:pPr>
        <w:pStyle w:val="16"/>
        <w:ind w:firstLine="640"/>
        <w:rPr>
          <w:rFonts w:ascii="仿宋_GB2312" w:hAnsi="仿宋" w:eastAsia="仿宋_GB2312" w:cs="仿宋"/>
          <w:b/>
          <w:bCs/>
          <w:sz w:val="32"/>
          <w:szCs w:val="32"/>
        </w:rPr>
      </w:pPr>
    </w:p>
    <w:p>
      <w:pPr>
        <w:pStyle w:val="16"/>
        <w:ind w:left="0" w:leftChars="0" w:firstLine="0" w:firstLineChars="0"/>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F64AAF"/>
    <w:multiLevelType w:val="singleLevel"/>
    <w:tmpl w:val="BFF64AAF"/>
    <w:lvl w:ilvl="0" w:tentative="0">
      <w:start w:val="2"/>
      <w:numFmt w:val="chineseCounting"/>
      <w:suff w:val="nothing"/>
      <w:lvlText w:val="（%1）"/>
      <w:lvlJc w:val="left"/>
      <w:rPr>
        <w:rFonts w:hint="eastAsia"/>
      </w:rPr>
    </w:lvl>
  </w:abstractNum>
  <w:abstractNum w:abstractNumId="1">
    <w:nsid w:val="F3BF5197"/>
    <w:multiLevelType w:val="singleLevel"/>
    <w:tmpl w:val="F3BF5197"/>
    <w:lvl w:ilvl="0" w:tentative="0">
      <w:start w:val="5"/>
      <w:numFmt w:val="chineseCounting"/>
      <w:suff w:val="nothing"/>
      <w:lvlText w:val="（%1）"/>
      <w:lvlJc w:val="left"/>
      <w:rPr>
        <w:rFonts w:hint="eastAsia"/>
      </w:rPr>
    </w:lvl>
  </w:abstractNum>
  <w:abstractNum w:abstractNumId="2">
    <w:nsid w:val="793E6B3A"/>
    <w:multiLevelType w:val="singleLevel"/>
    <w:tmpl w:val="793E6B3A"/>
    <w:lvl w:ilvl="0" w:tentative="0">
      <w:start w:val="1"/>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AxMTJjMzU3M2Y1OTAyZmE0MWE2YzlmYWU3YjY5NjYifQ=="/>
  </w:docVars>
  <w:rsids>
    <w:rsidRoot w:val="003240E1"/>
    <w:rsid w:val="00167AFD"/>
    <w:rsid w:val="001739CB"/>
    <w:rsid w:val="002257AC"/>
    <w:rsid w:val="0032218C"/>
    <w:rsid w:val="003240E1"/>
    <w:rsid w:val="0033255B"/>
    <w:rsid w:val="003F3375"/>
    <w:rsid w:val="00647A48"/>
    <w:rsid w:val="00683D4D"/>
    <w:rsid w:val="006E3343"/>
    <w:rsid w:val="008E6287"/>
    <w:rsid w:val="00AD6E4B"/>
    <w:rsid w:val="00C80892"/>
    <w:rsid w:val="00CE459F"/>
    <w:rsid w:val="00D745E7"/>
    <w:rsid w:val="00DA7C51"/>
    <w:rsid w:val="00F12895"/>
    <w:rsid w:val="00FD29E2"/>
    <w:rsid w:val="011E4444"/>
    <w:rsid w:val="0B695628"/>
    <w:rsid w:val="1FF4614A"/>
    <w:rsid w:val="22101DF4"/>
    <w:rsid w:val="287FE6E5"/>
    <w:rsid w:val="2D3D22C5"/>
    <w:rsid w:val="2FD23E16"/>
    <w:rsid w:val="30343441"/>
    <w:rsid w:val="383D796E"/>
    <w:rsid w:val="39110529"/>
    <w:rsid w:val="3B77F14D"/>
    <w:rsid w:val="3FB2617A"/>
    <w:rsid w:val="44F37915"/>
    <w:rsid w:val="49330E5E"/>
    <w:rsid w:val="4CD33A7F"/>
    <w:rsid w:val="59E7E83C"/>
    <w:rsid w:val="5B593A5F"/>
    <w:rsid w:val="5BB7F403"/>
    <w:rsid w:val="5BF74EE6"/>
    <w:rsid w:val="5DB3AFAA"/>
    <w:rsid w:val="5EF83632"/>
    <w:rsid w:val="5FFC0562"/>
    <w:rsid w:val="64445EE1"/>
    <w:rsid w:val="6E7FE853"/>
    <w:rsid w:val="6F051C8A"/>
    <w:rsid w:val="6F9D94CD"/>
    <w:rsid w:val="70FF2136"/>
    <w:rsid w:val="7B0D77AE"/>
    <w:rsid w:val="7E591EF8"/>
    <w:rsid w:val="7FF7E218"/>
    <w:rsid w:val="9FFFB372"/>
    <w:rsid w:val="BD5E9C4B"/>
    <w:rsid w:val="BFFF2D5A"/>
    <w:rsid w:val="DF3AAF26"/>
    <w:rsid w:val="DFDF48E3"/>
    <w:rsid w:val="E8FD9193"/>
    <w:rsid w:val="EAF3130D"/>
    <w:rsid w:val="F7FF7C21"/>
    <w:rsid w:val="FC9FB42D"/>
    <w:rsid w:val="FEEFE11E"/>
    <w:rsid w:val="FF6F1E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3">
    <w:name w:val="heading 2"/>
    <w:basedOn w:val="4"/>
    <w:next w:val="5"/>
    <w:link w:val="20"/>
    <w:unhideWhenUsed/>
    <w:qFormat/>
    <w:uiPriority w:val="9"/>
    <w:pPr>
      <w:adjustRightInd w:val="0"/>
      <w:spacing w:line="240" w:lineRule="auto"/>
      <w:jc w:val="center"/>
      <w:textAlignment w:val="baseline"/>
      <w:outlineLvl w:val="1"/>
    </w:pPr>
    <w:rPr>
      <w:rFonts w:ascii="宋体" w:hAnsi="宋体"/>
      <w:bCs w:val="0"/>
      <w:kern w:val="0"/>
      <w:sz w:val="24"/>
      <w:szCs w:val="20"/>
    </w:rPr>
  </w:style>
  <w:style w:type="paragraph" w:styleId="4">
    <w:name w:val="heading 3"/>
    <w:basedOn w:val="1"/>
    <w:next w:val="1"/>
    <w:link w:val="22"/>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21"/>
    <w:unhideWhenUsed/>
    <w:qFormat/>
    <w:uiPriority w:val="9"/>
    <w:pPr>
      <w:keepNext/>
      <w:keepLines/>
      <w:spacing w:before="280" w:after="290" w:line="376" w:lineRule="auto"/>
      <w:outlineLvl w:val="3"/>
    </w:pPr>
    <w:rPr>
      <w:rFonts w:ascii="Cambria" w:hAnsi="Cambria"/>
      <w:b/>
      <w:bCs/>
      <w:sz w:val="28"/>
      <w:szCs w:val="28"/>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pPr>
      <w:pBdr>
        <w:top w:val="none" w:color="auto" w:sz="0" w:space="0"/>
        <w:left w:val="none" w:color="auto" w:sz="0" w:space="0"/>
        <w:bottom w:val="none" w:color="auto" w:sz="0" w:space="0"/>
        <w:right w:val="none" w:color="auto" w:sz="0" w:space="0"/>
        <w:between w:val="none" w:color="auto" w:sz="0" w:space="0"/>
      </w:pBdr>
      <w:jc w:val="both"/>
    </w:pPr>
    <w:rPr>
      <w:rFonts w:ascii="宋体" w:hAnsi="Courier New" w:eastAsia="宋体"/>
      <w:kern w:val="0"/>
      <w:sz w:val="20"/>
      <w:szCs w:val="21"/>
    </w:rPr>
  </w:style>
  <w:style w:type="paragraph" w:styleId="6">
    <w:name w:val="Normal Indent"/>
    <w:basedOn w:val="1"/>
    <w:qFormat/>
    <w:uiPriority w:val="99"/>
    <w:pPr>
      <w:ind w:firstLine="420" w:firstLineChars="200"/>
    </w:pPr>
  </w:style>
  <w:style w:type="paragraph" w:styleId="7">
    <w:name w:val="annotation text"/>
    <w:basedOn w:val="1"/>
    <w:qFormat/>
    <w:uiPriority w:val="99"/>
    <w:pPr>
      <w:jc w:val="left"/>
    </w:pPr>
  </w:style>
  <w:style w:type="paragraph" w:styleId="8">
    <w:name w:val="Body Text"/>
    <w:basedOn w:val="1"/>
    <w:next w:val="9"/>
    <w:qFormat/>
    <w:uiPriority w:val="1"/>
    <w:rPr>
      <w:rFonts w:ascii="仿宋" w:hAnsi="仿宋" w:eastAsia="仿宋" w:cs="仿宋"/>
      <w:sz w:val="32"/>
      <w:szCs w:val="32"/>
    </w:rPr>
  </w:style>
  <w:style w:type="paragraph" w:styleId="9">
    <w:name w:val="toc 2"/>
    <w:basedOn w:val="1"/>
    <w:next w:val="1"/>
    <w:unhideWhenUsed/>
    <w:qFormat/>
    <w:uiPriority w:val="39"/>
    <w:pPr>
      <w:ind w:left="420" w:leftChars="200"/>
    </w:pPr>
  </w:style>
  <w:style w:type="paragraph" w:styleId="10">
    <w:name w:val="Body Text Indent"/>
    <w:basedOn w:val="1"/>
    <w:qFormat/>
    <w:uiPriority w:val="99"/>
    <w:pPr>
      <w:spacing w:after="120"/>
      <w:ind w:left="420" w:leftChars="200"/>
    </w:pPr>
  </w:style>
  <w:style w:type="paragraph" w:styleId="11">
    <w:name w:val="footer"/>
    <w:basedOn w:val="1"/>
    <w:link w:val="24"/>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Normal (Web)"/>
    <w:basedOn w:val="1"/>
    <w:qFormat/>
    <w:uiPriority w:val="0"/>
    <w:pPr>
      <w:spacing w:beforeAutospacing="1" w:afterAutospacing="1"/>
      <w:jc w:val="left"/>
    </w:pPr>
    <w:rPr>
      <w:kern w:val="0"/>
      <w:sz w:val="24"/>
    </w:rPr>
  </w:style>
  <w:style w:type="paragraph" w:styleId="14">
    <w:name w:val="Title"/>
    <w:basedOn w:val="1"/>
    <w:next w:val="1"/>
    <w:qFormat/>
    <w:uiPriority w:val="10"/>
    <w:pPr>
      <w:widowControl/>
      <w:jc w:val="center"/>
    </w:pPr>
    <w:rPr>
      <w:rFonts w:eastAsia="华文中宋"/>
      <w:color w:val="FF0000"/>
      <w:kern w:val="0"/>
      <w:sz w:val="84"/>
    </w:rPr>
  </w:style>
  <w:style w:type="paragraph" w:styleId="15">
    <w:name w:val="Body Text First Indent"/>
    <w:basedOn w:val="8"/>
    <w:unhideWhenUsed/>
    <w:qFormat/>
    <w:uiPriority w:val="99"/>
    <w:pPr>
      <w:spacing w:after="120"/>
      <w:ind w:firstLine="420" w:firstLineChars="100"/>
    </w:pPr>
    <w:rPr>
      <w:sz w:val="21"/>
    </w:rPr>
  </w:style>
  <w:style w:type="paragraph" w:styleId="16">
    <w:name w:val="Body Text First Indent 2"/>
    <w:basedOn w:val="10"/>
    <w:next w:val="1"/>
    <w:qFormat/>
    <w:uiPriority w:val="99"/>
    <w:pPr>
      <w:ind w:firstLine="420" w:firstLineChars="200"/>
    </w:pPr>
  </w:style>
  <w:style w:type="table" w:styleId="18">
    <w:name w:val="Table Grid"/>
    <w:basedOn w:val="1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20">
    <w:name w:val="标题 2 字符"/>
    <w:basedOn w:val="19"/>
    <w:link w:val="3"/>
    <w:qFormat/>
    <w:uiPriority w:val="0"/>
    <w:rPr>
      <w:rFonts w:ascii="宋体" w:hAnsi="宋体" w:eastAsia="宋体" w:cs="Times New Roman"/>
      <w:b/>
      <w:kern w:val="0"/>
      <w:sz w:val="24"/>
      <w:szCs w:val="20"/>
    </w:rPr>
  </w:style>
  <w:style w:type="character" w:customStyle="1" w:styleId="21">
    <w:name w:val="标题 4 字符"/>
    <w:basedOn w:val="19"/>
    <w:link w:val="5"/>
    <w:qFormat/>
    <w:uiPriority w:val="9"/>
    <w:rPr>
      <w:rFonts w:ascii="Cambria" w:hAnsi="Cambria" w:eastAsia="宋体" w:cs="Times New Roman"/>
      <w:b/>
      <w:bCs/>
      <w:sz w:val="28"/>
      <w:szCs w:val="28"/>
    </w:rPr>
  </w:style>
  <w:style w:type="character" w:customStyle="1" w:styleId="22">
    <w:name w:val="标题 3 字符"/>
    <w:basedOn w:val="19"/>
    <w:link w:val="4"/>
    <w:qFormat/>
    <w:uiPriority w:val="9"/>
    <w:rPr>
      <w:rFonts w:ascii="Calibri" w:hAnsi="Calibri" w:eastAsia="宋体" w:cs="Times New Roman"/>
      <w:b/>
      <w:bCs/>
      <w:sz w:val="32"/>
      <w:szCs w:val="32"/>
    </w:rPr>
  </w:style>
  <w:style w:type="character" w:customStyle="1" w:styleId="23">
    <w:name w:val="页眉 字符"/>
    <w:basedOn w:val="19"/>
    <w:link w:val="12"/>
    <w:qFormat/>
    <w:uiPriority w:val="99"/>
    <w:rPr>
      <w:rFonts w:ascii="Calibri" w:hAnsi="Calibri" w:eastAsia="宋体" w:cs="Times New Roman"/>
      <w:sz w:val="18"/>
      <w:szCs w:val="18"/>
    </w:rPr>
  </w:style>
  <w:style w:type="character" w:customStyle="1" w:styleId="24">
    <w:name w:val="页脚 字符"/>
    <w:basedOn w:val="19"/>
    <w:link w:val="11"/>
    <w:qFormat/>
    <w:uiPriority w:val="99"/>
    <w:rPr>
      <w:rFonts w:ascii="Calibri" w:hAnsi="Calibri" w:eastAsia="宋体" w:cs="Times New Roman"/>
      <w:sz w:val="18"/>
      <w:szCs w:val="18"/>
    </w:rPr>
  </w:style>
  <w:style w:type="paragraph" w:customStyle="1" w:styleId="25">
    <w:name w:val="Table Paragraph"/>
    <w:basedOn w:val="1"/>
    <w:qFormat/>
    <w:uiPriority w:val="1"/>
    <w:rPr>
      <w:rFonts w:ascii="仿宋" w:hAnsi="仿宋" w:eastAsia="仿宋" w:cs="仿宋"/>
    </w:rPr>
  </w:style>
  <w:style w:type="character" w:customStyle="1" w:styleId="26">
    <w:name w:val="d正文 Char Char"/>
    <w:link w:val="27"/>
    <w:qFormat/>
    <w:uiPriority w:val="0"/>
    <w:rPr>
      <w:rFonts w:ascii="仿宋_GB2312" w:hAnsi="仿宋_GB2312"/>
      <w:bCs/>
      <w:sz w:val="24"/>
      <w:szCs w:val="24"/>
    </w:rPr>
  </w:style>
  <w:style w:type="paragraph" w:customStyle="1" w:styleId="27">
    <w:name w:val="d正文"/>
    <w:basedOn w:val="1"/>
    <w:link w:val="26"/>
    <w:qFormat/>
    <w:uiPriority w:val="0"/>
    <w:pPr>
      <w:adjustRightInd w:val="0"/>
      <w:snapToGrid w:val="0"/>
      <w:spacing w:line="360" w:lineRule="auto"/>
      <w:ind w:firstLine="480" w:firstLineChars="200"/>
    </w:pPr>
    <w:rPr>
      <w:rFonts w:ascii="仿宋_GB2312" w:hAnsi="仿宋_GB2312" w:cs="宋体"/>
      <w:bCs/>
      <w:kern w:val="0"/>
      <w:sz w:val="24"/>
      <w:szCs w:val="24"/>
    </w:rPr>
  </w:style>
  <w:style w:type="paragraph" w:styleId="28">
    <w:name w:val="List Paragraph"/>
    <w:basedOn w:val="1"/>
    <w:qFormat/>
    <w:uiPriority w:val="34"/>
    <w:pPr>
      <w:ind w:firstLine="420" w:firstLineChars="200"/>
    </w:pPr>
  </w:style>
  <w:style w:type="character" w:customStyle="1" w:styleId="29">
    <w:name w:val="font21"/>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9680</Words>
  <Characters>9864</Characters>
  <Lines>91</Lines>
  <Paragraphs>25</Paragraphs>
  <TotalTime>11</TotalTime>
  <ScaleCrop>false</ScaleCrop>
  <LinksUpToDate>false</LinksUpToDate>
  <CharactersWithSpaces>10170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2024-05-01T15:12:00Z</dcterms:created>
  <dc:creator>林姿珊</dc:creator>
  <cp:lastModifiedBy>hss</cp:lastModifiedBy>
  <dcterms:modified xsi:type="dcterms:W3CDTF">2024-05-30T03:16:21Z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F02504A8B5FFD7A283734466C0B82483</vt:lpwstr>
  </property>
</Properties>
</file>