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_GBK" w:hAnsi="方正小标宋_GBK" w:eastAsia="方正小标宋_GBK" w:cs="方正小标宋_GBK"/>
          <w:sz w:val="44"/>
        </w:rPr>
      </w:pPr>
    </w:p>
    <w:p>
      <w:pPr>
        <w:spacing w:line="580" w:lineRule="exact"/>
        <w:jc w:val="center"/>
        <w:rPr>
          <w:rFonts w:ascii="方正小标宋_GBK" w:hAnsi="方正小标宋_GBK" w:eastAsia="方正小标宋_GBK" w:cs="方正小标宋_GBK"/>
          <w:sz w:val="44"/>
        </w:rPr>
      </w:pPr>
      <w:bookmarkStart w:id="0" w:name="_GoBack"/>
      <w:r>
        <w:rPr>
          <w:rFonts w:hint="eastAsia" w:ascii="方正小标宋_GBK" w:hAnsi="方正小标宋_GBK" w:eastAsia="方正小标宋_GBK" w:cs="方正小标宋_GBK"/>
          <w:sz w:val="44"/>
        </w:rPr>
        <w:t>市政务服务数据管理局关于采购</w:t>
      </w:r>
    </w:p>
    <w:p>
      <w:pPr>
        <w:spacing w:line="58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2021年局机关网络安全应急演练服务</w:t>
      </w:r>
    </w:p>
    <w:p>
      <w:pPr>
        <w:spacing w:line="58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的通知</w:t>
      </w:r>
      <w:bookmarkEnd w:id="0"/>
    </w:p>
    <w:p>
      <w:pPr>
        <w:spacing w:line="580" w:lineRule="exact"/>
        <w:jc w:val="center"/>
        <w:rPr>
          <w:rFonts w:ascii="仿宋_GB2312" w:hAnsi="仿宋_GB2312" w:eastAsia="仿宋_GB2312"/>
          <w:sz w:val="32"/>
        </w:rPr>
      </w:pPr>
    </w:p>
    <w:p>
      <w:pPr>
        <w:spacing w:line="560" w:lineRule="exact"/>
        <w:ind w:firstLine="640" w:firstLineChars="200"/>
        <w:jc w:val="left"/>
        <w:rPr>
          <w:rFonts w:ascii="黑体" w:hAnsi="黑体" w:eastAsia="黑体"/>
          <w:sz w:val="32"/>
        </w:rPr>
      </w:pPr>
      <w:r>
        <w:rPr>
          <w:rFonts w:hint="eastAsia" w:ascii="黑体" w:hAnsi="黑体" w:eastAsia="黑体"/>
          <w:sz w:val="32"/>
        </w:rPr>
        <w:t>一、采购项目概况</w:t>
      </w:r>
    </w:p>
    <w:p>
      <w:pPr>
        <w:spacing w:line="560" w:lineRule="exact"/>
        <w:ind w:firstLine="640" w:firstLineChars="200"/>
        <w:jc w:val="left"/>
        <w:rPr>
          <w:rFonts w:ascii="楷体_GB2312" w:hAnsi="仿宋_GB2312" w:eastAsia="楷体_GB2312"/>
          <w:sz w:val="32"/>
        </w:rPr>
      </w:pPr>
      <w:r>
        <w:rPr>
          <w:rFonts w:hint="eastAsia" w:ascii="楷体_GB2312" w:hAnsi="仿宋_GB2312" w:eastAsia="楷体_GB2312"/>
          <w:sz w:val="32"/>
        </w:rPr>
        <w:t>（一）项目背景</w:t>
      </w:r>
    </w:p>
    <w:p>
      <w:pPr>
        <w:spacing w:line="560" w:lineRule="exact"/>
        <w:ind w:firstLine="640" w:firstLineChars="200"/>
        <w:jc w:val="left"/>
        <w:rPr>
          <w:rFonts w:ascii="仿宋_GB2312" w:hAnsi="仿宋_GB2312" w:eastAsia="仿宋_GB2312"/>
          <w:sz w:val="32"/>
        </w:rPr>
      </w:pPr>
      <w:r>
        <w:rPr>
          <w:rFonts w:hint="eastAsia" w:ascii="仿宋_GB2312" w:hAnsi="宋体" w:eastAsia="仿宋_GB2312"/>
          <w:sz w:val="32"/>
          <w:szCs w:val="32"/>
        </w:rPr>
        <w:t>为检验我局局机关网络安全突发事件应急处置能力，不断提高全局网络安全防护联动水平，依据</w:t>
      </w:r>
      <w:r>
        <w:rPr>
          <w:rFonts w:hint="eastAsia" w:ascii="仿宋_GB2312" w:hAnsi="仿宋_GB2312" w:eastAsia="仿宋_GB2312"/>
          <w:sz w:val="32"/>
        </w:rPr>
        <w:t xml:space="preserve"> </w:t>
      </w:r>
      <w:r>
        <w:rPr>
          <w:rFonts w:ascii="仿宋_GB2312" w:hAnsi="仿宋" w:eastAsia="仿宋_GB2312"/>
          <w:sz w:val="32"/>
          <w:szCs w:val="32"/>
        </w:rPr>
        <w:t>《中华人民共和国突发事件应对法》《国家突发公共事件总体应急预案》《国家网络与信息安全事件应急预案》《广东省网络与信息安全事件应急预案》</w:t>
      </w:r>
      <w:r>
        <w:rPr>
          <w:rFonts w:hint="eastAsia" w:ascii="仿宋_GB2312" w:hAnsi="仿宋" w:eastAsia="仿宋_GB2312"/>
          <w:sz w:val="32"/>
          <w:szCs w:val="32"/>
        </w:rPr>
        <w:t>《深圳市网络安全事件应急预案</w:t>
      </w:r>
      <w:r>
        <w:rPr>
          <w:rFonts w:ascii="仿宋_GB2312" w:hAnsi="仿宋" w:eastAsia="仿宋_GB2312"/>
          <w:sz w:val="32"/>
          <w:szCs w:val="32"/>
        </w:rPr>
        <w:t>》《深圳市突发事件总体应急预案》</w:t>
      </w:r>
      <w:r>
        <w:rPr>
          <w:rFonts w:hint="eastAsia" w:ascii="仿宋_GB2312" w:hAnsi="仿宋" w:eastAsia="仿宋_GB2312"/>
          <w:sz w:val="32"/>
          <w:szCs w:val="32"/>
        </w:rPr>
        <w:t>等文件要求，拟组织开展本年度应急演练，现需采购2021年深圳市政务服务数据管理局网络安全事件应急演练服务。</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（二）项目目标</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1</w:t>
      </w:r>
      <w:r>
        <w:rPr>
          <w:rFonts w:ascii="仿宋_GB2312" w:hAnsi="仿宋_GB2312" w:eastAsia="仿宋_GB2312"/>
          <w:sz w:val="32"/>
        </w:rPr>
        <w:t>.</w:t>
      </w:r>
      <w:r>
        <w:rPr>
          <w:rFonts w:hint="eastAsia" w:ascii="仿宋_GB2312" w:hAnsi="仿宋_GB2312" w:eastAsia="仿宋_GB2312"/>
          <w:sz w:val="32"/>
        </w:rPr>
        <w:t>检验各处室应对突发网络安全事件的应急处置和协同配合能力。</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2</w:t>
      </w:r>
      <w:r>
        <w:rPr>
          <w:rFonts w:ascii="仿宋_GB2312" w:hAnsi="仿宋_GB2312" w:eastAsia="仿宋_GB2312"/>
          <w:sz w:val="32"/>
        </w:rPr>
        <w:t>.</w:t>
      </w:r>
      <w:r>
        <w:rPr>
          <w:rFonts w:hint="eastAsia" w:ascii="仿宋_GB2312" w:hAnsi="仿宋_GB2312" w:eastAsia="仿宋_GB2312"/>
          <w:sz w:val="32"/>
        </w:rPr>
        <w:t>进一步提升各处室防范突发网络安全事件的责任意识。</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（三）演练内容和要求</w:t>
      </w:r>
    </w:p>
    <w:p>
      <w:pPr>
        <w:spacing w:line="560" w:lineRule="exact"/>
        <w:ind w:firstLine="640" w:firstLineChars="200"/>
        <w:rPr>
          <w:rFonts w:ascii="仿宋_GB2312" w:eastAsia="仿宋_GB2312"/>
          <w:sz w:val="32"/>
        </w:rPr>
      </w:pPr>
      <w:r>
        <w:rPr>
          <w:rFonts w:hint="eastAsia" w:ascii="仿宋_GB2312" w:hAnsi="仿宋_GB2312" w:eastAsia="仿宋_GB2312"/>
          <w:sz w:val="32"/>
        </w:rPr>
        <w:t>摸底局机关相关信息系统网络防护能力，编制应急演练脚本</w:t>
      </w:r>
      <w:r>
        <w:rPr>
          <w:rFonts w:hint="eastAsia" w:ascii="仿宋_GB2312" w:hAnsi="仿宋_GB2312" w:eastAsia="仿宋_GB2312"/>
          <w:sz w:val="32"/>
          <w:highlight w:val="none"/>
        </w:rPr>
        <w:t>，开展有关</w:t>
      </w:r>
      <w:r>
        <w:rPr>
          <w:rFonts w:hint="eastAsia" w:ascii="仿宋_GB2312" w:hAnsi="仿宋" w:eastAsia="仿宋_GB2312"/>
          <w:sz w:val="32"/>
          <w:szCs w:val="32"/>
          <w:highlight w:val="none"/>
        </w:rPr>
        <w:t>信息系统</w:t>
      </w:r>
      <w:r>
        <w:rPr>
          <w:rFonts w:hint="eastAsia" w:ascii="仿宋_GB2312" w:hAnsi="仿宋_GB2312" w:eastAsia="仿宋_GB2312"/>
          <w:sz w:val="32"/>
          <w:highlight w:val="none"/>
        </w:rPr>
        <w:t>网络安全事件应急演练。演练应包括</w:t>
      </w:r>
      <w:r>
        <w:rPr>
          <w:rFonts w:hint="eastAsia" w:ascii="仿宋_GB2312" w:eastAsia="仿宋_GB2312"/>
          <w:color w:val="000000" w:themeColor="text1"/>
          <w:sz w:val="32"/>
          <w:highlight w:val="none"/>
          <w14:textFill>
            <w14:solidFill>
              <w14:schemeClr w14:val="tx1"/>
            </w14:solidFill>
          </w14:textFill>
        </w:rPr>
        <w:t>网络安全突发事件先期处置、事件上报、分级响应等应急工作开展情况；演练应</w:t>
      </w:r>
      <w:r>
        <w:rPr>
          <w:rFonts w:hint="eastAsia" w:ascii="仿宋_GB2312" w:eastAsia="仿宋_GB2312"/>
          <w:color w:val="000000" w:themeColor="text1"/>
          <w:sz w:val="32"/>
          <w14:textFill>
            <w14:solidFill>
              <w14:schemeClr w14:val="tx1"/>
            </w14:solidFill>
          </w14:textFill>
        </w:rPr>
        <w:t>安排技术团队和拍摄团队，</w:t>
      </w:r>
      <w:r>
        <w:rPr>
          <w:rFonts w:hint="eastAsia" w:ascii="仿宋_GB2312" w:eastAsia="仿宋_GB2312"/>
          <w:sz w:val="32"/>
        </w:rPr>
        <w:t>全方位反映演练实施过程，主要包括演练实际开始与结束时间、演练过程控制情况、各项演练活动中参演人员的表现、意外情况及其处置等内容；演练应</w:t>
      </w:r>
      <w:r>
        <w:rPr>
          <w:rFonts w:hint="eastAsia" w:ascii="仿宋_GB2312" w:eastAsia="仿宋_GB2312"/>
          <w:color w:val="000000" w:themeColor="text1"/>
          <w:sz w:val="32"/>
          <w:szCs w:val="32"/>
          <w14:textFill>
            <w14:solidFill>
              <w14:schemeClr w14:val="tx1"/>
            </w14:solidFill>
          </w14:textFill>
        </w:rPr>
        <w:t>做好相关协调和处置文字记录。演练要做好总结会议的统筹协调工作，协助完成演练问题的总结。</w:t>
      </w:r>
    </w:p>
    <w:p>
      <w:pPr>
        <w:spacing w:line="560" w:lineRule="exact"/>
        <w:ind w:firstLine="640" w:firstLineChars="200"/>
        <w:jc w:val="left"/>
        <w:rPr>
          <w:rFonts w:ascii="楷体_GB2312" w:hAnsi="仿宋_GB2312" w:eastAsia="楷体_GB2312"/>
          <w:sz w:val="32"/>
        </w:rPr>
      </w:pPr>
      <w:r>
        <w:rPr>
          <w:rFonts w:hint="eastAsia" w:ascii="楷体_GB2312" w:hAnsi="仿宋_GB2312" w:eastAsia="楷体_GB2312"/>
          <w:sz w:val="32"/>
        </w:rPr>
        <w:t>（四）交付要求</w:t>
      </w:r>
    </w:p>
    <w:p>
      <w:pPr>
        <w:spacing w:line="560" w:lineRule="exact"/>
        <w:ind w:firstLine="640" w:firstLineChars="200"/>
        <w:jc w:val="left"/>
        <w:rPr>
          <w:rFonts w:eastAsia="仿宋_GB2312"/>
          <w:sz w:val="32"/>
        </w:rPr>
      </w:pPr>
      <w:r>
        <w:rPr>
          <w:rFonts w:ascii="仿宋_GB2312" w:hAnsi="仿宋_GB2312" w:eastAsia="仿宋_GB2312"/>
          <w:sz w:val="32"/>
        </w:rPr>
        <w:t>本次服务</w:t>
      </w:r>
      <w:r>
        <w:rPr>
          <w:rFonts w:hint="eastAsia" w:ascii="仿宋_GB2312" w:hAnsi="仿宋_GB2312" w:eastAsia="仿宋_GB2312"/>
          <w:sz w:val="32"/>
        </w:rPr>
        <w:t>，中标方需提交的</w:t>
      </w:r>
      <w:r>
        <w:rPr>
          <w:rFonts w:ascii="仿宋_GB2312" w:hAnsi="仿宋_GB2312" w:eastAsia="仿宋_GB2312"/>
          <w:sz w:val="32"/>
        </w:rPr>
        <w:t>主要</w:t>
      </w:r>
      <w:r>
        <w:rPr>
          <w:rFonts w:hint="eastAsia" w:ascii="仿宋_GB2312" w:hAnsi="仿宋_GB2312" w:eastAsia="仿宋_GB2312"/>
          <w:sz w:val="32"/>
        </w:rPr>
        <w:t>成果</w:t>
      </w:r>
      <w:r>
        <w:rPr>
          <w:rFonts w:ascii="仿宋_GB2312" w:hAnsi="仿宋_GB2312" w:eastAsia="仿宋_GB2312"/>
          <w:sz w:val="32"/>
        </w:rPr>
        <w:t>包括</w:t>
      </w:r>
      <w:r>
        <w:rPr>
          <w:rFonts w:eastAsia="仿宋_GB2312"/>
          <w:sz w:val="32"/>
        </w:rPr>
        <w:t>应急演练方案</w:t>
      </w:r>
      <w:r>
        <w:rPr>
          <w:rFonts w:hint="eastAsia" w:eastAsia="仿宋_GB2312"/>
          <w:sz w:val="32"/>
        </w:rPr>
        <w:t>、演练脚本、</w:t>
      </w:r>
      <w:r>
        <w:rPr>
          <w:rFonts w:eastAsia="仿宋_GB2312"/>
          <w:sz w:val="32"/>
        </w:rPr>
        <w:t>演练实施</w:t>
      </w:r>
      <w:r>
        <w:rPr>
          <w:rFonts w:hint="eastAsia" w:eastAsia="仿宋_GB2312"/>
          <w:sz w:val="32"/>
        </w:rPr>
        <w:t>、</w:t>
      </w:r>
      <w:r>
        <w:rPr>
          <w:rFonts w:eastAsia="仿宋_GB2312"/>
          <w:sz w:val="32"/>
        </w:rPr>
        <w:t>演练总结</w:t>
      </w:r>
      <w:r>
        <w:rPr>
          <w:rFonts w:hint="eastAsia" w:eastAsia="仿宋_GB2312"/>
          <w:sz w:val="32"/>
        </w:rPr>
        <w:t>、</w:t>
      </w:r>
      <w:r>
        <w:rPr>
          <w:rFonts w:eastAsia="仿宋_GB2312"/>
          <w:sz w:val="32"/>
        </w:rPr>
        <w:t>演练视频</w:t>
      </w:r>
      <w:r>
        <w:rPr>
          <w:rFonts w:hint="eastAsia" w:eastAsia="仿宋_GB2312"/>
          <w:sz w:val="32"/>
        </w:rPr>
        <w:t>、演练照片等。</w:t>
      </w:r>
    </w:p>
    <w:p>
      <w:pPr>
        <w:spacing w:line="560" w:lineRule="exact"/>
        <w:ind w:firstLine="640" w:firstLineChars="200"/>
        <w:jc w:val="left"/>
        <w:outlineLvl w:val="0"/>
        <w:rPr>
          <w:rFonts w:eastAsia="仿宋_GB2312"/>
          <w:b/>
          <w:bCs/>
          <w:sz w:val="32"/>
        </w:rPr>
      </w:pPr>
      <w:r>
        <w:rPr>
          <w:rFonts w:ascii="楷体_GB2312" w:eastAsia="楷体_GB2312"/>
          <w:bCs/>
          <w:sz w:val="32"/>
        </w:rPr>
        <w:t>（五）预算金额</w:t>
      </w:r>
    </w:p>
    <w:p>
      <w:pPr>
        <w:spacing w:line="560" w:lineRule="exact"/>
        <w:ind w:firstLine="640" w:firstLineChars="200"/>
        <w:jc w:val="left"/>
        <w:rPr>
          <w:rFonts w:ascii="仿宋_GB2312" w:hAnsi="仿宋_GB2312" w:eastAsia="仿宋_GB2312"/>
          <w:sz w:val="32"/>
        </w:rPr>
      </w:pPr>
      <w:r>
        <w:rPr>
          <w:rFonts w:hint="eastAsia" w:ascii="仿宋_GB2312" w:eastAsia="仿宋_GB2312"/>
          <w:bCs/>
          <w:sz w:val="32"/>
        </w:rPr>
        <w:t>本服务项目采购预算为</w:t>
      </w:r>
      <w:r>
        <w:rPr>
          <w:rFonts w:hint="eastAsia" w:ascii="仿宋_GB2312" w:hAnsi="仿宋_GB2312" w:eastAsia="仿宋_GB2312"/>
          <w:sz w:val="32"/>
        </w:rPr>
        <w:t>￥200,000元（大写：人民币贰拾万元整）。</w:t>
      </w:r>
    </w:p>
    <w:p>
      <w:pPr>
        <w:spacing w:line="560" w:lineRule="exact"/>
        <w:ind w:firstLine="640" w:firstLineChars="200"/>
        <w:jc w:val="left"/>
        <w:rPr>
          <w:rFonts w:ascii="黑体" w:hAnsi="黑体" w:eastAsia="黑体"/>
          <w:sz w:val="32"/>
        </w:rPr>
      </w:pPr>
      <w:r>
        <w:rPr>
          <w:rFonts w:hint="eastAsia" w:ascii="黑体" w:hAnsi="黑体" w:eastAsia="黑体"/>
          <w:sz w:val="32"/>
        </w:rPr>
        <w:t>二、项目管理和服务要求</w:t>
      </w:r>
    </w:p>
    <w:p>
      <w:pPr>
        <w:spacing w:line="560" w:lineRule="exact"/>
        <w:ind w:firstLine="640" w:firstLineChars="200"/>
        <w:rPr>
          <w:rFonts w:eastAsia="仿宋_GB2312"/>
          <w:sz w:val="32"/>
          <w:highlight w:val="none"/>
        </w:rPr>
      </w:pPr>
      <w:r>
        <w:rPr>
          <w:rFonts w:eastAsia="仿宋_GB2312"/>
          <w:sz w:val="32"/>
        </w:rPr>
        <w:t>（一）</w:t>
      </w:r>
      <w:r>
        <w:rPr>
          <w:rFonts w:hint="eastAsia" w:eastAsia="仿宋_GB2312"/>
          <w:sz w:val="32"/>
        </w:rPr>
        <w:t>中标方应</w:t>
      </w:r>
      <w:r>
        <w:rPr>
          <w:rFonts w:eastAsia="仿宋_GB2312"/>
          <w:sz w:val="32"/>
        </w:rPr>
        <w:t>按</w:t>
      </w:r>
      <w:r>
        <w:rPr>
          <w:rFonts w:eastAsia="仿宋_GB2312"/>
          <w:sz w:val="32"/>
          <w:highlight w:val="none"/>
        </w:rPr>
        <w:t>照双方商定的进度计划完成各项工作内容（包括文件编制、演练实施、</w:t>
      </w:r>
      <w:r>
        <w:rPr>
          <w:rFonts w:hint="eastAsia" w:eastAsia="仿宋_GB2312"/>
          <w:sz w:val="32"/>
          <w:highlight w:val="none"/>
        </w:rPr>
        <w:t>专家评审</w:t>
      </w:r>
      <w:r>
        <w:rPr>
          <w:rFonts w:eastAsia="仿宋_GB2312"/>
          <w:sz w:val="32"/>
          <w:highlight w:val="none"/>
        </w:rPr>
        <w:t>），并</w:t>
      </w:r>
      <w:r>
        <w:rPr>
          <w:rFonts w:hint="eastAsia" w:eastAsia="仿宋_GB2312"/>
          <w:sz w:val="32"/>
          <w:highlight w:val="none"/>
        </w:rPr>
        <w:t>根据招标单位</w:t>
      </w:r>
      <w:r>
        <w:rPr>
          <w:rFonts w:eastAsia="仿宋_GB2312"/>
          <w:sz w:val="32"/>
          <w:highlight w:val="none"/>
        </w:rPr>
        <w:t>及</w:t>
      </w:r>
      <w:r>
        <w:rPr>
          <w:rFonts w:hint="eastAsia" w:eastAsia="仿宋_GB2312"/>
          <w:sz w:val="32"/>
          <w:highlight w:val="none"/>
        </w:rPr>
        <w:t>评审</w:t>
      </w:r>
      <w:r>
        <w:rPr>
          <w:rFonts w:eastAsia="仿宋_GB2312"/>
          <w:sz w:val="32"/>
          <w:highlight w:val="none"/>
        </w:rPr>
        <w:t>专家提出的要求修改和完善各阶段工作</w:t>
      </w:r>
      <w:r>
        <w:rPr>
          <w:rFonts w:hint="eastAsia" w:eastAsia="仿宋_GB2312"/>
          <w:sz w:val="32"/>
          <w:highlight w:val="none"/>
        </w:rPr>
        <w:t>及有关视频、文字材料</w:t>
      </w:r>
      <w:r>
        <w:rPr>
          <w:rFonts w:eastAsia="仿宋_GB2312"/>
          <w:sz w:val="32"/>
          <w:highlight w:val="none"/>
        </w:rPr>
        <w:t>。</w:t>
      </w:r>
    </w:p>
    <w:p>
      <w:pPr>
        <w:spacing w:line="560" w:lineRule="exact"/>
        <w:ind w:firstLine="640" w:firstLineChars="200"/>
        <w:jc w:val="left"/>
        <w:rPr>
          <w:rFonts w:ascii="仿宋_GB2312" w:hAnsi="仿宋_GB2312" w:eastAsia="仿宋_GB2312"/>
          <w:sz w:val="32"/>
        </w:rPr>
      </w:pPr>
      <w:r>
        <w:rPr>
          <w:rFonts w:eastAsia="仿宋_GB2312"/>
          <w:sz w:val="32"/>
        </w:rPr>
        <w:t>（二）中标</w:t>
      </w:r>
      <w:r>
        <w:rPr>
          <w:rFonts w:hint="eastAsia" w:eastAsia="仿宋_GB2312"/>
          <w:sz w:val="32"/>
        </w:rPr>
        <w:t>方</w:t>
      </w:r>
      <w:r>
        <w:rPr>
          <w:rFonts w:eastAsia="仿宋_GB2312"/>
          <w:sz w:val="32"/>
        </w:rPr>
        <w:t>应</w:t>
      </w:r>
      <w:r>
        <w:rPr>
          <w:rFonts w:hint="eastAsia" w:eastAsia="仿宋_GB2312"/>
          <w:sz w:val="32"/>
        </w:rPr>
        <w:t>提供</w:t>
      </w:r>
      <w:r>
        <w:rPr>
          <w:rFonts w:eastAsia="仿宋_GB2312"/>
          <w:sz w:val="32"/>
        </w:rPr>
        <w:t>按时完成本服务项目所需的人力及其它资源保障</w:t>
      </w:r>
      <w:r>
        <w:rPr>
          <w:rFonts w:hint="eastAsia" w:eastAsia="仿宋_GB2312"/>
          <w:sz w:val="32"/>
        </w:rPr>
        <w:t>，并</w:t>
      </w:r>
      <w:r>
        <w:rPr>
          <w:rFonts w:eastAsia="仿宋_GB2312"/>
          <w:sz w:val="32"/>
        </w:rPr>
        <w:t>根据项目进度要求配备</w:t>
      </w:r>
      <w:r>
        <w:rPr>
          <w:rFonts w:hint="eastAsia" w:eastAsia="仿宋_GB2312"/>
          <w:sz w:val="32"/>
        </w:rPr>
        <w:t>相关</w:t>
      </w:r>
      <w:r>
        <w:rPr>
          <w:rFonts w:eastAsia="仿宋_GB2312"/>
          <w:sz w:val="32"/>
        </w:rPr>
        <w:t>工作人员。</w:t>
      </w:r>
    </w:p>
    <w:p>
      <w:pPr>
        <w:spacing w:line="560" w:lineRule="exact"/>
        <w:jc w:val="left"/>
        <w:rPr>
          <w:rFonts w:ascii="黑体" w:hAnsi="黑体" w:eastAsia="黑体"/>
          <w:sz w:val="32"/>
        </w:rPr>
      </w:pPr>
      <w:r>
        <w:rPr>
          <w:rFonts w:hint="eastAsia" w:ascii="黑体" w:hAnsi="黑体" w:eastAsia="黑体"/>
          <w:sz w:val="32"/>
        </w:rPr>
        <w:t>　　三、供应商资格要求</w:t>
      </w:r>
    </w:p>
    <w:p>
      <w:pPr>
        <w:spacing w:line="560" w:lineRule="exact"/>
        <w:ind w:firstLine="640" w:firstLineChars="200"/>
        <w:jc w:val="left"/>
        <w:rPr>
          <w:rFonts w:ascii="仿宋_GB2312" w:hAnsi="仿宋_GB2312" w:eastAsia="仿宋_GB2312"/>
          <w:sz w:val="32"/>
        </w:rPr>
      </w:pPr>
      <w:r>
        <w:rPr>
          <w:rFonts w:ascii="仿宋_GB2312" w:hAnsi="仿宋_GB2312" w:eastAsia="仿宋_GB2312"/>
          <w:sz w:val="32"/>
        </w:rPr>
        <w:t>1</w:t>
      </w:r>
      <w:r>
        <w:rPr>
          <w:rFonts w:hint="eastAsia" w:ascii="仿宋_GB2312" w:hAnsi="仿宋_GB2312" w:eastAsia="仿宋_GB2312"/>
          <w:sz w:val="32"/>
        </w:rPr>
        <w:t>.投标人必须是在中华人民共和国国内注册的具有合法经营资格的国内独立法人（提供在中华人民共和国境内注册的法人或其他组织的营业执照或事业单位法人证书或社会团体法人登记证书扫描件，如投标人为自然人的提供自然人身份证明扫描件）。</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w:t>
      </w:r>
      <w:r>
        <w:rPr>
          <w:rFonts w:ascii="仿宋_GB2312" w:hAnsi="仿宋_GB2312" w:eastAsia="仿宋_GB2312"/>
          <w:sz w:val="32"/>
        </w:rPr>
        <w:t>.</w:t>
      </w:r>
      <w:r>
        <w:rPr>
          <w:rFonts w:hint="eastAsia" w:ascii="仿宋_GB2312" w:hAnsi="仿宋_GB2312" w:eastAsia="仿宋_GB2312"/>
          <w:sz w:val="32"/>
        </w:rPr>
        <w:t>供应商未被列入失信被执行人、重大税收违法案件当事人名单、政府采购严重违法失信行为记录名单。</w:t>
      </w:r>
    </w:p>
    <w:p>
      <w:pPr>
        <w:spacing w:line="560" w:lineRule="exact"/>
        <w:ind w:firstLine="640" w:firstLineChars="200"/>
        <w:jc w:val="left"/>
        <w:rPr>
          <w:rFonts w:hint="eastAsia" w:ascii="仿宋_GB2312" w:hAnsi="仿宋_GB2312" w:eastAsia="仿宋_GB2312"/>
          <w:sz w:val="32"/>
        </w:rPr>
      </w:pPr>
      <w:r>
        <w:rPr>
          <w:rFonts w:ascii="仿宋_GB2312" w:hAnsi="仿宋_GB2312" w:eastAsia="仿宋_GB2312"/>
          <w:sz w:val="32"/>
        </w:rPr>
        <w:t>3</w:t>
      </w:r>
      <w:r>
        <w:rPr>
          <w:rFonts w:hint="eastAsia" w:ascii="仿宋_GB2312" w:hAnsi="仿宋_GB2312" w:eastAsia="仿宋_GB2312"/>
          <w:sz w:val="32"/>
        </w:rPr>
        <w:t>.本项目不接受联合体投标人。</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4、投标人须提供纸质投标文件和纸质投标文件的电子版等投标资料。</w:t>
      </w:r>
    </w:p>
    <w:p>
      <w:pPr>
        <w:spacing w:line="560" w:lineRule="exact"/>
        <w:ind w:firstLine="640" w:firstLineChars="200"/>
        <w:jc w:val="left"/>
        <w:rPr>
          <w:rFonts w:ascii="黑体" w:hAnsi="黑体" w:eastAsia="黑体"/>
          <w:sz w:val="32"/>
          <w:highlight w:val="none"/>
        </w:rPr>
      </w:pPr>
      <w:r>
        <w:rPr>
          <w:rFonts w:hint="eastAsia" w:ascii="黑体" w:hAnsi="黑体" w:eastAsia="黑体"/>
          <w:sz w:val="32"/>
          <w:highlight w:val="none"/>
        </w:rPr>
        <w:t>四、评标定标方法</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本项目采用综合评分法，评分要素和具体分值如下：</w:t>
      </w:r>
    </w:p>
    <w:tbl>
      <w:tblPr>
        <w:tblStyle w:val="8"/>
        <w:tblW w:w="8613" w:type="dxa"/>
        <w:tblInd w:w="0" w:type="dxa"/>
        <w:tblLayout w:type="fixed"/>
        <w:tblCellMar>
          <w:top w:w="0" w:type="dxa"/>
          <w:left w:w="0" w:type="dxa"/>
          <w:bottom w:w="0" w:type="dxa"/>
          <w:right w:w="0" w:type="dxa"/>
        </w:tblCellMar>
      </w:tblPr>
      <w:tblGrid>
        <w:gridCol w:w="1177"/>
        <w:gridCol w:w="818"/>
        <w:gridCol w:w="1461"/>
        <w:gridCol w:w="5157"/>
      </w:tblGrid>
      <w:tr>
        <w:tblPrEx>
          <w:tblLayout w:type="fixed"/>
          <w:tblCellMar>
            <w:top w:w="0" w:type="dxa"/>
            <w:left w:w="0" w:type="dxa"/>
            <w:bottom w:w="0" w:type="dxa"/>
            <w:right w:w="0" w:type="dxa"/>
          </w:tblCellMar>
        </w:tblPrEx>
        <w:tc>
          <w:tcPr>
            <w:tcW w:w="11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评分因素</w:t>
            </w:r>
          </w:p>
        </w:tc>
        <w:tc>
          <w:tcPr>
            <w:tcW w:w="8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权重</w:t>
            </w:r>
          </w:p>
        </w:tc>
        <w:tc>
          <w:tcPr>
            <w:tcW w:w="14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评分项目</w:t>
            </w:r>
          </w:p>
        </w:tc>
        <w:tc>
          <w:tcPr>
            <w:tcW w:w="51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评分标准</w:t>
            </w:r>
          </w:p>
        </w:tc>
      </w:tr>
      <w:tr>
        <w:tblPrEx>
          <w:tblLayout w:type="fixed"/>
          <w:tblCellMar>
            <w:top w:w="0" w:type="dxa"/>
            <w:left w:w="0" w:type="dxa"/>
            <w:bottom w:w="0" w:type="dxa"/>
            <w:right w:w="0" w:type="dxa"/>
          </w:tblCellMar>
        </w:tblPrEx>
        <w:trPr>
          <w:trHeight w:val="2078" w:hRule="atLeast"/>
        </w:trPr>
        <w:tc>
          <w:tcPr>
            <w:tcW w:w="117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报价部分（A）</w:t>
            </w:r>
          </w:p>
        </w:tc>
        <w:tc>
          <w:tcPr>
            <w:tcW w:w="81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0%</w:t>
            </w: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投标报价</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得分计算</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（100分）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报价得分按照低价优先法计算，即满足招标文件要求且投标报价最低的投标人报价为评标基准价，其价格分为满分，其他投标人的价格分统一按照下列公式计算：</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报价得分=（评标基准价/投标报价）*100</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注：投标报价超采购预算的，该项不得分</w:t>
            </w:r>
          </w:p>
        </w:tc>
      </w:tr>
      <w:tr>
        <w:tblPrEx>
          <w:tblLayout w:type="fixed"/>
          <w:tblCellMar>
            <w:top w:w="0" w:type="dxa"/>
            <w:left w:w="0" w:type="dxa"/>
            <w:bottom w:w="0" w:type="dxa"/>
            <w:right w:w="0" w:type="dxa"/>
          </w:tblCellMar>
        </w:tblPrEx>
        <w:trPr>
          <w:trHeight w:val="415"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661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报价部分得分（A）=报价得分*</w:t>
            </w:r>
            <w:r>
              <w:rPr>
                <w:rFonts w:ascii="仿宋_GB2312" w:hAnsi="仿宋_GB2312" w:eastAsia="仿宋_GB2312"/>
                <w:sz w:val="24"/>
                <w:szCs w:val="24"/>
              </w:rPr>
              <w:t>4</w:t>
            </w:r>
            <w:r>
              <w:rPr>
                <w:rFonts w:hint="eastAsia" w:ascii="仿宋_GB2312" w:hAnsi="仿宋_GB2312" w:eastAsia="仿宋_GB2312"/>
                <w:sz w:val="24"/>
                <w:szCs w:val="24"/>
              </w:rPr>
              <w:t>0%</w:t>
            </w:r>
          </w:p>
        </w:tc>
      </w:tr>
      <w:tr>
        <w:tblPrEx>
          <w:tblLayout w:type="fixed"/>
          <w:tblCellMar>
            <w:top w:w="0" w:type="dxa"/>
            <w:left w:w="0" w:type="dxa"/>
            <w:bottom w:w="0" w:type="dxa"/>
            <w:right w:w="0" w:type="dxa"/>
          </w:tblCellMar>
        </w:tblPrEx>
        <w:trPr>
          <w:trHeight w:val="1239" w:hRule="atLeast"/>
        </w:trPr>
        <w:tc>
          <w:tcPr>
            <w:tcW w:w="117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技术部分（B）</w:t>
            </w:r>
          </w:p>
        </w:tc>
        <w:tc>
          <w:tcPr>
            <w:tcW w:w="81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0%</w:t>
            </w: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B1.实施方案（35分）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根据招标文件的需求和投标文件响应情况，对项目实施方案进行横向比较，分档评分：优100%；良80%；中60%；差30%。</w:t>
            </w:r>
          </w:p>
        </w:tc>
      </w:tr>
      <w:tr>
        <w:tblPrEx>
          <w:tblLayout w:type="fixed"/>
          <w:tblCellMar>
            <w:top w:w="0" w:type="dxa"/>
            <w:left w:w="0" w:type="dxa"/>
            <w:bottom w:w="0" w:type="dxa"/>
            <w:right w:w="0" w:type="dxa"/>
          </w:tblCellMar>
        </w:tblPrEx>
        <w:trPr>
          <w:trHeight w:val="821"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B2.项目重点难点分析、应对措施及相关的合理化建议（</w:t>
            </w:r>
            <w:r>
              <w:rPr>
                <w:rFonts w:ascii="仿宋_GB2312" w:hAnsi="仿宋_GB2312" w:eastAsia="仿宋_GB2312"/>
                <w:sz w:val="24"/>
                <w:szCs w:val="24"/>
              </w:rPr>
              <w:t>20</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根据招标文件的需求和投标文件响应情况，对项目重点难点分析、应对措施及相关的合理化建议进行横向比较，分档评分：优100%；良80%；中60%；差30%。</w:t>
            </w:r>
          </w:p>
        </w:tc>
      </w:tr>
      <w:tr>
        <w:tblPrEx>
          <w:tblLayout w:type="fixed"/>
          <w:tblCellMar>
            <w:top w:w="0" w:type="dxa"/>
            <w:left w:w="0" w:type="dxa"/>
            <w:bottom w:w="0" w:type="dxa"/>
            <w:right w:w="0" w:type="dxa"/>
          </w:tblCellMar>
        </w:tblPrEx>
        <w:trPr>
          <w:trHeight w:val="821"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B3.质量保障措施（</w:t>
            </w:r>
            <w:r>
              <w:rPr>
                <w:rFonts w:ascii="仿宋_GB2312" w:hAnsi="仿宋_GB2312" w:eastAsia="仿宋_GB2312"/>
                <w:sz w:val="24"/>
                <w:szCs w:val="24"/>
              </w:rPr>
              <w:t>15</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根据招标文件的需求和投标文件响应情况，对项目的质量保障措施方案进行横向比较（如：项目质量控制、项目进度、风险等），分档评分：优100%；良80%；中60%；差30%。</w:t>
            </w:r>
          </w:p>
        </w:tc>
      </w:tr>
      <w:tr>
        <w:tblPrEx>
          <w:tblLayout w:type="fixed"/>
          <w:tblCellMar>
            <w:top w:w="0" w:type="dxa"/>
            <w:left w:w="0" w:type="dxa"/>
            <w:bottom w:w="0" w:type="dxa"/>
            <w:right w:w="0" w:type="dxa"/>
          </w:tblCellMar>
        </w:tblPrEx>
        <w:trPr>
          <w:trHeight w:val="821"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B4.拟投入的项目团队（项目负责人除外）成员（</w:t>
            </w:r>
            <w:r>
              <w:rPr>
                <w:rFonts w:ascii="仿宋_GB2312" w:hAnsi="仿宋_GB2312" w:eastAsia="仿宋_GB2312"/>
                <w:sz w:val="24"/>
                <w:szCs w:val="24"/>
              </w:rPr>
              <w:t>2</w:t>
            </w:r>
            <w:r>
              <w:rPr>
                <w:rFonts w:hint="eastAsia" w:ascii="仿宋_GB2312" w:hAnsi="仿宋_GB2312" w:eastAsia="仿宋_GB2312"/>
                <w:sz w:val="24"/>
                <w:szCs w:val="24"/>
              </w:rPr>
              <w:t>0分）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（1）项目团队要求提供2</w:t>
            </w:r>
            <w:r>
              <w:rPr>
                <w:rFonts w:ascii="仿宋_GB2312" w:hAnsi="仿宋_GB2312" w:eastAsia="仿宋_GB2312"/>
                <w:sz w:val="24"/>
                <w:szCs w:val="24"/>
              </w:rPr>
              <w:t>0</w:t>
            </w:r>
            <w:r>
              <w:rPr>
                <w:rFonts w:hint="eastAsia" w:ascii="仿宋_GB2312" w:hAnsi="仿宋_GB2312" w:eastAsia="仿宋_GB2312"/>
                <w:sz w:val="24"/>
                <w:szCs w:val="24"/>
              </w:rPr>
              <w:t>人以上三个月社保证明文件复印件加盖投标人公章，提供证明得</w:t>
            </w:r>
            <w:r>
              <w:rPr>
                <w:rFonts w:ascii="仿宋_GB2312" w:hAnsi="仿宋_GB2312" w:eastAsia="仿宋_GB2312"/>
                <w:sz w:val="24"/>
                <w:szCs w:val="24"/>
              </w:rPr>
              <w:t>10</w:t>
            </w:r>
            <w:r>
              <w:rPr>
                <w:rFonts w:hint="eastAsia" w:ascii="仿宋_GB2312" w:hAnsi="仿宋_GB2312" w:eastAsia="仿宋_GB2312"/>
                <w:sz w:val="24"/>
                <w:szCs w:val="24"/>
              </w:rPr>
              <w:t>分，否则此项不得分。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（2）投标人技术团队人员要求：</w:t>
            </w:r>
          </w:p>
          <w:p>
            <w:pPr>
              <w:widowControl/>
              <w:spacing w:before="100" w:beforeAutospacing="1" w:after="100" w:afterAutospacing="1"/>
              <w:ind w:firstLine="480" w:firstLineChars="200"/>
              <w:jc w:val="left"/>
              <w:rPr>
                <w:rFonts w:ascii="仿宋_GB2312" w:hAnsi="仿宋_GB2312" w:eastAsia="仿宋_GB2312"/>
                <w:sz w:val="24"/>
                <w:szCs w:val="24"/>
              </w:rPr>
            </w:pPr>
            <w:r>
              <w:rPr>
                <w:rFonts w:hint="eastAsia" w:ascii="仿宋_GB2312" w:hAnsi="仿宋_GB2312" w:eastAsia="仿宋_GB2312"/>
                <w:sz w:val="24"/>
                <w:szCs w:val="24"/>
              </w:rPr>
              <w:t>1）同时具有CISA 和CISSP证书1人；</w:t>
            </w:r>
          </w:p>
          <w:p>
            <w:pPr>
              <w:widowControl/>
              <w:spacing w:before="100" w:beforeAutospacing="1" w:after="100" w:afterAutospacing="1"/>
              <w:ind w:firstLine="480" w:firstLineChars="200"/>
              <w:jc w:val="left"/>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）PMP证书2人。</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以上要求全部提供得</w:t>
            </w:r>
            <w:r>
              <w:rPr>
                <w:rFonts w:ascii="仿宋_GB2312" w:hAnsi="仿宋_GB2312" w:eastAsia="仿宋_GB2312"/>
                <w:sz w:val="24"/>
                <w:szCs w:val="24"/>
              </w:rPr>
              <w:t>10</w:t>
            </w:r>
            <w:r>
              <w:rPr>
                <w:rFonts w:hint="eastAsia" w:ascii="仿宋_GB2312" w:hAnsi="仿宋_GB2312" w:eastAsia="仿宋_GB2312"/>
                <w:sz w:val="24"/>
                <w:szCs w:val="24"/>
              </w:rPr>
              <w:t>分，每缺少一项扣</w:t>
            </w:r>
            <w:r>
              <w:rPr>
                <w:rFonts w:ascii="仿宋_GB2312" w:hAnsi="仿宋_GB2312" w:eastAsia="仿宋_GB2312"/>
                <w:sz w:val="24"/>
                <w:szCs w:val="24"/>
              </w:rPr>
              <w:t>5</w:t>
            </w:r>
            <w:r>
              <w:rPr>
                <w:rFonts w:hint="eastAsia" w:ascii="仿宋_GB2312" w:hAnsi="仿宋_GB2312" w:eastAsia="仿宋_GB2312"/>
                <w:sz w:val="24"/>
                <w:szCs w:val="24"/>
              </w:rPr>
              <w:t>分，扣完为止。</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证明文件：</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（1）提供相关人员证书扫描件和近三个月的社保证明；</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（2）评分中出现无证明资料或专家无法凭所提供资料判断是否得分的情况，一律作不得分处理。</w:t>
            </w:r>
          </w:p>
        </w:tc>
      </w:tr>
      <w:tr>
        <w:tblPrEx>
          <w:tblLayout w:type="fixed"/>
          <w:tblCellMar>
            <w:top w:w="0" w:type="dxa"/>
            <w:left w:w="0" w:type="dxa"/>
            <w:bottom w:w="0" w:type="dxa"/>
            <w:right w:w="0" w:type="dxa"/>
          </w:tblCellMar>
        </w:tblPrEx>
        <w:trPr>
          <w:trHeight w:val="821"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B5.演练工具专业化（</w:t>
            </w:r>
            <w:r>
              <w:rPr>
                <w:rFonts w:ascii="仿宋_GB2312" w:hAnsi="仿宋_GB2312" w:eastAsia="仿宋_GB2312"/>
                <w:sz w:val="24"/>
                <w:szCs w:val="24"/>
              </w:rPr>
              <w:t>10</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1）漏洞扫描设备同时具有中华人民共和国公安部的《计算机信息系统安全专用产品销售许可证》,中华人民共和国国家版权局计算机软件著作权登记证书，中国网络安全审查技术与认证中心的《中国国家信息安全产品认证证书》, 《涉密信息系统产品检测证书》，提供有效证书的复印件（盖章）得</w:t>
            </w:r>
            <w:r>
              <w:rPr>
                <w:rFonts w:ascii="仿宋_GB2312" w:hAnsi="仿宋_GB2312" w:eastAsia="仿宋_GB2312"/>
                <w:sz w:val="24"/>
                <w:szCs w:val="24"/>
              </w:rPr>
              <w:t>5</w:t>
            </w:r>
            <w:r>
              <w:rPr>
                <w:rFonts w:hint="eastAsia" w:ascii="仿宋_GB2312" w:hAnsi="仿宋_GB2312" w:eastAsia="仿宋_GB2312"/>
                <w:sz w:val="24"/>
                <w:szCs w:val="24"/>
              </w:rPr>
              <w:t>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2）安全服务使用的实施工具等同品牌得5</w:t>
            </w:r>
            <w:r>
              <w:rPr>
                <w:rFonts w:hint="eastAsia" w:ascii="仿宋_GB2312" w:hAnsi="仿宋_GB2312" w:eastAsia="仿宋_GB2312"/>
                <w:sz w:val="24"/>
                <w:szCs w:val="24"/>
              </w:rPr>
              <w:t>分，否则得</w:t>
            </w:r>
            <w:r>
              <w:rPr>
                <w:rFonts w:ascii="仿宋_GB2312" w:hAnsi="仿宋_GB2312" w:eastAsia="仿宋_GB2312"/>
                <w:sz w:val="24"/>
                <w:szCs w:val="24"/>
              </w:rPr>
              <w:t>0分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（3）其余情况不得分。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投标人必须提供演练自有工具《计算机软件著作权登记证书》和《计算机信息系统安全专用产品销售许可证》，如果是第三厂商的产品还须提供产品品牌、型号、与工具厂商签订的合同等证明资料，原件备查。提供的证明文件不满足要求或未提供证明文件的不得分。）</w:t>
            </w:r>
          </w:p>
        </w:tc>
      </w:tr>
      <w:tr>
        <w:tblPrEx>
          <w:tblLayout w:type="fixed"/>
          <w:tblCellMar>
            <w:top w:w="0" w:type="dxa"/>
            <w:left w:w="0" w:type="dxa"/>
            <w:bottom w:w="0" w:type="dxa"/>
            <w:right w:w="0" w:type="dxa"/>
          </w:tblCellMar>
        </w:tblPrEx>
        <w:trPr>
          <w:trHeight w:val="606"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661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技术部分得分（B）=（B1+B2+B3+B4+B5）*</w:t>
            </w:r>
            <w:r>
              <w:rPr>
                <w:rFonts w:ascii="仿宋_GB2312" w:hAnsi="仿宋_GB2312" w:eastAsia="仿宋_GB2312"/>
                <w:sz w:val="24"/>
                <w:szCs w:val="24"/>
              </w:rPr>
              <w:t>4</w:t>
            </w:r>
            <w:r>
              <w:rPr>
                <w:rFonts w:hint="eastAsia" w:ascii="仿宋_GB2312" w:hAnsi="仿宋_GB2312" w:eastAsia="仿宋_GB2312"/>
                <w:sz w:val="24"/>
                <w:szCs w:val="24"/>
              </w:rPr>
              <w:t>0%</w:t>
            </w:r>
          </w:p>
        </w:tc>
      </w:tr>
      <w:tr>
        <w:tblPrEx>
          <w:tblLayout w:type="fixed"/>
          <w:tblCellMar>
            <w:top w:w="0" w:type="dxa"/>
            <w:left w:w="0" w:type="dxa"/>
            <w:bottom w:w="0" w:type="dxa"/>
            <w:right w:w="0" w:type="dxa"/>
          </w:tblCellMar>
        </w:tblPrEx>
        <w:trPr>
          <w:trHeight w:val="1114" w:hRule="atLeast"/>
        </w:trPr>
        <w:tc>
          <w:tcPr>
            <w:tcW w:w="117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商务部分（C）</w:t>
            </w:r>
          </w:p>
        </w:tc>
        <w:tc>
          <w:tcPr>
            <w:tcW w:w="81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0%</w:t>
            </w: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C1.供应商</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资质情况</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30</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1</w:t>
            </w:r>
            <w:r>
              <w:rPr>
                <w:rFonts w:hint="eastAsia" w:ascii="仿宋_GB2312" w:hAnsi="仿宋_GB2312" w:eastAsia="仿宋_GB2312"/>
                <w:sz w:val="24"/>
                <w:szCs w:val="24"/>
              </w:rPr>
              <w:t>）具备中国网络安全审查技术与认证中心颁发的信息安全风险评估服务资质，获得一级服务资质得</w:t>
            </w:r>
            <w:r>
              <w:rPr>
                <w:rFonts w:ascii="仿宋_GB2312" w:hAnsi="仿宋_GB2312" w:eastAsia="仿宋_GB2312"/>
                <w:sz w:val="24"/>
                <w:szCs w:val="24"/>
              </w:rPr>
              <w:t>10</w:t>
            </w:r>
            <w:r>
              <w:rPr>
                <w:rFonts w:hint="eastAsia" w:ascii="仿宋_GB2312" w:hAnsi="仿宋_GB2312" w:eastAsia="仿宋_GB2312"/>
                <w:sz w:val="24"/>
                <w:szCs w:val="24"/>
              </w:rPr>
              <w:t>分，获得二级服务资质得</w:t>
            </w:r>
            <w:r>
              <w:rPr>
                <w:rFonts w:ascii="仿宋_GB2312" w:hAnsi="仿宋_GB2312" w:eastAsia="仿宋_GB2312"/>
                <w:sz w:val="24"/>
                <w:szCs w:val="24"/>
              </w:rPr>
              <w:t>8</w:t>
            </w:r>
            <w:r>
              <w:rPr>
                <w:rFonts w:hint="eastAsia" w:ascii="仿宋_GB2312" w:hAnsi="仿宋_GB2312" w:eastAsia="仿宋_GB2312"/>
                <w:sz w:val="24"/>
                <w:szCs w:val="24"/>
              </w:rPr>
              <w:t>分，获得三级服务资质的</w:t>
            </w:r>
            <w:r>
              <w:rPr>
                <w:rFonts w:ascii="仿宋_GB2312" w:hAnsi="仿宋_GB2312" w:eastAsia="仿宋_GB2312"/>
                <w:sz w:val="24"/>
                <w:szCs w:val="24"/>
              </w:rPr>
              <w:t>6</w:t>
            </w:r>
            <w:r>
              <w:rPr>
                <w:rFonts w:hint="eastAsia" w:ascii="仿宋_GB2312" w:hAnsi="仿宋_GB2312" w:eastAsia="仿宋_GB2312"/>
                <w:sz w:val="24"/>
                <w:szCs w:val="24"/>
              </w:rPr>
              <w:t>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2</w:t>
            </w:r>
            <w:r>
              <w:rPr>
                <w:rFonts w:hint="eastAsia" w:ascii="仿宋_GB2312" w:hAnsi="仿宋_GB2312" w:eastAsia="仿宋_GB2312"/>
                <w:sz w:val="24"/>
                <w:szCs w:val="24"/>
              </w:rPr>
              <w:t>）具备ISO27001:2005或ISO27001:2013信息安全管理体系认证证书提供得</w:t>
            </w:r>
            <w:r>
              <w:rPr>
                <w:rFonts w:ascii="仿宋_GB2312" w:hAnsi="仿宋_GB2312" w:eastAsia="仿宋_GB2312"/>
                <w:sz w:val="24"/>
                <w:szCs w:val="24"/>
              </w:rPr>
              <w:t>10</w:t>
            </w:r>
            <w:r>
              <w:rPr>
                <w:rFonts w:hint="eastAsia" w:ascii="仿宋_GB2312" w:hAnsi="仿宋_GB2312" w:eastAsia="仿宋_GB2312"/>
                <w:sz w:val="24"/>
                <w:szCs w:val="24"/>
              </w:rPr>
              <w:t>分，不提供得0分；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）投标人获得国家计算机网络应急技术处理协调中心颁发的省级或以上的网络安全应急支撑单位证书提供得</w:t>
            </w:r>
            <w:r>
              <w:rPr>
                <w:rFonts w:ascii="仿宋_GB2312" w:hAnsi="仿宋_GB2312" w:eastAsia="仿宋_GB2312"/>
                <w:sz w:val="24"/>
                <w:szCs w:val="24"/>
              </w:rPr>
              <w:t>10</w:t>
            </w:r>
            <w:r>
              <w:rPr>
                <w:rFonts w:hint="eastAsia" w:ascii="仿宋_GB2312" w:hAnsi="仿宋_GB2312" w:eastAsia="仿宋_GB2312"/>
                <w:sz w:val="24"/>
                <w:szCs w:val="24"/>
              </w:rPr>
              <w:t>分，不提供得0分；</w:t>
            </w:r>
          </w:p>
          <w:p>
            <w:pPr>
              <w:widowControl/>
              <w:spacing w:before="100" w:beforeAutospacing="1" w:after="100" w:afterAutospacing="1"/>
              <w:jc w:val="left"/>
              <w:rPr>
                <w:rFonts w:ascii="仿宋_GB2312" w:hAnsi="仿宋_GB2312" w:eastAsia="仿宋_GB2312"/>
                <w:sz w:val="24"/>
                <w:szCs w:val="24"/>
              </w:rPr>
            </w:pPr>
            <w:r>
              <w:rPr>
                <w:rFonts w:eastAsia="仿宋_GB2312" w:cs="Calibri"/>
                <w:sz w:val="24"/>
                <w:szCs w:val="24"/>
              </w:rPr>
              <w:t> </w:t>
            </w:r>
            <w:r>
              <w:rPr>
                <w:rFonts w:hint="eastAsia" w:ascii="仿宋_GB2312" w:hAnsi="仿宋_GB2312" w:eastAsia="仿宋_GB2312"/>
                <w:sz w:val="24"/>
                <w:szCs w:val="24"/>
              </w:rPr>
              <w:t>提供有效的资格（认证）证书复印件加盖投标人公章，原件备查。</w:t>
            </w:r>
          </w:p>
        </w:tc>
      </w:tr>
      <w:tr>
        <w:tblPrEx>
          <w:tblLayout w:type="fixed"/>
          <w:tblCellMar>
            <w:top w:w="0" w:type="dxa"/>
            <w:left w:w="0" w:type="dxa"/>
            <w:bottom w:w="0" w:type="dxa"/>
            <w:right w:w="0" w:type="dxa"/>
          </w:tblCellMar>
        </w:tblPrEx>
        <w:trPr>
          <w:trHeight w:val="1421"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C2.同类业绩经验</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35</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投标人近三年（20</w:t>
            </w:r>
            <w:r>
              <w:rPr>
                <w:rFonts w:ascii="仿宋_GB2312" w:hAnsi="仿宋_GB2312" w:eastAsia="仿宋_GB2312"/>
                <w:sz w:val="24"/>
                <w:szCs w:val="24"/>
              </w:rPr>
              <w:t>19</w:t>
            </w:r>
            <w:r>
              <w:rPr>
                <w:rFonts w:hint="eastAsia" w:ascii="仿宋_GB2312" w:hAnsi="仿宋_GB2312" w:eastAsia="仿宋_GB2312"/>
                <w:sz w:val="24"/>
                <w:szCs w:val="24"/>
              </w:rPr>
              <w:t>年</w:t>
            </w:r>
            <w:r>
              <w:rPr>
                <w:rFonts w:ascii="仿宋_GB2312" w:hAnsi="仿宋_GB2312" w:eastAsia="仿宋_GB2312"/>
                <w:sz w:val="24"/>
                <w:szCs w:val="24"/>
              </w:rPr>
              <w:t>3</w:t>
            </w:r>
            <w:r>
              <w:rPr>
                <w:rFonts w:hint="eastAsia" w:ascii="仿宋_GB2312" w:hAnsi="仿宋_GB2312" w:eastAsia="仿宋_GB2312"/>
                <w:sz w:val="24"/>
                <w:szCs w:val="24"/>
              </w:rPr>
              <w:t>月1日起）所签约的党政机关网络安全服务项目合同，每提供一个得</w:t>
            </w:r>
            <w:r>
              <w:rPr>
                <w:rFonts w:ascii="仿宋_GB2312" w:hAnsi="仿宋_GB2312" w:eastAsia="仿宋_GB2312"/>
                <w:sz w:val="24"/>
                <w:szCs w:val="24"/>
              </w:rPr>
              <w:t>5</w:t>
            </w:r>
            <w:r>
              <w:rPr>
                <w:rFonts w:hint="eastAsia" w:ascii="仿宋_GB2312" w:hAnsi="仿宋_GB2312" w:eastAsia="仿宋_GB2312"/>
                <w:sz w:val="24"/>
                <w:szCs w:val="24"/>
              </w:rPr>
              <w:t>分，累计计算，最高不超过</w:t>
            </w:r>
            <w:r>
              <w:rPr>
                <w:rFonts w:ascii="仿宋_GB2312" w:hAnsi="仿宋_GB2312" w:eastAsia="仿宋_GB2312"/>
                <w:sz w:val="24"/>
                <w:szCs w:val="24"/>
              </w:rPr>
              <w:t>35</w:t>
            </w:r>
            <w:r>
              <w:rPr>
                <w:rFonts w:hint="eastAsia" w:ascii="仿宋_GB2312" w:hAnsi="仿宋_GB2312" w:eastAsia="仿宋_GB2312"/>
                <w:sz w:val="24"/>
                <w:szCs w:val="24"/>
              </w:rPr>
              <w:t>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提供业绩合同关键页的复印件，加盖投标人公章；否则不得分。</w:t>
            </w:r>
          </w:p>
        </w:tc>
      </w:tr>
      <w:tr>
        <w:tblPrEx>
          <w:tblLayout w:type="fixed"/>
          <w:tblCellMar>
            <w:top w:w="0" w:type="dxa"/>
            <w:left w:w="0" w:type="dxa"/>
            <w:bottom w:w="0" w:type="dxa"/>
            <w:right w:w="0" w:type="dxa"/>
          </w:tblCellMar>
        </w:tblPrEx>
        <w:trPr>
          <w:trHeight w:val="1116"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C3.服务网点</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35</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ind w:firstLine="105"/>
              <w:jc w:val="left"/>
              <w:rPr>
                <w:rFonts w:ascii="仿宋_GB2312" w:hAnsi="仿宋_GB2312" w:eastAsia="仿宋_GB2312"/>
                <w:sz w:val="24"/>
                <w:szCs w:val="24"/>
              </w:rPr>
            </w:pPr>
            <w:r>
              <w:rPr>
                <w:rFonts w:hint="eastAsia" w:ascii="仿宋_GB2312" w:hAnsi="仿宋_GB2312" w:eastAsia="仿宋_GB2312"/>
                <w:sz w:val="24"/>
                <w:szCs w:val="24"/>
              </w:rPr>
              <w:t>深圳企业或非深圳企业，但在深圳市有合法注册的分公司等机构的，得满分</w:t>
            </w:r>
            <w:r>
              <w:rPr>
                <w:rFonts w:ascii="仿宋_GB2312" w:hAnsi="仿宋_GB2312" w:eastAsia="仿宋_GB2312"/>
                <w:sz w:val="24"/>
                <w:szCs w:val="24"/>
              </w:rPr>
              <w:t>35</w:t>
            </w:r>
            <w:r>
              <w:rPr>
                <w:rFonts w:hint="eastAsia" w:ascii="仿宋_GB2312" w:hAnsi="仿宋_GB2312" w:eastAsia="仿宋_GB2312"/>
                <w:sz w:val="24"/>
                <w:szCs w:val="24"/>
              </w:rPr>
              <w:t>分（须在投标文件中就设立的机构类型进行说明，并提供机构营业执照扫描件或复印件，原件备查）；否则不得分。</w:t>
            </w:r>
          </w:p>
        </w:tc>
      </w:tr>
      <w:tr>
        <w:tblPrEx>
          <w:tblLayout w:type="fixed"/>
          <w:tblCellMar>
            <w:top w:w="0" w:type="dxa"/>
            <w:left w:w="0" w:type="dxa"/>
            <w:bottom w:w="0" w:type="dxa"/>
            <w:right w:w="0" w:type="dxa"/>
          </w:tblCellMar>
        </w:tblPrEx>
        <w:trPr>
          <w:trHeight w:val="568"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661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商务部分得分（C）=（C1+C2+C3）*</w:t>
            </w:r>
            <w:r>
              <w:rPr>
                <w:rFonts w:ascii="仿宋_GB2312" w:hAnsi="仿宋_GB2312" w:eastAsia="仿宋_GB2312"/>
                <w:sz w:val="24"/>
                <w:szCs w:val="24"/>
              </w:rPr>
              <w:t>20</w:t>
            </w:r>
            <w:r>
              <w:rPr>
                <w:rFonts w:hint="eastAsia" w:ascii="仿宋_GB2312" w:hAnsi="仿宋_GB2312" w:eastAsia="仿宋_GB2312"/>
                <w:sz w:val="24"/>
                <w:szCs w:val="24"/>
              </w:rPr>
              <w:t>%</w:t>
            </w:r>
          </w:p>
        </w:tc>
      </w:tr>
    </w:tbl>
    <w:p>
      <w:pPr>
        <w:spacing w:line="580" w:lineRule="exact"/>
        <w:jc w:val="left"/>
        <w:rPr>
          <w:rFonts w:ascii="仿宋_GB2312" w:hAnsi="仿宋_GB2312" w:eastAsia="仿宋_GB2312"/>
          <w:sz w:val="32"/>
        </w:rPr>
      </w:pPr>
    </w:p>
    <w:p>
      <w:pPr>
        <w:spacing w:line="560" w:lineRule="exact"/>
        <w:ind w:firstLine="640" w:firstLineChars="200"/>
        <w:jc w:val="left"/>
        <w:rPr>
          <w:rFonts w:ascii="黑体" w:hAnsi="黑体" w:eastAsia="黑体"/>
          <w:sz w:val="32"/>
        </w:rPr>
      </w:pPr>
      <w:r>
        <w:rPr>
          <w:rFonts w:hint="eastAsia" w:ascii="黑体" w:hAnsi="黑体" w:eastAsia="黑体"/>
          <w:sz w:val="32"/>
        </w:rPr>
        <w:t>五、商务需求</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（一）服务期</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投标单位应在合同签订后6</w:t>
      </w:r>
      <w:r>
        <w:rPr>
          <w:rFonts w:ascii="仿宋_GB2312" w:hAnsi="仿宋_GB2312" w:eastAsia="仿宋_GB2312"/>
          <w:sz w:val="32"/>
        </w:rPr>
        <w:t>0</w:t>
      </w:r>
      <w:r>
        <w:rPr>
          <w:rFonts w:hint="eastAsia" w:ascii="仿宋_GB2312" w:hAnsi="仿宋_GB2312" w:eastAsia="仿宋_GB2312"/>
          <w:sz w:val="32"/>
        </w:rPr>
        <w:t>个工作日内完成应急演练工作。</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（二）服务地点</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深圳市政务服务数据管理局。</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（三）报价要求</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2.投标供应商应当根据本企业的成本自行决定报价，但不得以低于其企业成本的报价投标；</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3.投标供应商的报价不得超过项目预算金额；</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4.投标供应商的报价，应当是本项目采购范围和采购文件及合同条款上所列的各项内容中所述的全部，不得以任何理由予以重复；</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6.投标供应商应先到项目地点踏勘以充分了解项目的位置、情况、道路及任何其它足以影响投标报价的情况，任何因忽视或误解项目情况而导致的索赔或服务期限延长申请将不获批准；</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（四）付款方式</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分段划拨(第一次划拨60%，第二次划拨40%)。</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（五）违约责任</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中标公司必须严格按照相关法律法规做好招标文件的保密工作，不得向任何公司和个人泄露相关项目的招标资料及文件内容。如发生资料泄露事件，将依法追究相关责任。</w:t>
      </w:r>
    </w:p>
    <w:p>
      <w:pPr>
        <w:spacing w:line="560" w:lineRule="exact"/>
        <w:ind w:firstLine="640" w:firstLineChars="200"/>
        <w:jc w:val="left"/>
        <w:rPr>
          <w:rFonts w:ascii="楷体_GB2312" w:hAnsi="仿宋_GB2312" w:eastAsia="楷体_GB2312"/>
          <w:sz w:val="32"/>
        </w:rPr>
      </w:pPr>
      <w:r>
        <w:rPr>
          <w:rFonts w:hint="eastAsia" w:ascii="楷体_GB2312" w:hAnsi="仿宋_GB2312" w:eastAsia="楷体_GB2312"/>
          <w:sz w:val="32"/>
        </w:rPr>
        <w:t>（六）其他</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在深圳合法注册的分支机构可使用总公司相关资质及证明文件，需提供相关证明扫描件，原件备查。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45"/>
    <w:rsid w:val="000141A1"/>
    <w:rsid w:val="00057A89"/>
    <w:rsid w:val="000664B7"/>
    <w:rsid w:val="00076298"/>
    <w:rsid w:val="00083F72"/>
    <w:rsid w:val="0009674B"/>
    <w:rsid w:val="000D41B1"/>
    <w:rsid w:val="000E5AB1"/>
    <w:rsid w:val="000F12F1"/>
    <w:rsid w:val="00102B91"/>
    <w:rsid w:val="00104D6B"/>
    <w:rsid w:val="001266C2"/>
    <w:rsid w:val="001401D5"/>
    <w:rsid w:val="00144255"/>
    <w:rsid w:val="00144F1C"/>
    <w:rsid w:val="001501BA"/>
    <w:rsid w:val="00150667"/>
    <w:rsid w:val="00156DD7"/>
    <w:rsid w:val="001626E9"/>
    <w:rsid w:val="00173175"/>
    <w:rsid w:val="00181CC5"/>
    <w:rsid w:val="0019141B"/>
    <w:rsid w:val="001A1FE1"/>
    <w:rsid w:val="001A2A31"/>
    <w:rsid w:val="001F0F64"/>
    <w:rsid w:val="001F1C12"/>
    <w:rsid w:val="002246C2"/>
    <w:rsid w:val="002554BF"/>
    <w:rsid w:val="00256E62"/>
    <w:rsid w:val="00261B50"/>
    <w:rsid w:val="00267B9A"/>
    <w:rsid w:val="002755A7"/>
    <w:rsid w:val="00281627"/>
    <w:rsid w:val="002A0D22"/>
    <w:rsid w:val="002E1085"/>
    <w:rsid w:val="002E2293"/>
    <w:rsid w:val="002F30C4"/>
    <w:rsid w:val="00304434"/>
    <w:rsid w:val="00305590"/>
    <w:rsid w:val="00316463"/>
    <w:rsid w:val="00317D0E"/>
    <w:rsid w:val="003210DE"/>
    <w:rsid w:val="00332F8F"/>
    <w:rsid w:val="0033394D"/>
    <w:rsid w:val="00346182"/>
    <w:rsid w:val="00363838"/>
    <w:rsid w:val="00366A14"/>
    <w:rsid w:val="00380F31"/>
    <w:rsid w:val="003B4905"/>
    <w:rsid w:val="003B785A"/>
    <w:rsid w:val="003C5DE1"/>
    <w:rsid w:val="003E4B97"/>
    <w:rsid w:val="003F29B3"/>
    <w:rsid w:val="003F3F01"/>
    <w:rsid w:val="004038F7"/>
    <w:rsid w:val="00426E06"/>
    <w:rsid w:val="004372E3"/>
    <w:rsid w:val="00475514"/>
    <w:rsid w:val="004B2221"/>
    <w:rsid w:val="004B3E17"/>
    <w:rsid w:val="004B51A6"/>
    <w:rsid w:val="004C5E02"/>
    <w:rsid w:val="004D4FD5"/>
    <w:rsid w:val="004D5793"/>
    <w:rsid w:val="004F5A8A"/>
    <w:rsid w:val="005069D1"/>
    <w:rsid w:val="00507156"/>
    <w:rsid w:val="00525460"/>
    <w:rsid w:val="00533609"/>
    <w:rsid w:val="005340AA"/>
    <w:rsid w:val="00572064"/>
    <w:rsid w:val="0058241E"/>
    <w:rsid w:val="00584F76"/>
    <w:rsid w:val="00587756"/>
    <w:rsid w:val="00595E4E"/>
    <w:rsid w:val="005970FD"/>
    <w:rsid w:val="005A1C78"/>
    <w:rsid w:val="005A778C"/>
    <w:rsid w:val="005C0EB6"/>
    <w:rsid w:val="005E2376"/>
    <w:rsid w:val="00602756"/>
    <w:rsid w:val="00605257"/>
    <w:rsid w:val="00643B2C"/>
    <w:rsid w:val="00662D06"/>
    <w:rsid w:val="00667A78"/>
    <w:rsid w:val="0069188B"/>
    <w:rsid w:val="006D13DB"/>
    <w:rsid w:val="006D48BD"/>
    <w:rsid w:val="00704943"/>
    <w:rsid w:val="00717804"/>
    <w:rsid w:val="00724B8E"/>
    <w:rsid w:val="00733897"/>
    <w:rsid w:val="00741EAE"/>
    <w:rsid w:val="007515D3"/>
    <w:rsid w:val="0075604C"/>
    <w:rsid w:val="007664AE"/>
    <w:rsid w:val="007848AA"/>
    <w:rsid w:val="00785FE5"/>
    <w:rsid w:val="007A7421"/>
    <w:rsid w:val="007B5557"/>
    <w:rsid w:val="007E123F"/>
    <w:rsid w:val="007F4E87"/>
    <w:rsid w:val="0082670E"/>
    <w:rsid w:val="00827326"/>
    <w:rsid w:val="00843288"/>
    <w:rsid w:val="008A12F4"/>
    <w:rsid w:val="008D056B"/>
    <w:rsid w:val="008D0740"/>
    <w:rsid w:val="008F7D86"/>
    <w:rsid w:val="00903CCB"/>
    <w:rsid w:val="00906501"/>
    <w:rsid w:val="009265FB"/>
    <w:rsid w:val="00933B4D"/>
    <w:rsid w:val="00937FA8"/>
    <w:rsid w:val="009505B0"/>
    <w:rsid w:val="00971E57"/>
    <w:rsid w:val="00995CC2"/>
    <w:rsid w:val="009A6056"/>
    <w:rsid w:val="009B7134"/>
    <w:rsid w:val="009C7A62"/>
    <w:rsid w:val="009F2C06"/>
    <w:rsid w:val="00A3577A"/>
    <w:rsid w:val="00AA2396"/>
    <w:rsid w:val="00AC2DDB"/>
    <w:rsid w:val="00B00A5A"/>
    <w:rsid w:val="00B07ED0"/>
    <w:rsid w:val="00B13100"/>
    <w:rsid w:val="00B157C2"/>
    <w:rsid w:val="00B42196"/>
    <w:rsid w:val="00B45D1B"/>
    <w:rsid w:val="00B67C6F"/>
    <w:rsid w:val="00B73D87"/>
    <w:rsid w:val="00BA53FE"/>
    <w:rsid w:val="00BB17F8"/>
    <w:rsid w:val="00BC0D84"/>
    <w:rsid w:val="00C3652B"/>
    <w:rsid w:val="00C43C45"/>
    <w:rsid w:val="00C51163"/>
    <w:rsid w:val="00C6342F"/>
    <w:rsid w:val="00C70DA8"/>
    <w:rsid w:val="00C740CB"/>
    <w:rsid w:val="00C93BC4"/>
    <w:rsid w:val="00CA0378"/>
    <w:rsid w:val="00CA0F5C"/>
    <w:rsid w:val="00CA1083"/>
    <w:rsid w:val="00CB75DD"/>
    <w:rsid w:val="00CF3245"/>
    <w:rsid w:val="00D02039"/>
    <w:rsid w:val="00D03F9F"/>
    <w:rsid w:val="00D153FF"/>
    <w:rsid w:val="00D92E23"/>
    <w:rsid w:val="00DA5B3F"/>
    <w:rsid w:val="00DA6DE9"/>
    <w:rsid w:val="00DB2E4F"/>
    <w:rsid w:val="00DB601C"/>
    <w:rsid w:val="00DD25C6"/>
    <w:rsid w:val="00DE38E0"/>
    <w:rsid w:val="00DF05EC"/>
    <w:rsid w:val="00DF6710"/>
    <w:rsid w:val="00DF7A35"/>
    <w:rsid w:val="00E30ADD"/>
    <w:rsid w:val="00E312E4"/>
    <w:rsid w:val="00E6125B"/>
    <w:rsid w:val="00EC01F6"/>
    <w:rsid w:val="00ED694F"/>
    <w:rsid w:val="00EE78DB"/>
    <w:rsid w:val="00F215D5"/>
    <w:rsid w:val="00F21696"/>
    <w:rsid w:val="00F21761"/>
    <w:rsid w:val="00F32DF9"/>
    <w:rsid w:val="00F45DF3"/>
    <w:rsid w:val="00F96800"/>
    <w:rsid w:val="00FB28CE"/>
    <w:rsid w:val="00FB7548"/>
    <w:rsid w:val="00FD0E2E"/>
    <w:rsid w:val="00FE415E"/>
    <w:rsid w:val="00FF18B2"/>
    <w:rsid w:val="00FF7211"/>
    <w:rsid w:val="09203E54"/>
    <w:rsid w:val="09986880"/>
    <w:rsid w:val="0BF354FA"/>
    <w:rsid w:val="0CBE0176"/>
    <w:rsid w:val="29395252"/>
    <w:rsid w:val="2B691DA9"/>
    <w:rsid w:val="2D5D2018"/>
    <w:rsid w:val="2FCC295C"/>
    <w:rsid w:val="33760D75"/>
    <w:rsid w:val="358D2E8B"/>
    <w:rsid w:val="3BD91D0E"/>
    <w:rsid w:val="45B07F59"/>
    <w:rsid w:val="463F4CD1"/>
    <w:rsid w:val="49B03919"/>
    <w:rsid w:val="5CE264AA"/>
    <w:rsid w:val="619304D8"/>
    <w:rsid w:val="63B619D0"/>
    <w:rsid w:val="64256FB6"/>
    <w:rsid w:val="6CEC2F8B"/>
    <w:rsid w:val="70D7070F"/>
    <w:rsid w:val="769C4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semiHidden/>
    <w:unhideWhenUsed/>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9"/>
    <w:link w:val="2"/>
    <w:semiHidden/>
    <w:uiPriority w:val="99"/>
    <w:rPr>
      <w:rFonts w:ascii="Calibri" w:hAnsi="Calibri" w:eastAsia="宋体" w:cs="Times New Roman"/>
    </w:rPr>
  </w:style>
  <w:style w:type="character" w:customStyle="1" w:styleId="16">
    <w:name w:val="批注主题 字符"/>
    <w:basedOn w:val="15"/>
    <w:link w:val="7"/>
    <w:semiHidden/>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DEB6E-7138-4296-9846-53CA90D1CA96}">
  <ds:schemaRefs/>
</ds:datastoreItem>
</file>

<file path=docProps/app.xml><?xml version="1.0" encoding="utf-8"?>
<Properties xmlns="http://schemas.openxmlformats.org/officeDocument/2006/extended-properties" xmlns:vt="http://schemas.openxmlformats.org/officeDocument/2006/docPropsVTypes">
  <Template>Normal</Template>
  <Pages>9</Pages>
  <Words>612</Words>
  <Characters>3492</Characters>
  <Lines>29</Lines>
  <Paragraphs>8</Paragraphs>
  <TotalTime>3</TotalTime>
  <ScaleCrop>false</ScaleCrop>
  <LinksUpToDate>false</LinksUpToDate>
  <CharactersWithSpaces>4096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2021-07-13T10:23:00Z</dcterms:created>
  <dc:creator>邹 文杰</dc:creator>
  <cp:lastModifiedBy>Ice</cp:lastModifiedBy>
  <dcterms:modified xsi:type="dcterms:W3CDTF">2021-07-21T07:03:32Z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46A047F8598043409B7C40669275890D</vt:lpwstr>
  </property>
</Properties>
</file>