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40" w:line="579" w:lineRule="exact"/>
        <w:jc w:val="center"/>
        <w:textAlignment w:val="auto"/>
      </w:pPr>
      <w:r>
        <w:rPr>
          <w:rFonts w:ascii="方正小标宋简体" w:hAnsi="方正小标宋简体" w:eastAsia="方正小标宋简体"/>
          <w:b w:val="0"/>
          <w:sz w:val="44"/>
        </w:rPr>
        <w:t>修订说明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9" w:lineRule="exact"/>
        <w:ind w:firstLine="640"/>
        <w:textAlignment w:val="auto"/>
      </w:pPr>
      <w:r>
        <w:rPr>
          <w:rFonts w:ascii="黑体" w:hAnsi="黑体" w:eastAsia="黑体"/>
          <w:b w:val="0"/>
          <w:sz w:val="32"/>
        </w:rPr>
        <w:t>一、修订背景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/>
        <w:textAlignment w:val="auto"/>
      </w:pPr>
      <w:r>
        <w:rPr>
          <w:rFonts w:ascii="楷体_GB2312" w:hAnsi="楷体_GB2312" w:eastAsia="楷体_GB2312"/>
          <w:b/>
          <w:sz w:val="32"/>
        </w:rPr>
        <w:t>（一）落实知识产权强国战略及最新财政奖补政策的刚性要求。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紧扣知识产权强市与知识产权保护高地建设部署，现行政策在财政资金精准配置、产业带动效能等方面仍存在提升空间，亟需把"高质量创造、高效益运用、高标准保护"的导向转化为可落地的制度安排。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/>
        <w:textAlignment w:val="auto"/>
      </w:pPr>
      <w:r>
        <w:rPr>
          <w:rFonts w:ascii="楷体_GB2312" w:hAnsi="楷体_GB2312" w:eastAsia="楷体_GB2312"/>
          <w:b/>
          <w:sz w:val="32"/>
        </w:rPr>
        <w:t>（二）助力产业发展、破解发展瓶颈的现实需要。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近年来，我市知识产权保有量实现较快增长，随着本地产业迭代升级，对知识产权工作提出更高发展要求，亟需在质量提升、转化赋能、保护提效、服务优化等关键环节持续发力。本次修订立足全市创新生态与产业发展实际，进一步完善知识产权政策支撑体系，更好服务经济高质量发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9" w:lineRule="exact"/>
        <w:ind w:firstLine="640"/>
        <w:textAlignment w:val="auto"/>
      </w:pPr>
      <w:r>
        <w:rPr>
          <w:rFonts w:ascii="黑体" w:hAnsi="黑体" w:eastAsia="黑体"/>
          <w:b w:val="0"/>
          <w:sz w:val="32"/>
        </w:rPr>
        <w:t>二、修订目标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一是做好与现行财政管理最新规定的衔接适配。对照财政部门最新管理要求，对项目储备、资金分配、兑付标准等内容予以细化完善，树牢绩效导向，进一步规范财政资金管理。二是提高财政资金配置精准度，放大政策激励引导效能。强化政策分析论证，紧扣产业创新重点领域和关键环节，推动有限财政资金向创新发展重点方向集中，切实提升资金使用效益与政策牵引作用，构建契合产业升级方向、对接国家战略及地方工作部署的知识产权资助奖励政策体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79" w:lineRule="exact"/>
        <w:ind w:firstLine="640"/>
        <w:textAlignment w:val="auto"/>
      </w:pPr>
      <w:r>
        <w:rPr>
          <w:rFonts w:ascii="黑体" w:hAnsi="黑体" w:eastAsia="黑体"/>
          <w:b w:val="0"/>
          <w:sz w:val="32"/>
        </w:rPr>
        <w:t>三、修订内容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修订稿在《深圳市市场监督管理局知识产权领域专项资金操作规程》（深市监规〔2024〕5号，以下简称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“</w:t>
      </w:r>
      <w:r>
        <w:rPr>
          <w:rFonts w:ascii="仿宋_GB2312" w:hAnsi="仿宋_GB2312" w:eastAsia="仿宋_GB2312"/>
          <w:b w:val="0"/>
          <w:sz w:val="32"/>
        </w:rPr>
        <w:t>现行《操作规程》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”</w:t>
      </w:r>
      <w:r>
        <w:rPr>
          <w:rFonts w:ascii="仿宋_GB2312" w:hAnsi="仿宋_GB2312" w:eastAsia="仿宋_GB2312"/>
          <w:b w:val="0"/>
          <w:sz w:val="32"/>
        </w:rPr>
        <w:t>）基础上进行修订，共有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五</w:t>
      </w:r>
      <w:r>
        <w:rPr>
          <w:rFonts w:ascii="仿宋_GB2312" w:hAnsi="仿宋_GB2312" w:eastAsia="仿宋_GB2312"/>
          <w:b w:val="0"/>
          <w:sz w:val="32"/>
        </w:rPr>
        <w:t>章，分别为总则、条件标准和申请材料、组织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实施</w:t>
      </w:r>
      <w:r>
        <w:rPr>
          <w:rFonts w:ascii="仿宋_GB2312" w:hAnsi="仿宋_GB2312" w:eastAsia="仿宋_GB2312"/>
          <w:b w:val="0"/>
          <w:sz w:val="32"/>
        </w:rPr>
        <w:t>、监督管理和附则，条款数量由原来的45条调整为35条，资助项目数量由原来的26个调整为16个。主要修订内容如下：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/>
        <w:textAlignment w:val="auto"/>
      </w:pPr>
      <w:r>
        <w:rPr>
          <w:rFonts w:ascii="楷体_GB2312" w:hAnsi="楷体_GB2312" w:eastAsia="楷体_GB2312"/>
          <w:b/>
          <w:sz w:val="32"/>
        </w:rPr>
        <w:t>（一）取消部分资助奖励政策。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根据关于地方财政补贴政策的最新要求，结合我市知识产权工作重点调整和政策实施评估情况，对部分不再符合当前工作导向的资助项目予以取消。通过项目精简和业务整合，进一步聚焦核心业务方向，优化专项资金项目设置，提升财政资金使用效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/>
        <w:textAlignment w:val="auto"/>
      </w:pPr>
      <w:bookmarkStart w:id="0" w:name="_GoBack"/>
      <w:bookmarkEnd w:id="0"/>
      <w:r>
        <w:rPr>
          <w:rFonts w:ascii="楷体_GB2312" w:hAnsi="楷体_GB2312" w:eastAsia="楷体_GB2312"/>
          <w:b/>
          <w:sz w:val="32"/>
        </w:rPr>
        <w:t>（二）新增部分资助政策。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围绕知识产权创造、运用、保护、管理、服务全链条，结合国家最新工作部署和我市产业发展实际需求，新增了若干资助项目。重点涵盖海外专利布局能力提升、产业链知识产权协同运营、专利密集型产品培育、知识产权金融服务创新以及国际交流合作等方向。通过新增项目，进一步完善知识产权政策体系，更好服务创新驱动发展和产业升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79" w:lineRule="exact"/>
        <w:ind w:firstLine="640"/>
        <w:textAlignment w:val="auto"/>
      </w:pPr>
      <w:r>
        <w:rPr>
          <w:rFonts w:ascii="楷体_GB2312" w:hAnsi="楷体_GB2312" w:eastAsia="楷体_GB2312"/>
          <w:b/>
          <w:sz w:val="32"/>
        </w:rPr>
        <w:t>（三）对现有部分资助政策进行调整优化。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9" w:lineRule="exact"/>
        <w:ind w:firstLine="640"/>
        <w:textAlignment w:val="auto"/>
      </w:pPr>
      <w:r>
        <w:rPr>
          <w:rFonts w:ascii="仿宋_GB2312" w:hAnsi="仿宋_GB2312" w:eastAsia="仿宋_GB2312"/>
          <w:b w:val="0"/>
          <w:sz w:val="32"/>
        </w:rPr>
        <w:t>在保留原有政策基本框架的基础上，对部分资助项目的条件、标准和申报流程进行优化完善。主要调整方向包括：一是强化绩效导向，增加客观量化考核指标，推动资金向实际成效集中；二是简化申报材料和审核流程，提升管理便利度；三是根据财政管理最新要求，细化项目储备、资金分配和兑付标准，适当压减资金投入上限；四是结合市场发展和企业实际需求，灵活调整资助范围和支持方式，建立梯度退坡等激励机制。通过调整优化，进一步规范资金管理，提高政策精准性和实效性。</w:t>
      </w:r>
    </w:p>
    <w:sectPr>
      <w:footerReference r:id="rId5" w:type="default"/>
      <w:pgSz w:w="12240" w:h="15840"/>
      <w:pgMar w:top="2098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ゴシック">
    <w:altName w:val="C059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黑体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B7FFB326"/>
    <w:rsid w:val="F92F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liuyt1</cp:lastModifiedBy>
  <dcterms:modified xsi:type="dcterms:W3CDTF">2026-09-30T09:14:16Z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CAF5BD0451865FC66862BC6A99534FB8</vt:lpwstr>
  </property>
</Properties>
</file>