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64075">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0" w:firstLineChars="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附件2</w:t>
      </w:r>
    </w:p>
    <w:p w14:paraId="6854E915">
      <w:pPr>
        <w:pStyle w:val="4"/>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center"/>
        <w:textAlignment w:val="auto"/>
        <w:outlineLvl w:val="9"/>
        <w:rPr>
          <w:rFonts w:hint="eastAsia" w:ascii="宋体" w:hAnsi="宋体" w:eastAsia="宋体" w:cs="宋体"/>
          <w:b w:val="0"/>
          <w:bCs w:val="0"/>
          <w:kern w:val="21"/>
          <w:position w:val="0"/>
          <w:sz w:val="36"/>
          <w:szCs w:val="36"/>
        </w:rPr>
      </w:pPr>
      <w:r>
        <w:rPr>
          <w:rFonts w:hint="eastAsia" w:ascii="宋体" w:hAnsi="宋体" w:eastAsia="宋体" w:cs="宋体"/>
          <w:b w:val="0"/>
          <w:bCs w:val="0"/>
          <w:kern w:val="21"/>
          <w:position w:val="0"/>
          <w:sz w:val="36"/>
          <w:szCs w:val="36"/>
        </w:rPr>
        <w:t>关于严厉惩处建设工程安全生产违法违规</w:t>
      </w:r>
    </w:p>
    <w:p w14:paraId="13867964">
      <w:pPr>
        <w:pStyle w:val="4"/>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center"/>
        <w:textAlignment w:val="auto"/>
        <w:outlineLvl w:val="9"/>
        <w:rPr>
          <w:rFonts w:hint="eastAsia" w:ascii="宋体" w:hAnsi="宋体" w:eastAsia="宋体" w:cs="宋体"/>
          <w:b w:val="0"/>
          <w:bCs w:val="0"/>
          <w:kern w:val="21"/>
          <w:position w:val="0"/>
          <w:sz w:val="36"/>
          <w:szCs w:val="36"/>
        </w:rPr>
      </w:pPr>
      <w:r>
        <w:rPr>
          <w:rFonts w:hint="eastAsia" w:ascii="宋体" w:hAnsi="宋体" w:eastAsia="宋体" w:cs="宋体"/>
          <w:b w:val="0"/>
          <w:bCs w:val="0"/>
          <w:kern w:val="21"/>
          <w:position w:val="0"/>
          <w:sz w:val="36"/>
          <w:szCs w:val="36"/>
        </w:rPr>
        <w:t>行为的若干措施（试行）的实施细则</w:t>
      </w:r>
    </w:p>
    <w:p w14:paraId="7277630A">
      <w:pPr>
        <w:pStyle w:val="4"/>
        <w:keepNext w:val="0"/>
        <w:keepLines w:val="0"/>
        <w:pageBreakBefore w:val="0"/>
        <w:widowControl w:val="0"/>
        <w:kinsoku/>
        <w:wordWrap/>
        <w:overflowPunct/>
        <w:topLinePunct w:val="0"/>
        <w:autoSpaceDE/>
        <w:autoSpaceDN/>
        <w:bidi w:val="0"/>
        <w:adjustRightInd/>
        <w:snapToGrid/>
        <w:spacing w:before="157" w:beforeLines="50"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为深入贯彻执行《关于严厉惩处建设工程安全生产违法违规行为的若干措施（试行）》（深建规〔2017〕11号，以下简称《若干措施》），增强《若干措施》的可操作性，特制定本实施细则。</w:t>
      </w:r>
    </w:p>
    <w:p w14:paraId="17449510">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一、加大对建设工程违法违规行为的惩治力度</w:t>
      </w:r>
    </w:p>
    <w:p w14:paraId="1ED210DF">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《若干措施》</w:t>
      </w:r>
      <w:r>
        <w:rPr>
          <w:rFonts w:hint="eastAsia" w:ascii="宋体" w:hAnsi="宋体" w:eastAsia="宋体" w:cs="宋体"/>
          <w:b w:val="0"/>
          <w:bCs w:val="0"/>
          <w:kern w:val="21"/>
          <w:position w:val="0"/>
          <w:sz w:val="24"/>
          <w:szCs w:val="24"/>
          <w:lang w:eastAsia="zh-CN"/>
        </w:rPr>
        <w:t>第一条</w:t>
      </w:r>
      <w:r>
        <w:rPr>
          <w:rFonts w:hint="eastAsia" w:ascii="宋体" w:hAnsi="宋体" w:eastAsia="宋体" w:cs="宋体"/>
          <w:b w:val="0"/>
          <w:bCs w:val="0"/>
          <w:kern w:val="21"/>
          <w:position w:val="0"/>
          <w:sz w:val="24"/>
          <w:szCs w:val="24"/>
        </w:rPr>
        <w:t>所列“对本市行政区域内发生的建设工程安全生产违法违规行为依法从重从快查处”是指：</w:t>
      </w:r>
    </w:p>
    <w:p w14:paraId="312217AD">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（一）涉及行政处罚自由裁量权行使的，按照国家、广东省及我市有关建设工程安全生产法律、法规、规章所设处罚的上限执行；</w:t>
      </w:r>
    </w:p>
    <w:p w14:paraId="32779AD8">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（二）涉及法定处理期限的，在法定期限内从快处理。</w:t>
      </w:r>
    </w:p>
    <w:p w14:paraId="033B8130">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二、公布建设工程安全生产情况</w:t>
      </w:r>
    </w:p>
    <w:p w14:paraId="6274D1AC">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《若干措施》</w:t>
      </w:r>
      <w:r>
        <w:rPr>
          <w:rFonts w:hint="eastAsia" w:ascii="宋体" w:hAnsi="宋体" w:eastAsia="宋体" w:cs="宋体"/>
          <w:b w:val="0"/>
          <w:bCs w:val="0"/>
          <w:kern w:val="21"/>
          <w:position w:val="0"/>
          <w:sz w:val="24"/>
          <w:szCs w:val="24"/>
          <w:lang w:eastAsia="zh-CN"/>
        </w:rPr>
        <w:t>第二条</w:t>
      </w:r>
      <w:r>
        <w:rPr>
          <w:rFonts w:hint="eastAsia" w:ascii="宋体" w:hAnsi="宋体" w:eastAsia="宋体" w:cs="宋体"/>
          <w:b w:val="0"/>
          <w:bCs w:val="0"/>
          <w:kern w:val="21"/>
          <w:position w:val="0"/>
          <w:sz w:val="24"/>
          <w:szCs w:val="24"/>
        </w:rPr>
        <w:t>中的“安全问题突出工地”按下列情形进行认定并公布：</w:t>
      </w:r>
    </w:p>
    <w:p w14:paraId="36914B45">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（一）施工现场发生事故造成人员死亡的，由市、区建设行政主管部门认定并公布；</w:t>
      </w:r>
    </w:p>
    <w:p w14:paraId="40EA11C8">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（二）被责令停工拒不停工的，由市、区工程质量安全监督机构提请市、区建设行政主管部门认定并公布；</w:t>
      </w:r>
    </w:p>
    <w:p w14:paraId="54C1AACF">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（三）因安全生产问题被国家、省、市、区建设或者应急管理部门列入督办范围的，由市、区建设行政主管部门认定并公布；</w:t>
      </w:r>
    </w:p>
    <w:p w14:paraId="4247DA7F">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（四）其他安全问题突出工地，由市、区建设行政主管部门认定并公布，或者由市、区工程质量安全监督机构提请市、区建设行政主管部门认定并公布。</w:t>
      </w:r>
    </w:p>
    <w:p w14:paraId="7C1FDE81">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三、实施建设工程安全生产红、黄色警示制度</w:t>
      </w:r>
    </w:p>
    <w:p w14:paraId="090C62AA">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（一）红色警示</w:t>
      </w:r>
      <w:r>
        <w:rPr>
          <w:rFonts w:hint="eastAsia" w:ascii="宋体" w:hAnsi="宋体" w:eastAsia="宋体" w:cs="宋体"/>
          <w:b w:val="0"/>
          <w:bCs w:val="0"/>
          <w:kern w:val="21"/>
          <w:position w:val="0"/>
          <w:sz w:val="24"/>
          <w:szCs w:val="24"/>
          <w:lang w:eastAsia="zh-CN"/>
        </w:rPr>
        <w:t>。</w:t>
      </w:r>
    </w:p>
    <w:p w14:paraId="7F8A0C97">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1</w:t>
      </w:r>
      <w:r>
        <w:rPr>
          <w:rFonts w:hint="eastAsia" w:ascii="宋体" w:hAnsi="宋体" w:eastAsia="宋体" w:cs="宋体"/>
          <w:b w:val="0"/>
          <w:bCs w:val="0"/>
          <w:kern w:val="21"/>
          <w:position w:val="0"/>
          <w:sz w:val="24"/>
          <w:szCs w:val="24"/>
          <w:lang w:val="en-US" w:eastAsia="zh-CN"/>
        </w:rPr>
        <w:t>．</w:t>
      </w:r>
      <w:r>
        <w:rPr>
          <w:rFonts w:hint="eastAsia" w:ascii="宋体" w:hAnsi="宋体" w:eastAsia="宋体" w:cs="宋体"/>
          <w:b w:val="0"/>
          <w:bCs w:val="0"/>
          <w:kern w:val="21"/>
          <w:position w:val="0"/>
          <w:sz w:val="24"/>
          <w:szCs w:val="24"/>
        </w:rPr>
        <w:t>建设工程发生安全事故造成人员死亡的，或者虽未造成人员死亡但对公共安全构成严重威胁或者社会影响恶劣的，市、区建设行政主管部门应当在发现或收到安全事故或险情通报后立即按照《若干措施》对施工单位及其项目负责人、项目经理等责任人员作出红色警示的决定。</w:t>
      </w:r>
    </w:p>
    <w:p w14:paraId="732EE0D7">
      <w:pPr>
        <w:pStyle w:val="4"/>
        <w:keepNext w:val="0"/>
        <w:keepLines w:val="0"/>
        <w:pageBreakBefore w:val="0"/>
        <w:widowControl w:val="0"/>
        <w:kinsoku/>
        <w:wordWrap/>
        <w:overflowPunct/>
        <w:topLinePunct w:val="0"/>
        <w:autoSpaceDE/>
        <w:autoSpaceDN/>
        <w:bidi w:val="0"/>
        <w:adjustRightInd/>
        <w:snapToGrid/>
        <w:spacing w:line="38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2</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建设工程存在重大安全隐患未按期整改或者被责令停工拒不停工的，市、区建设行政主管部门应当按照《若干措施》立即对施工单位及其项目负责人、项目经理等责任人员作出红色警示的决定。</w:t>
      </w:r>
    </w:p>
    <w:p w14:paraId="0856EF9C">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3</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经事故调查组认定，建设、监理、勘察、设计、材料设备供应商、检验检测等单位对安全事故造成人员死亡负有责任的，市、区建设行政主管部门应当在正式收到经批复的事故调查报告后立即按照《若干措施》对上述责任单位及其项目负责人、项目经理、项目总监理工程师等责任人员作出红色警示的决定。</w:t>
      </w:r>
    </w:p>
    <w:p w14:paraId="7091DECA">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4</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红色警示决定由市、区工程质量安全监督机构具体实施。</w:t>
      </w:r>
    </w:p>
    <w:p w14:paraId="5D1DCC0B">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（二）黄色警示</w:t>
      </w:r>
      <w:r>
        <w:rPr>
          <w:rFonts w:hint="eastAsia" w:ascii="宋体" w:hAnsi="宋体" w:eastAsia="宋体" w:cs="宋体"/>
          <w:b w:val="0"/>
          <w:bCs w:val="0"/>
          <w:kern w:val="21"/>
          <w:position w:val="0"/>
          <w:sz w:val="24"/>
          <w:szCs w:val="24"/>
          <w:lang w:eastAsia="zh-CN"/>
        </w:rPr>
        <w:t>。</w:t>
      </w:r>
    </w:p>
    <w:p w14:paraId="35D7B76C">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1</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安全生产违法违规行为情节较轻，未达到红色警示标准的，市、区建设行政主管部门可以根据实际情形（详见附表）对涉事单位及相关责任人员作出黄色警示的决定，警示期限为2个月。市建设行政主管部门可以根据情况适时调整黄色警示的情形。黄色警示信息纳入建筑市场主体诚信管理。</w:t>
      </w:r>
    </w:p>
    <w:p w14:paraId="73F7A97A">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2</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黄色警示决定由市、区工程质量安全监督机构负责具体实施。</w:t>
      </w:r>
    </w:p>
    <w:p w14:paraId="6348FDFB">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（三）同时给予多项红、黄色警示的合并执行</w:t>
      </w:r>
      <w:r>
        <w:rPr>
          <w:rFonts w:hint="eastAsia" w:ascii="宋体" w:hAnsi="宋体" w:eastAsia="宋体" w:cs="宋体"/>
          <w:b w:val="0"/>
          <w:bCs w:val="0"/>
          <w:kern w:val="21"/>
          <w:position w:val="0"/>
          <w:sz w:val="24"/>
          <w:szCs w:val="24"/>
          <w:lang w:eastAsia="zh-CN"/>
        </w:rPr>
        <w:t>。</w:t>
      </w:r>
    </w:p>
    <w:p w14:paraId="22C511E7">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建设工程依法需要同时给予多项红色警示的，市、区建设行政主管部门按规定分别作出警示决定后，按其中最长的红色警示期限执行。</w:t>
      </w:r>
    </w:p>
    <w:p w14:paraId="437F9BBE">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建设工程依法需要同时给予多项黄色警示的，市、区建设行政主管部门按规定分别作出黄色警示决定后，黄色警示期限累计执行。</w:t>
      </w:r>
    </w:p>
    <w:p w14:paraId="31386C3D">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建设工程依法需要同时给予多项红色警示和黄色警示的，市、区建设行政主管部门分别按前两款规定作出红、黄色警示的决定。</w:t>
      </w:r>
    </w:p>
    <w:p w14:paraId="3990750D">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（四）警示期内又被给予警示的合并执行</w:t>
      </w:r>
      <w:r>
        <w:rPr>
          <w:rFonts w:hint="eastAsia" w:ascii="宋体" w:hAnsi="宋体" w:eastAsia="宋体" w:cs="宋体"/>
          <w:b w:val="0"/>
          <w:bCs w:val="0"/>
          <w:kern w:val="21"/>
          <w:position w:val="0"/>
          <w:sz w:val="24"/>
          <w:szCs w:val="24"/>
          <w:lang w:eastAsia="zh-CN"/>
        </w:rPr>
        <w:t>。</w:t>
      </w:r>
    </w:p>
    <w:p w14:paraId="66F1C640">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在红色警示期内，涉事单位又发生安全生产违法违规行为依法需要给予红色警示的，市、区建设行政主管部门按规定给予红色警示。新红色警示与未执行完毕的红色警示合并执行，以二者中截止日期较远的红色警示期限为最终执行的红色警示期限。</w:t>
      </w:r>
    </w:p>
    <w:p w14:paraId="445FC3A8">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在黄色警示期内，涉事单位又发生安全生产违法违规行为依法需要给予黄色警示的，市、区建设行政主管部门按规定给予黄色警示。新黄色警示期限与未执行完毕的黄色警示期限累计计算。</w:t>
      </w:r>
    </w:p>
    <w:p w14:paraId="2658AD8F">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（五）警示信息的录入及生效</w:t>
      </w:r>
      <w:r>
        <w:rPr>
          <w:rFonts w:hint="eastAsia" w:ascii="宋体" w:hAnsi="宋体" w:eastAsia="宋体" w:cs="宋体"/>
          <w:b w:val="0"/>
          <w:bCs w:val="0"/>
          <w:kern w:val="21"/>
          <w:position w:val="0"/>
          <w:sz w:val="24"/>
          <w:szCs w:val="24"/>
          <w:lang w:eastAsia="zh-CN"/>
        </w:rPr>
        <w:t>。</w:t>
      </w:r>
    </w:p>
    <w:p w14:paraId="2AE7A924">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市、区工程质量安全监督机构应当在红、黄色警示决定作出的当日将警示内容录入相关信息系统，红、黄色警示信息自录入系统后的次日零时起生效。</w:t>
      </w:r>
    </w:p>
    <w:p w14:paraId="12ACCD54">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（六）依法禁止红色警示对象在本市承接新的业务和投标</w:t>
      </w:r>
      <w:r>
        <w:rPr>
          <w:rFonts w:hint="eastAsia" w:ascii="宋体" w:hAnsi="宋体" w:eastAsia="宋体" w:cs="宋体"/>
          <w:b w:val="0"/>
          <w:bCs w:val="0"/>
          <w:kern w:val="21"/>
          <w:position w:val="0"/>
          <w:sz w:val="24"/>
          <w:szCs w:val="24"/>
          <w:lang w:eastAsia="zh-CN"/>
        </w:rPr>
        <w:t>。</w:t>
      </w:r>
    </w:p>
    <w:p w14:paraId="4722FE7C">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1</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公开招标的项目，红色警示在截标前已经生效的，招标人应拒绝红色警示单位或人员参与投标。深圳市建设工程交易服务平台可以通过技术措施对红色警示单位</w:t>
      </w:r>
    </w:p>
    <w:p w14:paraId="6A582500">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0" w:firstLineChars="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或人员进行锁定。建设、施工、监理单位及其项目负责人、项目经理、总监理工程师等责任人员被红色警示的，在红色警示生效期间，依法不予办理质量安全监督登记手续和施工许可。在红色警示生效前已经签订合同或者取得中标通知书的除外。</w:t>
      </w:r>
    </w:p>
    <w:p w14:paraId="0E3D6494">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2</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建设、施工、监理单位的项目负责人、项目经理、总监理工程师等责任人员在12个月内被2次红色警示的，用人单位必须对红色警示人员进行更换，更换人员的任职条件不得低于原岗位人员要求。</w:t>
      </w:r>
    </w:p>
    <w:p w14:paraId="57AD66EB">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（七）红、黄色警示的申诉处理</w:t>
      </w:r>
      <w:r>
        <w:rPr>
          <w:rFonts w:hint="eastAsia" w:ascii="宋体" w:hAnsi="宋体" w:eastAsia="宋体" w:cs="宋体"/>
          <w:b w:val="0"/>
          <w:bCs w:val="0"/>
          <w:kern w:val="21"/>
          <w:position w:val="0"/>
          <w:sz w:val="24"/>
          <w:szCs w:val="24"/>
          <w:lang w:eastAsia="zh-CN"/>
        </w:rPr>
        <w:t>。</w:t>
      </w:r>
    </w:p>
    <w:p w14:paraId="5E6C94D8">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被警示单位或个人对红、黄色警示有异议的，可向市、区建设行政主管部门提出申诉：</w:t>
      </w:r>
    </w:p>
    <w:p w14:paraId="52BC9B94">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1</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非因人员伤亡事故被警示的，被警示单位或个人可以自执法文书送达之日起10日内，向下达执法文书的建设行政主管部门提出申诉，逾期视为无异议；</w:t>
      </w:r>
    </w:p>
    <w:p w14:paraId="47BA2A97">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2</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因人员伤亡事故被警示，但事故不被认定为安全生产责任事故或相关部门决定不予立案调查的，被警示单位或个人可以自相关认定或决定作出后10日内，向下达执法文书的建设行政主管部门提出申诉，逾期视为无异议。</w:t>
      </w:r>
    </w:p>
    <w:p w14:paraId="3BEF2AAC">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行政主管部门受理申诉后，由工程质量安全监督机构在5个工作日内予以处理。申诉理由成立的，依法撤销红、黄色警示，并及时变更系统中的相关记录信息。申诉理由不成立的，工程质量安全监督机构应当向申诉人说明理由。</w:t>
      </w:r>
    </w:p>
    <w:p w14:paraId="6B77546E">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四、加强行政执法与刑事司法衔接</w:t>
      </w:r>
    </w:p>
    <w:p w14:paraId="6AB836A5">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建设工程发生1人及以上死亡或3人及以上重伤的安全事故，或虽未造成人员伤亡但对公共安全构成严重威胁或者社会影响恶劣的，市、区建设行政主管部门应当按照《关于加强住建行政执法与公安刑事司法衔接的工作意见》（深公法字〔2016〕276号）规定，商请市、区公安部门提前介入，并联合查处。</w:t>
      </w:r>
    </w:p>
    <w:p w14:paraId="59F3BD7C">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五、全面实行停工检查、约谈警示、挂牌督办制度</w:t>
      </w:r>
    </w:p>
    <w:p w14:paraId="6B7163C6">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（一）关于停工检查</w:t>
      </w:r>
      <w:r>
        <w:rPr>
          <w:rFonts w:hint="eastAsia" w:ascii="宋体" w:hAnsi="宋体" w:eastAsia="宋体" w:cs="宋体"/>
          <w:b w:val="0"/>
          <w:bCs w:val="0"/>
          <w:kern w:val="21"/>
          <w:position w:val="0"/>
          <w:sz w:val="24"/>
          <w:szCs w:val="24"/>
          <w:lang w:eastAsia="zh-CN"/>
        </w:rPr>
        <w:t>。</w:t>
      </w:r>
    </w:p>
    <w:p w14:paraId="30E0873A">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1</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建设工程发生安全事故的，市、区工程质量安全监督机构应及时下发停工整改通知书。死亡1人的，停工整改期限原则上不少于7天；死亡2人及以上的，停工整改期限原则上不少于15天。停工整改完成后，施工单位应组织安全生产条件评估，满足复工条件的，应向作出停工整改决定的工程质量安全监督机构提交经建设、监理、施工单位共同签署的复工申请，经工程质量安全监督机构复查并下达复工通知书后方可复工。</w:t>
      </w:r>
    </w:p>
    <w:p w14:paraId="4EAB175C">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2</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市、区建设行政主管部门应及时将事故信息包括涉事施工单位信息在门户网站进行公示，市、区工程质量安全监督机构应加强对涉事施工单位在本市参与施工的其他工地的监督执法。涉事施工单位应组织不少于3天的安全生产自查自纠工作，对存在的安全隐患及时整改，直至安全隐患全部予以消除并经建设、监理、施工单位共同签字确认后方可复工。</w:t>
      </w:r>
    </w:p>
    <w:p w14:paraId="25ACD303">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3</w:t>
      </w:r>
      <w:r>
        <w:rPr>
          <w:rFonts w:hint="eastAsia" w:ascii="宋体" w:hAnsi="宋体" w:eastAsia="宋体" w:cs="宋体"/>
          <w:b w:val="0"/>
          <w:bCs w:val="0"/>
          <w:kern w:val="21"/>
          <w:position w:val="0"/>
          <w:sz w:val="24"/>
          <w:szCs w:val="24"/>
          <w:lang w:eastAsia="zh-CN"/>
        </w:rPr>
        <w:t>．</w:t>
      </w:r>
      <w:r>
        <w:rPr>
          <w:rFonts w:hint="eastAsia" w:ascii="宋体" w:hAnsi="宋体" w:eastAsia="宋体" w:cs="宋体"/>
          <w:b w:val="0"/>
          <w:bCs w:val="0"/>
          <w:kern w:val="21"/>
          <w:position w:val="0"/>
          <w:sz w:val="24"/>
          <w:szCs w:val="24"/>
        </w:rPr>
        <w:t>应急抢险、隐患整改以及为保证安全必须连续实施的作业内容不纳入停工范围。</w:t>
      </w:r>
    </w:p>
    <w:p w14:paraId="49DA6C93">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（二）关于约谈警示</w:t>
      </w:r>
      <w:r>
        <w:rPr>
          <w:rFonts w:hint="eastAsia" w:ascii="宋体" w:hAnsi="宋体" w:eastAsia="宋体" w:cs="宋体"/>
          <w:b w:val="0"/>
          <w:bCs w:val="0"/>
          <w:kern w:val="21"/>
          <w:position w:val="0"/>
          <w:sz w:val="24"/>
          <w:szCs w:val="24"/>
          <w:lang w:eastAsia="zh-CN"/>
        </w:rPr>
        <w:t>。</w:t>
      </w:r>
    </w:p>
    <w:p w14:paraId="65856AFA">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事故工地应当在工地现场召开现场警示会。市、区工程质量安全监督机构应当约谈事故工地的建设、施工、监理单位的安全生产有关责任人。</w:t>
      </w:r>
    </w:p>
    <w:p w14:paraId="77F59A5B">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rPr>
        <w:t>（三）关于挂牌督办</w:t>
      </w:r>
      <w:r>
        <w:rPr>
          <w:rFonts w:hint="eastAsia" w:ascii="宋体" w:hAnsi="宋体" w:eastAsia="宋体" w:cs="宋体"/>
          <w:b w:val="0"/>
          <w:bCs w:val="0"/>
          <w:kern w:val="21"/>
          <w:position w:val="0"/>
          <w:sz w:val="24"/>
          <w:szCs w:val="24"/>
          <w:lang w:eastAsia="zh-CN"/>
        </w:rPr>
        <w:t>。</w:t>
      </w:r>
    </w:p>
    <w:p w14:paraId="1E50043B">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对事故工地和安全问题突出工地进行挂牌督办。市、区工程质量安全监督机构应当在事故工地门口醒目位置加挂“生产安全事故整治督办工地”牌，在安全问题突出工地门口醒目位置加挂“安全生产综合整治督办工地”牌，挂牌时间不得少于2个月。挂牌期限届满，挂牌工地可向市、区工程质量安全监督机构申请摘牌。</w:t>
      </w:r>
    </w:p>
    <w:p w14:paraId="69A8EA54">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六、强化企业安全生产资质条件核查</w:t>
      </w:r>
    </w:p>
    <w:p w14:paraId="761F00A7">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施工单位的安全生产条件及资质动态核查由市、区建设行政主管部门或市、区工程质量安全监督机构组织实施。外地企业的安全生产条件或相关资质经核查不符合法律要求的，由市、区建设行政主管部门移送发证机关依法处理。</w:t>
      </w:r>
    </w:p>
    <w:p w14:paraId="32127F3C">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七、建立政府工程安全生产事故违约金制度</w:t>
      </w:r>
    </w:p>
    <w:p w14:paraId="196F3A1F">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工程安全生产事故违约金的标准结合合同金额和事故等级进行确定，原则上不得低于100万元/人，并由当事人双方在合同中约定。在建项目原施工合同未对生产安全事故违约金进行约定的，在双方协商一致的情况下可以签订补充协议进行约定。</w:t>
      </w:r>
    </w:p>
    <w:p w14:paraId="3A84DA4F">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八、加大生产安全事故问责力度</w:t>
      </w:r>
    </w:p>
    <w:p w14:paraId="32147689">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对相关执法人员在涉事工地的履职情况考核工作由市、区建设行政主管部门实施，市、区工程质量安全监督机构应当全力配合，提供有关管理制度以及监督执法记录文书。考核工作应当遵循“尽职照单免责，失职照单追责”的原则。</w:t>
      </w:r>
    </w:p>
    <w:p w14:paraId="07A866E0">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九、相关术语</w:t>
      </w:r>
    </w:p>
    <w:p w14:paraId="5549F3EC">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一）《若干措施》所称的重大安全隐患是指，作业现场、设施设备存在不安全因素，或现场作业人员的操作行为不规范，或存在管理缺陷，可能导致较大及以上级别的生产安全事故、造成重大经济损失或恶劣社会影响的安全隐患。</w:t>
      </w:r>
    </w:p>
    <w:p w14:paraId="3821C097">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（二）《若干措施》中所称的涉事施工单位一般包括与安全事故相关的施工总承包企业、专业承包企业、劳务分包企业。</w:t>
      </w:r>
    </w:p>
    <w:p w14:paraId="630E360A">
      <w:pPr>
        <w:pStyle w:val="4"/>
        <w:keepNext w:val="0"/>
        <w:keepLines w:val="0"/>
        <w:pageBreakBefore w:val="0"/>
        <w:widowControl w:val="0"/>
        <w:kinsoku/>
        <w:wordWrap/>
        <w:overflowPunct/>
        <w:topLinePunct w:val="0"/>
        <w:autoSpaceDE/>
        <w:autoSpaceDN/>
        <w:bidi w:val="0"/>
        <w:adjustRightInd/>
        <w:snapToGrid/>
        <w:spacing w:line="384"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（三）除特别注明外，《若干措施》中所称的天数均为自然日。</w:t>
      </w:r>
    </w:p>
    <w:p w14:paraId="6A09234C">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黑体" w:hAnsi="黑体" w:eastAsia="黑体" w:cs="黑体"/>
          <w:b w:val="0"/>
          <w:bCs w:val="0"/>
          <w:kern w:val="21"/>
          <w:position w:val="0"/>
          <w:sz w:val="24"/>
          <w:szCs w:val="24"/>
        </w:rPr>
      </w:pPr>
      <w:r>
        <w:rPr>
          <w:rFonts w:hint="eastAsia" w:ascii="黑体" w:hAnsi="黑体" w:eastAsia="黑体" w:cs="黑体"/>
          <w:b w:val="0"/>
          <w:bCs w:val="0"/>
          <w:kern w:val="21"/>
          <w:position w:val="0"/>
          <w:sz w:val="24"/>
          <w:szCs w:val="24"/>
        </w:rPr>
        <w:t>十、生效时间</w:t>
      </w:r>
    </w:p>
    <w:p w14:paraId="04FF9A73">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r>
        <w:rPr>
          <w:rFonts w:hint="eastAsia" w:ascii="宋体" w:hAnsi="宋体" w:eastAsia="宋体" w:cs="宋体"/>
          <w:b w:val="0"/>
          <w:bCs w:val="0"/>
          <w:kern w:val="21"/>
          <w:position w:val="0"/>
          <w:sz w:val="24"/>
          <w:szCs w:val="24"/>
        </w:rPr>
        <w:t>本</w:t>
      </w:r>
      <w:r>
        <w:rPr>
          <w:rFonts w:hint="eastAsia" w:ascii="宋体" w:hAnsi="宋体" w:eastAsia="宋体" w:cs="宋体"/>
          <w:b w:val="0"/>
          <w:bCs w:val="0"/>
          <w:kern w:val="21"/>
          <w:position w:val="0"/>
          <w:sz w:val="24"/>
          <w:szCs w:val="24"/>
          <w:lang w:eastAsia="zh-CN"/>
        </w:rPr>
        <w:t>实施</w:t>
      </w:r>
      <w:r>
        <w:rPr>
          <w:rFonts w:hint="eastAsia" w:ascii="宋体" w:hAnsi="宋体" w:eastAsia="宋体" w:cs="宋体"/>
          <w:b w:val="0"/>
          <w:bCs w:val="0"/>
          <w:kern w:val="21"/>
          <w:position w:val="0"/>
          <w:sz w:val="24"/>
          <w:szCs w:val="24"/>
        </w:rPr>
        <w:t>细则自2019年4月1日起实施，有效期与《若干措施》相同。</w:t>
      </w:r>
    </w:p>
    <w:p w14:paraId="539E3935">
      <w:pPr>
        <w:pStyle w:val="4"/>
        <w:keepNext w:val="0"/>
        <w:keepLines w:val="0"/>
        <w:pageBreakBefore w:val="0"/>
        <w:widowControl w:val="0"/>
        <w:kinsoku/>
        <w:wordWrap/>
        <w:overflowPunct/>
        <w:topLinePunct w:val="0"/>
        <w:autoSpaceDE/>
        <w:autoSpaceDN/>
        <w:bidi w:val="0"/>
        <w:adjustRightInd/>
        <w:snapToGrid/>
        <w:spacing w:line="31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p>
    <w:p w14:paraId="6B0B8C43">
      <w:pPr>
        <w:pStyle w:val="4"/>
        <w:keepNext w:val="0"/>
        <w:keepLines w:val="0"/>
        <w:pageBreakBefore w:val="0"/>
        <w:widowControl w:val="0"/>
        <w:kinsoku/>
        <w:wordWrap/>
        <w:overflowPunct/>
        <w:topLinePunct w:val="0"/>
        <w:autoSpaceDE/>
        <w:autoSpaceDN/>
        <w:bidi w:val="0"/>
        <w:adjustRightInd/>
        <w:snapToGrid/>
        <w:spacing w:line="39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lang w:eastAsia="zh-CN"/>
        </w:rPr>
      </w:pPr>
      <w:r>
        <w:rPr>
          <w:rFonts w:hint="eastAsia" w:ascii="宋体" w:hAnsi="宋体" w:eastAsia="宋体" w:cs="宋体"/>
          <w:b w:val="0"/>
          <w:bCs w:val="0"/>
          <w:kern w:val="21"/>
          <w:position w:val="0"/>
          <w:sz w:val="24"/>
          <w:szCs w:val="24"/>
          <w:lang w:eastAsia="zh-CN"/>
        </w:rPr>
        <w:t>附表：黄色警示情形一览表</w:t>
      </w:r>
    </w:p>
    <w:p w14:paraId="0859623C">
      <w:pPr>
        <w:pStyle w:val="4"/>
        <w:keepNext w:val="0"/>
        <w:keepLines w:val="0"/>
        <w:pageBreakBefore w:val="0"/>
        <w:widowControl w:val="0"/>
        <w:kinsoku/>
        <w:wordWrap/>
        <w:overflowPunct/>
        <w:topLinePunct w:val="0"/>
        <w:autoSpaceDE/>
        <w:autoSpaceDN/>
        <w:bidi w:val="0"/>
        <w:adjustRightInd/>
        <w:snapToGrid/>
        <w:spacing w:line="376" w:lineRule="atLeast"/>
        <w:ind w:left="0" w:leftChars="0" w:firstLine="480" w:firstLineChars="200"/>
        <w:jc w:val="both"/>
        <w:textAlignment w:val="auto"/>
        <w:outlineLvl w:val="9"/>
        <w:rPr>
          <w:rFonts w:hint="eastAsia" w:ascii="宋体" w:hAnsi="宋体" w:eastAsia="宋体" w:cs="宋体"/>
          <w:b w:val="0"/>
          <w:bCs w:val="0"/>
          <w:kern w:val="21"/>
          <w:position w:val="0"/>
          <w:sz w:val="24"/>
          <w:szCs w:val="24"/>
        </w:rPr>
      </w:pPr>
    </w:p>
    <w:p w14:paraId="4D1710D7">
      <w:pPr>
        <w:keepNext w:val="0"/>
        <w:keepLines w:val="0"/>
        <w:pageBreakBefore w:val="0"/>
        <w:widowControl w:val="0"/>
        <w:kinsoku/>
        <w:wordWrap/>
        <w:overflowPunct/>
        <w:topLinePunct w:val="0"/>
        <w:autoSpaceDE/>
        <w:autoSpaceDN/>
        <w:bidi w:val="0"/>
        <w:adjustRightInd/>
        <w:snapToGrid/>
        <w:spacing w:line="376" w:lineRule="atLeast"/>
        <w:ind w:firstLine="480" w:firstLineChars="200"/>
        <w:jc w:val="both"/>
        <w:textAlignment w:val="auto"/>
        <w:rPr>
          <w:rFonts w:hint="eastAsia" w:ascii="宋体" w:hAnsi="宋体" w:eastAsia="宋体" w:cs="宋体"/>
          <w:b w:val="0"/>
          <w:bCs w:val="0"/>
          <w:color w:val="auto"/>
          <w:kern w:val="21"/>
          <w:sz w:val="24"/>
          <w:szCs w:val="24"/>
          <w:shd w:val="clear" w:color="auto" w:fill="FFFFFF"/>
        </w:rPr>
      </w:pPr>
    </w:p>
    <w:p w14:paraId="26E1877B">
      <w:pPr>
        <w:keepNext w:val="0"/>
        <w:keepLines w:val="0"/>
        <w:pageBreakBefore w:val="0"/>
        <w:widowControl w:val="0"/>
        <w:kinsoku/>
        <w:wordWrap/>
        <w:overflowPunct/>
        <w:topLinePunct w:val="0"/>
        <w:autoSpaceDE/>
        <w:autoSpaceDN/>
        <w:bidi w:val="0"/>
        <w:adjustRightInd/>
        <w:snapToGrid/>
        <w:spacing w:line="376" w:lineRule="atLeast"/>
        <w:ind w:firstLine="480" w:firstLineChars="200"/>
        <w:jc w:val="both"/>
        <w:textAlignment w:val="auto"/>
        <w:rPr>
          <w:rFonts w:hint="eastAsia" w:ascii="宋体" w:hAnsi="宋体" w:eastAsia="宋体" w:cs="宋体"/>
          <w:b w:val="0"/>
          <w:bCs w:val="0"/>
          <w:color w:val="auto"/>
          <w:kern w:val="21"/>
          <w:sz w:val="24"/>
          <w:szCs w:val="24"/>
          <w:shd w:val="clear" w:color="auto" w:fill="FFFFFF"/>
        </w:rPr>
      </w:pPr>
    </w:p>
    <w:p w14:paraId="7F8C82CE">
      <w:pPr>
        <w:keepNext w:val="0"/>
        <w:keepLines w:val="0"/>
        <w:pageBreakBefore w:val="0"/>
        <w:widowControl w:val="0"/>
        <w:kinsoku/>
        <w:wordWrap/>
        <w:overflowPunct/>
        <w:topLinePunct w:val="0"/>
        <w:autoSpaceDE/>
        <w:autoSpaceDN/>
        <w:bidi w:val="0"/>
        <w:adjustRightInd/>
        <w:snapToGrid/>
        <w:spacing w:line="396" w:lineRule="atLeast"/>
        <w:ind w:firstLine="0" w:firstLineChars="0"/>
        <w:jc w:val="both"/>
        <w:textAlignment w:val="auto"/>
        <w:rPr>
          <w:rFonts w:hint="eastAsia" w:ascii="宋体" w:hAnsi="宋体" w:eastAsia="宋体" w:cs="宋体"/>
          <w:b w:val="0"/>
          <w:bCs w:val="0"/>
          <w:color w:val="auto"/>
          <w:kern w:val="21"/>
          <w:sz w:val="24"/>
          <w:szCs w:val="24"/>
          <w:shd w:val="clear" w:color="auto" w:fill="FFFFFF"/>
        </w:rPr>
      </w:pPr>
      <w:r>
        <w:rPr>
          <w:rFonts w:hint="eastAsia" w:ascii="宋体" w:hAnsi="宋体" w:eastAsia="宋体" w:cs="宋体"/>
          <w:b w:val="0"/>
          <w:bCs w:val="0"/>
          <w:color w:val="auto"/>
          <w:kern w:val="21"/>
          <w:sz w:val="24"/>
          <w:szCs w:val="24"/>
          <w:shd w:val="clear" w:color="auto" w:fill="FFFFFF"/>
        </w:rPr>
        <w:t>附表</w:t>
      </w:r>
    </w:p>
    <w:p w14:paraId="6EDB6A6C">
      <w:pPr>
        <w:keepNext w:val="0"/>
        <w:keepLines w:val="0"/>
        <w:pageBreakBefore w:val="0"/>
        <w:widowControl w:val="0"/>
        <w:kinsoku/>
        <w:wordWrap/>
        <w:overflowPunct/>
        <w:topLinePunct w:val="0"/>
        <w:autoSpaceDE/>
        <w:autoSpaceDN/>
        <w:bidi w:val="0"/>
        <w:adjustRightInd/>
        <w:snapToGrid/>
        <w:spacing w:after="157" w:afterLines="50" w:line="0" w:lineRule="atLeast"/>
        <w:ind w:firstLine="0" w:firstLineChars="0"/>
        <w:jc w:val="center"/>
        <w:textAlignment w:val="auto"/>
        <w:rPr>
          <w:rFonts w:hint="eastAsia" w:ascii="宋体" w:hAnsi="宋体" w:eastAsia="宋体" w:cs="宋体"/>
          <w:b w:val="0"/>
          <w:bCs w:val="0"/>
          <w:color w:val="auto"/>
          <w:kern w:val="21"/>
          <w:sz w:val="36"/>
          <w:szCs w:val="36"/>
        </w:rPr>
      </w:pPr>
      <w:r>
        <w:rPr>
          <w:rFonts w:hint="eastAsia" w:ascii="宋体" w:hAnsi="宋体" w:eastAsia="宋体" w:cs="宋体"/>
          <w:b w:val="0"/>
          <w:bCs w:val="0"/>
          <w:color w:val="auto"/>
          <w:kern w:val="21"/>
          <w:sz w:val="36"/>
          <w:szCs w:val="36"/>
        </w:rPr>
        <w:t>黄色警示情形一览表</w:t>
      </w:r>
    </w:p>
    <w:tbl>
      <w:tblPr>
        <w:tblStyle w:val="2"/>
        <w:tblW w:w="488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90"/>
        <w:gridCol w:w="6582"/>
        <w:gridCol w:w="1261"/>
      </w:tblGrid>
      <w:tr w14:paraId="7A4538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9987D8A">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黑体" w:hAnsi="黑体" w:eastAsia="黑体" w:cs="黑体"/>
                <w:b w:val="0"/>
                <w:bCs w:val="0"/>
                <w:color w:val="auto"/>
                <w:kern w:val="21"/>
                <w:sz w:val="21"/>
                <w:szCs w:val="21"/>
              </w:rPr>
            </w:pPr>
            <w:r>
              <w:rPr>
                <w:rFonts w:hint="eastAsia" w:ascii="黑体" w:hAnsi="黑体" w:eastAsia="黑体" w:cs="黑体"/>
                <w:b w:val="0"/>
                <w:bCs w:val="0"/>
                <w:color w:val="auto"/>
                <w:kern w:val="21"/>
                <w:sz w:val="21"/>
                <w:szCs w:val="21"/>
              </w:rPr>
              <w:t>序号</w:t>
            </w:r>
          </w:p>
        </w:tc>
        <w:tc>
          <w:tcPr>
            <w:tcW w:w="7043" w:type="dxa"/>
            <w:tcBorders>
              <w:tl2br w:val="nil"/>
              <w:tr2bl w:val="nil"/>
            </w:tcBorders>
            <w:noWrap w:val="0"/>
            <w:vAlign w:val="center"/>
          </w:tcPr>
          <w:p w14:paraId="49962C79">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黑体" w:hAnsi="黑体" w:eastAsia="黑体" w:cs="黑体"/>
                <w:b w:val="0"/>
                <w:bCs w:val="0"/>
                <w:color w:val="auto"/>
                <w:kern w:val="21"/>
                <w:sz w:val="21"/>
                <w:szCs w:val="21"/>
              </w:rPr>
            </w:pPr>
            <w:r>
              <w:rPr>
                <w:rFonts w:hint="eastAsia" w:ascii="黑体" w:hAnsi="黑体" w:eastAsia="黑体" w:cs="黑体"/>
                <w:b w:val="0"/>
                <w:bCs w:val="0"/>
                <w:color w:val="auto"/>
                <w:kern w:val="21"/>
                <w:sz w:val="21"/>
                <w:szCs w:val="21"/>
              </w:rPr>
              <w:t>违法违规行为</w:t>
            </w:r>
          </w:p>
        </w:tc>
        <w:tc>
          <w:tcPr>
            <w:tcW w:w="1349" w:type="dxa"/>
            <w:tcBorders>
              <w:tl2br w:val="nil"/>
              <w:tr2bl w:val="nil"/>
            </w:tcBorders>
            <w:noWrap w:val="0"/>
            <w:vAlign w:val="center"/>
          </w:tcPr>
          <w:p w14:paraId="5E281483">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黑体" w:hAnsi="黑体" w:eastAsia="黑体" w:cs="黑体"/>
                <w:b w:val="0"/>
                <w:bCs w:val="0"/>
                <w:color w:val="auto"/>
                <w:kern w:val="21"/>
                <w:sz w:val="21"/>
                <w:szCs w:val="21"/>
              </w:rPr>
            </w:pPr>
            <w:r>
              <w:rPr>
                <w:rFonts w:hint="eastAsia" w:ascii="黑体" w:hAnsi="黑体" w:eastAsia="黑体" w:cs="黑体"/>
                <w:b w:val="0"/>
                <w:bCs w:val="0"/>
                <w:color w:val="auto"/>
                <w:kern w:val="21"/>
                <w:sz w:val="21"/>
                <w:szCs w:val="21"/>
              </w:rPr>
              <w:t>备注</w:t>
            </w:r>
          </w:p>
        </w:tc>
      </w:tr>
      <w:tr w14:paraId="391EDE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8916" w:type="dxa"/>
            <w:gridSpan w:val="3"/>
            <w:tcBorders>
              <w:tl2br w:val="nil"/>
              <w:tr2bl w:val="nil"/>
            </w:tcBorders>
            <w:noWrap w:val="0"/>
            <w:vAlign w:val="center"/>
          </w:tcPr>
          <w:p w14:paraId="12543C4F">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黑体" w:hAnsi="黑体" w:eastAsia="黑体" w:cs="黑体"/>
                <w:b w:val="0"/>
                <w:bCs w:val="0"/>
                <w:color w:val="auto"/>
                <w:kern w:val="21"/>
                <w:sz w:val="21"/>
                <w:szCs w:val="21"/>
              </w:rPr>
            </w:pPr>
            <w:r>
              <w:rPr>
                <w:rFonts w:hint="eastAsia" w:ascii="黑体" w:hAnsi="黑体" w:eastAsia="黑体" w:cs="黑体"/>
                <w:b w:val="0"/>
                <w:bCs w:val="0"/>
                <w:color w:val="auto"/>
                <w:kern w:val="21"/>
                <w:sz w:val="21"/>
                <w:szCs w:val="21"/>
              </w:rPr>
              <w:t>一、建设单位</w:t>
            </w:r>
          </w:p>
        </w:tc>
      </w:tr>
      <w:tr w14:paraId="55E895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1C0D0D9B">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w:t>
            </w:r>
          </w:p>
        </w:tc>
        <w:tc>
          <w:tcPr>
            <w:tcW w:w="7043" w:type="dxa"/>
            <w:tcBorders>
              <w:tl2br w:val="nil"/>
              <w:tr2bl w:val="nil"/>
            </w:tcBorders>
            <w:noWrap w:val="0"/>
            <w:vAlign w:val="center"/>
          </w:tcPr>
          <w:p w14:paraId="03056054">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未取得施工许可擅自施工或超越施工许可规定范围施工的</w:t>
            </w:r>
          </w:p>
        </w:tc>
        <w:tc>
          <w:tcPr>
            <w:tcW w:w="1349" w:type="dxa"/>
            <w:vMerge w:val="restart"/>
            <w:tcBorders>
              <w:tl2br w:val="nil"/>
              <w:tr2bl w:val="nil"/>
            </w:tcBorders>
            <w:noWrap w:val="0"/>
            <w:vAlign w:val="center"/>
          </w:tcPr>
          <w:p w14:paraId="1771A724">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施工许可及资质管理</w:t>
            </w:r>
          </w:p>
        </w:tc>
      </w:tr>
      <w:tr w14:paraId="2B5F3E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64747B8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w:t>
            </w:r>
          </w:p>
        </w:tc>
        <w:tc>
          <w:tcPr>
            <w:tcW w:w="7043" w:type="dxa"/>
            <w:tcBorders>
              <w:tl2br w:val="nil"/>
              <w:tr2bl w:val="nil"/>
            </w:tcBorders>
            <w:noWrap w:val="0"/>
            <w:vAlign w:val="center"/>
          </w:tcPr>
          <w:p w14:paraId="68B5759C">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将工程发包给无相应施工资质或安全生产许可证的建筑业企业的</w:t>
            </w:r>
          </w:p>
        </w:tc>
        <w:tc>
          <w:tcPr>
            <w:tcW w:w="1349" w:type="dxa"/>
            <w:vMerge w:val="continue"/>
            <w:tcBorders>
              <w:tl2br w:val="nil"/>
              <w:tr2bl w:val="nil"/>
            </w:tcBorders>
            <w:noWrap w:val="0"/>
            <w:vAlign w:val="center"/>
          </w:tcPr>
          <w:p w14:paraId="0567F745">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23C7C9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56C5CD6C">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3</w:t>
            </w:r>
          </w:p>
        </w:tc>
        <w:tc>
          <w:tcPr>
            <w:tcW w:w="7043" w:type="dxa"/>
            <w:tcBorders>
              <w:tl2br w:val="nil"/>
              <w:tr2bl w:val="nil"/>
            </w:tcBorders>
            <w:noWrap w:val="0"/>
            <w:vAlign w:val="center"/>
          </w:tcPr>
          <w:p w14:paraId="4FFF90CF">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施工图设计文件或重大设计变更未按规定组织第三方审图的</w:t>
            </w:r>
          </w:p>
        </w:tc>
        <w:tc>
          <w:tcPr>
            <w:tcW w:w="1349" w:type="dxa"/>
            <w:vMerge w:val="restart"/>
            <w:tcBorders>
              <w:tl2br w:val="nil"/>
              <w:tr2bl w:val="nil"/>
            </w:tcBorders>
            <w:noWrap w:val="0"/>
            <w:vAlign w:val="center"/>
          </w:tcPr>
          <w:p w14:paraId="31872E5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安全行为管理</w:t>
            </w:r>
          </w:p>
        </w:tc>
      </w:tr>
      <w:tr w14:paraId="741D0E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CA47214">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4</w:t>
            </w:r>
          </w:p>
        </w:tc>
        <w:tc>
          <w:tcPr>
            <w:tcW w:w="7043" w:type="dxa"/>
            <w:tcBorders>
              <w:tl2br w:val="nil"/>
              <w:tr2bl w:val="nil"/>
            </w:tcBorders>
            <w:noWrap w:val="0"/>
            <w:vAlign w:val="center"/>
          </w:tcPr>
          <w:p w14:paraId="4838C791">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未按规定落实“三层三级”安全检查，或“三层三级”安全检查资料弄虚作假的</w:t>
            </w:r>
          </w:p>
        </w:tc>
        <w:tc>
          <w:tcPr>
            <w:tcW w:w="1349" w:type="dxa"/>
            <w:vMerge w:val="continue"/>
            <w:tcBorders>
              <w:tl2br w:val="nil"/>
              <w:tr2bl w:val="nil"/>
            </w:tcBorders>
            <w:noWrap w:val="0"/>
            <w:vAlign w:val="center"/>
          </w:tcPr>
          <w:p w14:paraId="12198E7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70A15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17A17CE9">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5</w:t>
            </w:r>
          </w:p>
        </w:tc>
        <w:tc>
          <w:tcPr>
            <w:tcW w:w="7043" w:type="dxa"/>
            <w:tcBorders>
              <w:tl2br w:val="nil"/>
              <w:tr2bl w:val="nil"/>
            </w:tcBorders>
            <w:noWrap w:val="0"/>
            <w:vAlign w:val="center"/>
          </w:tcPr>
          <w:p w14:paraId="3B5EE5B6">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未按照施工合同约定及时支付危大工程施工技术措施费或者相应的安全防护文明施工措施费的</w:t>
            </w:r>
          </w:p>
        </w:tc>
        <w:tc>
          <w:tcPr>
            <w:tcW w:w="1349" w:type="dxa"/>
            <w:vMerge w:val="continue"/>
            <w:tcBorders>
              <w:tl2br w:val="nil"/>
              <w:tr2bl w:val="nil"/>
            </w:tcBorders>
            <w:noWrap w:val="0"/>
            <w:vAlign w:val="center"/>
          </w:tcPr>
          <w:p w14:paraId="516EE321">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0BB6DC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48CFF26">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6</w:t>
            </w:r>
          </w:p>
        </w:tc>
        <w:tc>
          <w:tcPr>
            <w:tcW w:w="7043" w:type="dxa"/>
            <w:tcBorders>
              <w:tl2br w:val="nil"/>
              <w:tr2bl w:val="nil"/>
            </w:tcBorders>
            <w:noWrap w:val="0"/>
            <w:vAlign w:val="center"/>
          </w:tcPr>
          <w:p w14:paraId="74FBF080">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在燃气管道安全保护或者控制范围内从事活动未与管道燃气企业签订安全保护协议擅自施工的，或在地铁安全保护区从事施工活动，未与地铁运营单位签订安全文明施工协议的</w:t>
            </w:r>
          </w:p>
        </w:tc>
        <w:tc>
          <w:tcPr>
            <w:tcW w:w="1349" w:type="dxa"/>
            <w:vMerge w:val="continue"/>
            <w:tcBorders>
              <w:tl2br w:val="nil"/>
              <w:tr2bl w:val="nil"/>
            </w:tcBorders>
            <w:noWrap w:val="0"/>
            <w:vAlign w:val="center"/>
          </w:tcPr>
          <w:p w14:paraId="0D2353D3">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333973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EB1806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7</w:t>
            </w:r>
          </w:p>
        </w:tc>
        <w:tc>
          <w:tcPr>
            <w:tcW w:w="7043" w:type="dxa"/>
            <w:tcBorders>
              <w:tl2br w:val="nil"/>
              <w:tr2bl w:val="nil"/>
            </w:tcBorders>
            <w:noWrap w:val="0"/>
            <w:vAlign w:val="center"/>
          </w:tcPr>
          <w:p w14:paraId="75ABE99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未根据专家评审意见对基坑、暗挖工程设计方案进行完善的</w:t>
            </w:r>
          </w:p>
        </w:tc>
        <w:tc>
          <w:tcPr>
            <w:tcW w:w="1349" w:type="dxa"/>
            <w:vMerge w:val="restart"/>
            <w:tcBorders>
              <w:tl2br w:val="nil"/>
              <w:tr2bl w:val="nil"/>
            </w:tcBorders>
            <w:noWrap w:val="0"/>
            <w:vAlign w:val="center"/>
          </w:tcPr>
          <w:p w14:paraId="49032C0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危大工程管理</w:t>
            </w:r>
          </w:p>
        </w:tc>
      </w:tr>
      <w:tr w14:paraId="3A6430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7471AB2E">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8</w:t>
            </w:r>
          </w:p>
        </w:tc>
        <w:tc>
          <w:tcPr>
            <w:tcW w:w="7043" w:type="dxa"/>
            <w:tcBorders>
              <w:tl2br w:val="nil"/>
              <w:tr2bl w:val="nil"/>
            </w:tcBorders>
            <w:noWrap w:val="0"/>
            <w:vAlign w:val="center"/>
          </w:tcPr>
          <w:p w14:paraId="4EFD1EB0">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危大工程未按规定委托具有相应勘察资质的单位进行第三方监测，或未对第三方监测单位报告的异常情况组织采取处置措施的</w:t>
            </w:r>
          </w:p>
        </w:tc>
        <w:tc>
          <w:tcPr>
            <w:tcW w:w="1349" w:type="dxa"/>
            <w:vMerge w:val="continue"/>
            <w:tcBorders>
              <w:tl2br w:val="nil"/>
              <w:tr2bl w:val="nil"/>
            </w:tcBorders>
            <w:noWrap w:val="0"/>
            <w:vAlign w:val="center"/>
          </w:tcPr>
          <w:p w14:paraId="4B45955C">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6C7590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8916" w:type="dxa"/>
            <w:gridSpan w:val="3"/>
            <w:tcBorders>
              <w:tl2br w:val="nil"/>
              <w:tr2bl w:val="nil"/>
            </w:tcBorders>
            <w:noWrap w:val="0"/>
            <w:vAlign w:val="center"/>
          </w:tcPr>
          <w:p w14:paraId="6151DB50">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黑体" w:hAnsi="黑体" w:eastAsia="黑体" w:cs="黑体"/>
                <w:b w:val="0"/>
                <w:bCs w:val="0"/>
                <w:color w:val="auto"/>
                <w:kern w:val="21"/>
                <w:sz w:val="21"/>
                <w:szCs w:val="21"/>
              </w:rPr>
            </w:pPr>
            <w:r>
              <w:rPr>
                <w:rFonts w:hint="eastAsia" w:ascii="黑体" w:hAnsi="黑体" w:eastAsia="黑体" w:cs="黑体"/>
                <w:b w:val="0"/>
                <w:bCs w:val="0"/>
                <w:color w:val="auto"/>
                <w:kern w:val="21"/>
                <w:sz w:val="21"/>
                <w:szCs w:val="21"/>
              </w:rPr>
              <w:t>二、施工单位</w:t>
            </w:r>
          </w:p>
        </w:tc>
      </w:tr>
      <w:tr w14:paraId="7A9942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4AE54568">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w:t>
            </w:r>
          </w:p>
        </w:tc>
        <w:tc>
          <w:tcPr>
            <w:tcW w:w="7043" w:type="dxa"/>
            <w:tcBorders>
              <w:tl2br w:val="nil"/>
              <w:tr2bl w:val="nil"/>
            </w:tcBorders>
            <w:noWrap w:val="0"/>
            <w:vAlign w:val="center"/>
          </w:tcPr>
          <w:p w14:paraId="48E30748">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项目经理不在岗履职或特殊天气条件下（台风白色、暴雨黄色及以上预警期间）项目经理未在岗值守的</w:t>
            </w:r>
          </w:p>
        </w:tc>
        <w:tc>
          <w:tcPr>
            <w:tcW w:w="1349" w:type="dxa"/>
            <w:vMerge w:val="restart"/>
            <w:tcBorders>
              <w:tl2br w:val="nil"/>
              <w:tr2bl w:val="nil"/>
            </w:tcBorders>
            <w:noWrap w:val="0"/>
            <w:vAlign w:val="center"/>
          </w:tcPr>
          <w:p w14:paraId="662ED38C">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人员在岗履职</w:t>
            </w:r>
          </w:p>
        </w:tc>
      </w:tr>
      <w:tr w14:paraId="760F02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5230782">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w:t>
            </w:r>
          </w:p>
        </w:tc>
        <w:tc>
          <w:tcPr>
            <w:tcW w:w="7043" w:type="dxa"/>
            <w:tcBorders>
              <w:tl2br w:val="nil"/>
              <w:tr2bl w:val="nil"/>
            </w:tcBorders>
            <w:noWrap w:val="0"/>
            <w:vAlign w:val="center"/>
          </w:tcPr>
          <w:p w14:paraId="728BFCEB">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周末、节假日未落实施工单位主要项目管理人员（项目经理、生产经理）领导值班制度的</w:t>
            </w:r>
          </w:p>
        </w:tc>
        <w:tc>
          <w:tcPr>
            <w:tcW w:w="1349" w:type="dxa"/>
            <w:vMerge w:val="continue"/>
            <w:tcBorders>
              <w:tl2br w:val="nil"/>
              <w:tr2bl w:val="nil"/>
            </w:tcBorders>
            <w:noWrap w:val="0"/>
            <w:vAlign w:val="center"/>
          </w:tcPr>
          <w:p w14:paraId="0AF11706">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15DE41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A1041B5">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3</w:t>
            </w:r>
          </w:p>
        </w:tc>
        <w:tc>
          <w:tcPr>
            <w:tcW w:w="7043" w:type="dxa"/>
            <w:tcBorders>
              <w:tl2br w:val="nil"/>
              <w:tr2bl w:val="nil"/>
            </w:tcBorders>
            <w:noWrap w:val="0"/>
            <w:vAlign w:val="center"/>
          </w:tcPr>
          <w:p w14:paraId="3AF0118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专职安全生产管理人员配备不符合要求或不在岗履职的</w:t>
            </w:r>
          </w:p>
        </w:tc>
        <w:tc>
          <w:tcPr>
            <w:tcW w:w="1349" w:type="dxa"/>
            <w:vMerge w:val="continue"/>
            <w:tcBorders>
              <w:tl2br w:val="nil"/>
              <w:tr2bl w:val="nil"/>
            </w:tcBorders>
            <w:noWrap w:val="0"/>
            <w:vAlign w:val="center"/>
          </w:tcPr>
          <w:p w14:paraId="6D56C0A9">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794435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7D95402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4</w:t>
            </w:r>
          </w:p>
        </w:tc>
        <w:tc>
          <w:tcPr>
            <w:tcW w:w="7043" w:type="dxa"/>
            <w:tcBorders>
              <w:tl2br w:val="nil"/>
              <w:tr2bl w:val="nil"/>
            </w:tcBorders>
            <w:noWrap w:val="0"/>
            <w:vAlign w:val="center"/>
          </w:tcPr>
          <w:p w14:paraId="54313E8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未按规定落实“三层三级”安全检查，或“三层三级”安全检查资料弄虚作假的</w:t>
            </w:r>
          </w:p>
        </w:tc>
        <w:tc>
          <w:tcPr>
            <w:tcW w:w="1349" w:type="dxa"/>
            <w:vMerge w:val="restart"/>
            <w:tcBorders>
              <w:tl2br w:val="nil"/>
              <w:tr2bl w:val="nil"/>
            </w:tcBorders>
            <w:noWrap w:val="0"/>
            <w:vAlign w:val="center"/>
          </w:tcPr>
          <w:p w14:paraId="32E4AD92">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安全行为管理</w:t>
            </w:r>
          </w:p>
        </w:tc>
      </w:tr>
      <w:tr w14:paraId="079856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41969F6E">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5</w:t>
            </w:r>
          </w:p>
        </w:tc>
        <w:tc>
          <w:tcPr>
            <w:tcW w:w="7043" w:type="dxa"/>
            <w:tcBorders>
              <w:tl2br w:val="nil"/>
              <w:tr2bl w:val="nil"/>
            </w:tcBorders>
            <w:noWrap w:val="0"/>
            <w:vAlign w:val="center"/>
          </w:tcPr>
          <w:p w14:paraId="75511ABE">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作业人员未接受三级安全教育或安全技术交底的</w:t>
            </w:r>
          </w:p>
        </w:tc>
        <w:tc>
          <w:tcPr>
            <w:tcW w:w="1349" w:type="dxa"/>
            <w:vMerge w:val="continue"/>
            <w:tcBorders>
              <w:tl2br w:val="nil"/>
              <w:tr2bl w:val="nil"/>
            </w:tcBorders>
            <w:noWrap w:val="0"/>
            <w:vAlign w:val="center"/>
          </w:tcPr>
          <w:p w14:paraId="5BC73D4A">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0FB797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35A3505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6</w:t>
            </w:r>
          </w:p>
        </w:tc>
        <w:tc>
          <w:tcPr>
            <w:tcW w:w="7043" w:type="dxa"/>
            <w:tcBorders>
              <w:tl2br w:val="nil"/>
              <w:tr2bl w:val="nil"/>
            </w:tcBorders>
            <w:noWrap w:val="0"/>
            <w:vAlign w:val="center"/>
          </w:tcPr>
          <w:p w14:paraId="43A28AE5">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特种作业人员未持有效证件上岗作业的，或未在“深圳市住房和建设局实名制和分账制管理平台”实名登记并学习考试合格即上岗作业的</w:t>
            </w:r>
          </w:p>
        </w:tc>
        <w:tc>
          <w:tcPr>
            <w:tcW w:w="1349" w:type="dxa"/>
            <w:vMerge w:val="continue"/>
            <w:tcBorders>
              <w:tl2br w:val="nil"/>
              <w:tr2bl w:val="nil"/>
            </w:tcBorders>
            <w:noWrap w:val="0"/>
            <w:vAlign w:val="center"/>
          </w:tcPr>
          <w:p w14:paraId="08232600">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2D41E0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68806F70">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7</w:t>
            </w:r>
          </w:p>
        </w:tc>
        <w:tc>
          <w:tcPr>
            <w:tcW w:w="7043" w:type="dxa"/>
            <w:tcBorders>
              <w:tl2br w:val="nil"/>
              <w:tr2bl w:val="nil"/>
            </w:tcBorders>
            <w:noWrap w:val="0"/>
            <w:vAlign w:val="center"/>
          </w:tcPr>
          <w:p w14:paraId="7509B46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危大工程施工前未按规定编审、论证专项施工方案的，或未按经审批合格的专项施工方案组织施工的</w:t>
            </w:r>
          </w:p>
        </w:tc>
        <w:tc>
          <w:tcPr>
            <w:tcW w:w="1349" w:type="dxa"/>
            <w:vMerge w:val="restart"/>
            <w:tcBorders>
              <w:tl2br w:val="nil"/>
              <w:tr2bl w:val="nil"/>
            </w:tcBorders>
            <w:noWrap w:val="0"/>
            <w:vAlign w:val="center"/>
          </w:tcPr>
          <w:p w14:paraId="4F1ADBE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危大工程管理</w:t>
            </w:r>
          </w:p>
        </w:tc>
      </w:tr>
      <w:tr w14:paraId="766DDA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3AF442A8">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8</w:t>
            </w:r>
          </w:p>
        </w:tc>
        <w:tc>
          <w:tcPr>
            <w:tcW w:w="7043" w:type="dxa"/>
            <w:tcBorders>
              <w:tl2br w:val="nil"/>
              <w:tr2bl w:val="nil"/>
            </w:tcBorders>
            <w:noWrap w:val="0"/>
            <w:vAlign w:val="center"/>
          </w:tcPr>
          <w:p w14:paraId="533FF65F">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未根据专家论证报告对超过一定规模的危大工程专项施工方案进行修改，或者未按规定重新组织专家论证的</w:t>
            </w:r>
          </w:p>
        </w:tc>
        <w:tc>
          <w:tcPr>
            <w:tcW w:w="1349" w:type="dxa"/>
            <w:vMerge w:val="continue"/>
            <w:tcBorders>
              <w:tl2br w:val="nil"/>
              <w:tr2bl w:val="nil"/>
            </w:tcBorders>
            <w:noWrap w:val="0"/>
            <w:vAlign w:val="center"/>
          </w:tcPr>
          <w:p w14:paraId="2D4E15D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76F149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A23D87A">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9</w:t>
            </w:r>
          </w:p>
        </w:tc>
        <w:tc>
          <w:tcPr>
            <w:tcW w:w="7043" w:type="dxa"/>
            <w:tcBorders>
              <w:tl2br w:val="nil"/>
              <w:tr2bl w:val="nil"/>
            </w:tcBorders>
            <w:noWrap w:val="0"/>
            <w:vAlign w:val="center"/>
          </w:tcPr>
          <w:p w14:paraId="6F9C02E8">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专项施工方案因规划调整、设计变更等原因确需调整，但修改后的专项施工方案未按照规定重新审核或论证的</w:t>
            </w:r>
          </w:p>
        </w:tc>
        <w:tc>
          <w:tcPr>
            <w:tcW w:w="1349" w:type="dxa"/>
            <w:vMerge w:val="continue"/>
            <w:tcBorders>
              <w:tl2br w:val="nil"/>
              <w:tr2bl w:val="nil"/>
            </w:tcBorders>
            <w:noWrap w:val="0"/>
            <w:vAlign w:val="center"/>
          </w:tcPr>
          <w:p w14:paraId="3866F7F6">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bl>
    <w:p w14:paraId="0D1C6987">
      <w:pPr>
        <w:keepNext w:val="0"/>
        <w:keepLines w:val="0"/>
        <w:pageBreakBefore w:val="0"/>
        <w:widowControl w:val="0"/>
        <w:kinsoku/>
        <w:wordWrap/>
        <w:overflowPunct/>
        <w:topLinePunct w:val="0"/>
        <w:autoSpaceDE/>
        <w:autoSpaceDN/>
        <w:bidi w:val="0"/>
        <w:adjustRightInd/>
        <w:snapToGrid/>
        <w:spacing w:line="20" w:lineRule="exact"/>
        <w:textAlignment w:val="auto"/>
      </w:pPr>
    </w:p>
    <w:tbl>
      <w:tblPr>
        <w:tblStyle w:val="2"/>
        <w:tblW w:w="488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90"/>
        <w:gridCol w:w="6582"/>
        <w:gridCol w:w="1261"/>
      </w:tblGrid>
      <w:tr w14:paraId="6960BE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D1720A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黑体" w:hAnsi="黑体" w:eastAsia="黑体" w:cs="黑体"/>
                <w:b w:val="0"/>
                <w:bCs w:val="0"/>
                <w:color w:val="auto"/>
                <w:kern w:val="21"/>
                <w:sz w:val="21"/>
                <w:szCs w:val="21"/>
              </w:rPr>
              <w:t>序号</w:t>
            </w:r>
          </w:p>
        </w:tc>
        <w:tc>
          <w:tcPr>
            <w:tcW w:w="7043" w:type="dxa"/>
            <w:tcBorders>
              <w:tl2br w:val="nil"/>
              <w:tr2bl w:val="nil"/>
            </w:tcBorders>
            <w:noWrap w:val="0"/>
            <w:vAlign w:val="center"/>
          </w:tcPr>
          <w:p w14:paraId="319B893E">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黑体" w:hAnsi="黑体" w:eastAsia="黑体" w:cs="黑体"/>
                <w:b w:val="0"/>
                <w:bCs w:val="0"/>
                <w:color w:val="auto"/>
                <w:kern w:val="21"/>
                <w:sz w:val="21"/>
                <w:szCs w:val="21"/>
              </w:rPr>
              <w:t>违法违规行为</w:t>
            </w:r>
          </w:p>
        </w:tc>
        <w:tc>
          <w:tcPr>
            <w:tcW w:w="1349" w:type="dxa"/>
            <w:tcBorders>
              <w:tl2br w:val="nil"/>
              <w:tr2bl w:val="nil"/>
            </w:tcBorders>
            <w:noWrap w:val="0"/>
            <w:vAlign w:val="center"/>
          </w:tcPr>
          <w:p w14:paraId="4190A08E">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黑体" w:hAnsi="黑体" w:eastAsia="黑体" w:cs="黑体"/>
                <w:b w:val="0"/>
                <w:bCs w:val="0"/>
                <w:color w:val="auto"/>
                <w:kern w:val="21"/>
                <w:sz w:val="21"/>
                <w:szCs w:val="21"/>
              </w:rPr>
              <w:t>备注</w:t>
            </w:r>
          </w:p>
        </w:tc>
      </w:tr>
      <w:tr w14:paraId="5FEF4B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38623F2C">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10</w:t>
            </w:r>
          </w:p>
        </w:tc>
        <w:tc>
          <w:tcPr>
            <w:tcW w:w="7043" w:type="dxa"/>
            <w:tcBorders>
              <w:tl2br w:val="nil"/>
              <w:tr2bl w:val="nil"/>
            </w:tcBorders>
            <w:noWrap w:val="0"/>
            <w:vAlign w:val="center"/>
          </w:tcPr>
          <w:p w14:paraId="6D70D8BF">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未按规定组织危大工程监测、巡视或验收的</w:t>
            </w:r>
          </w:p>
        </w:tc>
        <w:tc>
          <w:tcPr>
            <w:tcW w:w="1349" w:type="dxa"/>
            <w:tcBorders>
              <w:tl2br w:val="nil"/>
              <w:tr2bl w:val="nil"/>
            </w:tcBorders>
            <w:noWrap w:val="0"/>
            <w:vAlign w:val="center"/>
          </w:tcPr>
          <w:p w14:paraId="035362DD">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lang w:val="en-US" w:eastAsia="zh-CN" w:bidi="ar-SA"/>
              </w:rPr>
            </w:pPr>
            <w:r>
              <w:rPr>
                <w:rFonts w:hint="eastAsia" w:ascii="宋体" w:hAnsi="宋体" w:eastAsia="宋体" w:cs="宋体"/>
                <w:b w:val="0"/>
                <w:bCs w:val="0"/>
                <w:color w:val="auto"/>
                <w:kern w:val="21"/>
                <w:sz w:val="21"/>
                <w:szCs w:val="21"/>
              </w:rPr>
              <w:t>危大工程管理</w:t>
            </w:r>
          </w:p>
        </w:tc>
      </w:tr>
      <w:tr w14:paraId="2B0C7B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4DBF3D6A">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11</w:t>
            </w:r>
          </w:p>
        </w:tc>
        <w:tc>
          <w:tcPr>
            <w:tcW w:w="7043" w:type="dxa"/>
            <w:tcBorders>
              <w:tl2br w:val="nil"/>
              <w:tr2bl w:val="nil"/>
            </w:tcBorders>
            <w:noWrap w:val="0"/>
            <w:vAlign w:val="center"/>
          </w:tcPr>
          <w:p w14:paraId="5FA7F8AF">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基坑、暗挖工程未按经审查合格的施工图设计文件组织施工的</w:t>
            </w:r>
          </w:p>
        </w:tc>
        <w:tc>
          <w:tcPr>
            <w:tcW w:w="1349" w:type="dxa"/>
            <w:vMerge w:val="restart"/>
            <w:tcBorders>
              <w:tl2br w:val="nil"/>
              <w:tr2bl w:val="nil"/>
            </w:tcBorders>
            <w:noWrap w:val="0"/>
            <w:vAlign w:val="center"/>
          </w:tcPr>
          <w:p w14:paraId="1C2D747D">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基坑、暗挖工程</w:t>
            </w:r>
          </w:p>
        </w:tc>
      </w:tr>
      <w:tr w14:paraId="202A12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787132C1">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12</w:t>
            </w:r>
          </w:p>
        </w:tc>
        <w:tc>
          <w:tcPr>
            <w:tcW w:w="7043" w:type="dxa"/>
            <w:tcBorders>
              <w:tl2br w:val="nil"/>
              <w:tr2bl w:val="nil"/>
            </w:tcBorders>
            <w:noWrap w:val="0"/>
            <w:vAlign w:val="center"/>
          </w:tcPr>
          <w:p w14:paraId="281CF5CF">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监测数据累计值或日增量超控制值，未及时采取有效处置措施并报告的</w:t>
            </w:r>
          </w:p>
        </w:tc>
        <w:tc>
          <w:tcPr>
            <w:tcW w:w="1349" w:type="dxa"/>
            <w:vMerge w:val="continue"/>
            <w:tcBorders>
              <w:tl2br w:val="nil"/>
              <w:tr2bl w:val="nil"/>
            </w:tcBorders>
            <w:noWrap w:val="0"/>
            <w:vAlign w:val="center"/>
          </w:tcPr>
          <w:p w14:paraId="1CBDC13C">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451BF0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63B7E99">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13</w:t>
            </w:r>
          </w:p>
        </w:tc>
        <w:tc>
          <w:tcPr>
            <w:tcW w:w="7043" w:type="dxa"/>
            <w:tcBorders>
              <w:tl2br w:val="nil"/>
              <w:tr2bl w:val="nil"/>
            </w:tcBorders>
            <w:noWrap w:val="0"/>
            <w:vAlign w:val="center"/>
          </w:tcPr>
          <w:p w14:paraId="44F32238">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盾构施工，建筑起重机械安拆、顶升（附着）等重要环节施工前未组织作业安全条件审核的</w:t>
            </w:r>
          </w:p>
        </w:tc>
        <w:tc>
          <w:tcPr>
            <w:tcW w:w="1349" w:type="dxa"/>
            <w:vMerge w:val="restart"/>
            <w:tcBorders>
              <w:tl2br w:val="nil"/>
              <w:tr2bl w:val="nil"/>
            </w:tcBorders>
            <w:noWrap w:val="0"/>
            <w:vAlign w:val="center"/>
          </w:tcPr>
          <w:p w14:paraId="5E59C98F">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盾构、起重机械</w:t>
            </w:r>
          </w:p>
        </w:tc>
      </w:tr>
      <w:tr w14:paraId="1AD40A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639F2A75">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14</w:t>
            </w:r>
          </w:p>
        </w:tc>
        <w:tc>
          <w:tcPr>
            <w:tcW w:w="7043" w:type="dxa"/>
            <w:tcBorders>
              <w:tl2br w:val="nil"/>
              <w:tr2bl w:val="nil"/>
            </w:tcBorders>
            <w:noWrap w:val="0"/>
            <w:vAlign w:val="center"/>
          </w:tcPr>
          <w:p w14:paraId="22F9D2FF">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施工电梯的防坠器超过标定期限或未定期进行防坠落试验的</w:t>
            </w:r>
          </w:p>
        </w:tc>
        <w:tc>
          <w:tcPr>
            <w:tcW w:w="1349" w:type="dxa"/>
            <w:vMerge w:val="continue"/>
            <w:tcBorders>
              <w:tl2br w:val="nil"/>
              <w:tr2bl w:val="nil"/>
            </w:tcBorders>
            <w:noWrap w:val="0"/>
            <w:vAlign w:val="center"/>
          </w:tcPr>
          <w:p w14:paraId="00874F22">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657464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78F7A9BE">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15</w:t>
            </w:r>
          </w:p>
        </w:tc>
        <w:tc>
          <w:tcPr>
            <w:tcW w:w="7043" w:type="dxa"/>
            <w:tcBorders>
              <w:tl2br w:val="nil"/>
              <w:tr2bl w:val="nil"/>
            </w:tcBorders>
            <w:noWrap w:val="0"/>
            <w:vAlign w:val="center"/>
          </w:tcPr>
          <w:p w14:paraId="1F3F995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未制定并落实多塔作业防碰撞措施的</w:t>
            </w:r>
          </w:p>
        </w:tc>
        <w:tc>
          <w:tcPr>
            <w:tcW w:w="1349" w:type="dxa"/>
            <w:vMerge w:val="continue"/>
            <w:tcBorders>
              <w:tl2br w:val="nil"/>
              <w:tr2bl w:val="nil"/>
            </w:tcBorders>
            <w:noWrap w:val="0"/>
            <w:vAlign w:val="center"/>
          </w:tcPr>
          <w:p w14:paraId="6F42D738">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620D99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5B8740AA">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16</w:t>
            </w:r>
          </w:p>
        </w:tc>
        <w:tc>
          <w:tcPr>
            <w:tcW w:w="7043" w:type="dxa"/>
            <w:tcBorders>
              <w:tl2br w:val="nil"/>
              <w:tr2bl w:val="nil"/>
            </w:tcBorders>
            <w:noWrap w:val="0"/>
            <w:vAlign w:val="center"/>
          </w:tcPr>
          <w:p w14:paraId="55CA04BF">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存在工人在吊物下方或起吊位置附近作业、不同种类（长度）物料混合捆扎吊装、歪拉斜吊或捆绑不牢进行吊装作业的；散料吊装未采用专用容器或容器内装的物品过满的；吊装区未设立警戒区，无专人值守的</w:t>
            </w:r>
          </w:p>
        </w:tc>
        <w:tc>
          <w:tcPr>
            <w:tcW w:w="1349" w:type="dxa"/>
            <w:tcBorders>
              <w:tl2br w:val="nil"/>
              <w:tr2bl w:val="nil"/>
            </w:tcBorders>
            <w:noWrap w:val="0"/>
            <w:vAlign w:val="center"/>
          </w:tcPr>
          <w:p w14:paraId="4D2CD1E1">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起重吊装管理</w:t>
            </w:r>
          </w:p>
        </w:tc>
      </w:tr>
      <w:tr w14:paraId="08F612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303F3C57">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17</w:t>
            </w:r>
          </w:p>
        </w:tc>
        <w:tc>
          <w:tcPr>
            <w:tcW w:w="7043" w:type="dxa"/>
            <w:tcBorders>
              <w:tl2br w:val="nil"/>
              <w:tr2bl w:val="nil"/>
            </w:tcBorders>
            <w:noWrap w:val="0"/>
            <w:vAlign w:val="center"/>
          </w:tcPr>
          <w:p w14:paraId="0D37E400">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抽查发现3处及以上临边、洞口防护缺失，3名及以上高处作业人员未系安全带，或超过3.6米的支模架未设置水平兜网的</w:t>
            </w:r>
          </w:p>
        </w:tc>
        <w:tc>
          <w:tcPr>
            <w:tcW w:w="1349" w:type="dxa"/>
            <w:vMerge w:val="restart"/>
            <w:tcBorders>
              <w:tl2br w:val="nil"/>
              <w:tr2bl w:val="nil"/>
            </w:tcBorders>
            <w:noWrap w:val="0"/>
            <w:vAlign w:val="center"/>
          </w:tcPr>
          <w:p w14:paraId="300A0FB3">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高处作业管理</w:t>
            </w:r>
          </w:p>
        </w:tc>
      </w:tr>
      <w:tr w14:paraId="77D089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7FE7102A">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18</w:t>
            </w:r>
          </w:p>
        </w:tc>
        <w:tc>
          <w:tcPr>
            <w:tcW w:w="7043" w:type="dxa"/>
            <w:tcBorders>
              <w:tl2br w:val="nil"/>
              <w:tr2bl w:val="nil"/>
            </w:tcBorders>
            <w:noWrap w:val="0"/>
            <w:vAlign w:val="center"/>
          </w:tcPr>
          <w:p w14:paraId="49E6A5D8">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高处作业吊篮未经检测和验收合格投入使用的；防坠安全锁超过标定期限的；高处作业吊篮内同时有2名以上（不含2名）作业人员的</w:t>
            </w:r>
          </w:p>
        </w:tc>
        <w:tc>
          <w:tcPr>
            <w:tcW w:w="1349" w:type="dxa"/>
            <w:vMerge w:val="continue"/>
            <w:tcBorders>
              <w:tl2br w:val="nil"/>
              <w:tr2bl w:val="nil"/>
            </w:tcBorders>
            <w:noWrap w:val="0"/>
            <w:vAlign w:val="center"/>
          </w:tcPr>
          <w:p w14:paraId="37701B2E">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301938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51386B73">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19</w:t>
            </w:r>
          </w:p>
        </w:tc>
        <w:tc>
          <w:tcPr>
            <w:tcW w:w="7043" w:type="dxa"/>
            <w:tcBorders>
              <w:tl2br w:val="nil"/>
              <w:tr2bl w:val="nil"/>
            </w:tcBorders>
            <w:noWrap w:val="0"/>
            <w:vAlign w:val="center"/>
          </w:tcPr>
          <w:p w14:paraId="21FD0DD7">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未按规定编审施工现场临时用电组织设计，或未按要求组织实施的</w:t>
            </w:r>
          </w:p>
        </w:tc>
        <w:tc>
          <w:tcPr>
            <w:tcW w:w="1349" w:type="dxa"/>
            <w:vMerge w:val="restart"/>
            <w:tcBorders>
              <w:tl2br w:val="nil"/>
              <w:tr2bl w:val="nil"/>
            </w:tcBorders>
            <w:noWrap w:val="0"/>
            <w:vAlign w:val="center"/>
          </w:tcPr>
          <w:p w14:paraId="5FACC62D">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施工临时用电</w:t>
            </w:r>
          </w:p>
        </w:tc>
      </w:tr>
      <w:tr w14:paraId="243726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BBCC060">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20</w:t>
            </w:r>
          </w:p>
        </w:tc>
        <w:tc>
          <w:tcPr>
            <w:tcW w:w="7043" w:type="dxa"/>
            <w:tcBorders>
              <w:tl2br w:val="nil"/>
              <w:tr2bl w:val="nil"/>
            </w:tcBorders>
            <w:noWrap w:val="0"/>
            <w:vAlign w:val="center"/>
          </w:tcPr>
          <w:p w14:paraId="6AC295E3">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施工临时用电未按规定采用三级配电两级漏电保护系统或TN-S接零保护系统的</w:t>
            </w:r>
          </w:p>
        </w:tc>
        <w:tc>
          <w:tcPr>
            <w:tcW w:w="1349" w:type="dxa"/>
            <w:vMerge w:val="continue"/>
            <w:tcBorders>
              <w:tl2br w:val="nil"/>
              <w:tr2bl w:val="nil"/>
            </w:tcBorders>
            <w:noWrap w:val="0"/>
            <w:vAlign w:val="center"/>
          </w:tcPr>
          <w:p w14:paraId="22FB94E8">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761293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53F5D5B2">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21</w:t>
            </w:r>
          </w:p>
        </w:tc>
        <w:tc>
          <w:tcPr>
            <w:tcW w:w="7043" w:type="dxa"/>
            <w:tcBorders>
              <w:tl2br w:val="nil"/>
              <w:tr2bl w:val="nil"/>
            </w:tcBorders>
            <w:noWrap w:val="0"/>
            <w:vAlign w:val="center"/>
          </w:tcPr>
          <w:p w14:paraId="219254E9">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交流弧焊机未使用二次空载降压保护器的</w:t>
            </w:r>
          </w:p>
        </w:tc>
        <w:tc>
          <w:tcPr>
            <w:tcW w:w="1349" w:type="dxa"/>
            <w:vMerge w:val="continue"/>
            <w:tcBorders>
              <w:tl2br w:val="nil"/>
              <w:tr2bl w:val="nil"/>
            </w:tcBorders>
            <w:noWrap w:val="0"/>
            <w:vAlign w:val="center"/>
          </w:tcPr>
          <w:p w14:paraId="11D997B3">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5BC203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3CB5FFFE">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22</w:t>
            </w:r>
          </w:p>
        </w:tc>
        <w:tc>
          <w:tcPr>
            <w:tcW w:w="7043" w:type="dxa"/>
            <w:tcBorders>
              <w:tl2br w:val="nil"/>
              <w:tr2bl w:val="nil"/>
            </w:tcBorders>
            <w:noWrap w:val="0"/>
            <w:vAlign w:val="center"/>
          </w:tcPr>
          <w:p w14:paraId="3A4E05CC">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动火作业时，未按规定审批、监护和采取防火措施的</w:t>
            </w:r>
          </w:p>
        </w:tc>
        <w:tc>
          <w:tcPr>
            <w:tcW w:w="1349" w:type="dxa"/>
            <w:vMerge w:val="restart"/>
            <w:tcBorders>
              <w:tl2br w:val="nil"/>
              <w:tr2bl w:val="nil"/>
            </w:tcBorders>
            <w:noWrap w:val="0"/>
            <w:vAlign w:val="center"/>
          </w:tcPr>
          <w:p w14:paraId="5AA4865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施工消防安全</w:t>
            </w:r>
          </w:p>
        </w:tc>
      </w:tr>
      <w:tr w14:paraId="70DEDA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41115775">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23</w:t>
            </w:r>
          </w:p>
        </w:tc>
        <w:tc>
          <w:tcPr>
            <w:tcW w:w="7043" w:type="dxa"/>
            <w:tcBorders>
              <w:tl2br w:val="nil"/>
              <w:tr2bl w:val="nil"/>
            </w:tcBorders>
            <w:noWrap w:val="0"/>
            <w:vAlign w:val="center"/>
          </w:tcPr>
          <w:p w14:paraId="168671B0">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办公区或生活区板房所用材料燃烧性能等级、安全网燃烧性能不符合要求的</w:t>
            </w:r>
          </w:p>
        </w:tc>
        <w:tc>
          <w:tcPr>
            <w:tcW w:w="1349" w:type="dxa"/>
            <w:vMerge w:val="continue"/>
            <w:tcBorders>
              <w:tl2br w:val="nil"/>
              <w:tr2bl w:val="nil"/>
            </w:tcBorders>
            <w:noWrap w:val="0"/>
            <w:vAlign w:val="center"/>
          </w:tcPr>
          <w:p w14:paraId="08025817">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739BA0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252DBF4">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24</w:t>
            </w:r>
          </w:p>
        </w:tc>
        <w:tc>
          <w:tcPr>
            <w:tcW w:w="7043" w:type="dxa"/>
            <w:tcBorders>
              <w:tl2br w:val="nil"/>
              <w:tr2bl w:val="nil"/>
            </w:tcBorders>
            <w:noWrap w:val="0"/>
            <w:vAlign w:val="center"/>
          </w:tcPr>
          <w:p w14:paraId="2A43DD12">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工人宿舍有使用220伏用电插座的</w:t>
            </w:r>
          </w:p>
        </w:tc>
        <w:tc>
          <w:tcPr>
            <w:tcW w:w="1349" w:type="dxa"/>
            <w:vMerge w:val="continue"/>
            <w:tcBorders>
              <w:tl2br w:val="nil"/>
              <w:tr2bl w:val="nil"/>
            </w:tcBorders>
            <w:noWrap w:val="0"/>
            <w:vAlign w:val="center"/>
          </w:tcPr>
          <w:p w14:paraId="217B6978">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2A1E19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53AFB845">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25</w:t>
            </w:r>
          </w:p>
        </w:tc>
        <w:tc>
          <w:tcPr>
            <w:tcW w:w="7043" w:type="dxa"/>
            <w:tcBorders>
              <w:tl2br w:val="nil"/>
              <w:tr2bl w:val="nil"/>
            </w:tcBorders>
            <w:noWrap w:val="0"/>
            <w:vAlign w:val="center"/>
          </w:tcPr>
          <w:p w14:paraId="2989710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未按规定编制文明施工专项方案及安全施工专项方案并组织落实安全文明施工标准化措施的</w:t>
            </w:r>
          </w:p>
        </w:tc>
        <w:tc>
          <w:tcPr>
            <w:tcW w:w="1349" w:type="dxa"/>
            <w:vMerge w:val="restart"/>
            <w:tcBorders>
              <w:tl2br w:val="nil"/>
              <w:tr2bl w:val="nil"/>
            </w:tcBorders>
            <w:noWrap w:val="0"/>
            <w:vAlign w:val="center"/>
          </w:tcPr>
          <w:p w14:paraId="29905BB2">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安全文明施工</w:t>
            </w:r>
          </w:p>
        </w:tc>
      </w:tr>
      <w:tr w14:paraId="5F7F05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14371ACE">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26</w:t>
            </w:r>
          </w:p>
        </w:tc>
        <w:tc>
          <w:tcPr>
            <w:tcW w:w="7043" w:type="dxa"/>
            <w:tcBorders>
              <w:tl2br w:val="nil"/>
              <w:tr2bl w:val="nil"/>
            </w:tcBorders>
            <w:noWrap w:val="0"/>
            <w:vAlign w:val="center"/>
          </w:tcPr>
          <w:p w14:paraId="0ED2ECEC">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未按要求落实工地扬尘</w:t>
            </w:r>
            <w:r>
              <w:rPr>
                <w:rFonts w:hint="eastAsia" w:ascii="宋体" w:hAnsi="宋体" w:eastAsia="宋体" w:cs="宋体"/>
                <w:b w:val="0"/>
                <w:bCs w:val="0"/>
                <w:color w:val="auto"/>
                <w:kern w:val="21"/>
                <w:sz w:val="21"/>
                <w:szCs w:val="21"/>
                <w:lang w:eastAsia="zh-CN"/>
              </w:rPr>
              <w:t>污染防治</w:t>
            </w:r>
            <w:r>
              <w:rPr>
                <w:rFonts w:hint="eastAsia" w:ascii="宋体" w:hAnsi="宋体" w:eastAsia="宋体" w:cs="宋体"/>
                <w:b w:val="0"/>
                <w:bCs w:val="0"/>
                <w:color w:val="auto"/>
                <w:kern w:val="21"/>
                <w:sz w:val="21"/>
                <w:szCs w:val="21"/>
              </w:rPr>
              <w:t>“6个100%”工作要求的</w:t>
            </w:r>
          </w:p>
        </w:tc>
        <w:tc>
          <w:tcPr>
            <w:tcW w:w="1349" w:type="dxa"/>
            <w:vMerge w:val="continue"/>
            <w:tcBorders>
              <w:tl2br w:val="nil"/>
              <w:tr2bl w:val="nil"/>
            </w:tcBorders>
            <w:noWrap w:val="0"/>
            <w:vAlign w:val="center"/>
          </w:tcPr>
          <w:p w14:paraId="324FFFD7">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7FA4CA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7DF12D7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27</w:t>
            </w:r>
          </w:p>
        </w:tc>
        <w:tc>
          <w:tcPr>
            <w:tcW w:w="7043" w:type="dxa"/>
            <w:tcBorders>
              <w:tl2br w:val="nil"/>
              <w:tr2bl w:val="nil"/>
            </w:tcBorders>
            <w:noWrap w:val="0"/>
            <w:vAlign w:val="center"/>
          </w:tcPr>
          <w:p w14:paraId="50B32EC8">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未对安全文明措施实行专款专用的</w:t>
            </w:r>
          </w:p>
        </w:tc>
        <w:tc>
          <w:tcPr>
            <w:tcW w:w="1349" w:type="dxa"/>
            <w:vMerge w:val="continue"/>
            <w:tcBorders>
              <w:tl2br w:val="nil"/>
              <w:tr2bl w:val="nil"/>
            </w:tcBorders>
            <w:noWrap w:val="0"/>
            <w:vAlign w:val="center"/>
          </w:tcPr>
          <w:p w14:paraId="5B4EF263">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29D4E0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E2F4FFB">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28</w:t>
            </w:r>
          </w:p>
        </w:tc>
        <w:tc>
          <w:tcPr>
            <w:tcW w:w="7043" w:type="dxa"/>
            <w:tcBorders>
              <w:tl2br w:val="nil"/>
              <w:tr2bl w:val="nil"/>
            </w:tcBorders>
            <w:noWrap w:val="0"/>
            <w:vAlign w:val="center"/>
          </w:tcPr>
          <w:p w14:paraId="7AD0B62C">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未落实地下管线、设施保护“6个100%”措施的</w:t>
            </w:r>
          </w:p>
        </w:tc>
        <w:tc>
          <w:tcPr>
            <w:tcW w:w="1349" w:type="dxa"/>
            <w:vMerge w:val="restart"/>
            <w:tcBorders>
              <w:tl2br w:val="nil"/>
              <w:tr2bl w:val="nil"/>
            </w:tcBorders>
            <w:noWrap w:val="0"/>
            <w:vAlign w:val="center"/>
          </w:tcPr>
          <w:p w14:paraId="4EE77399">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地下管线、设施保护</w:t>
            </w:r>
          </w:p>
        </w:tc>
      </w:tr>
      <w:tr w14:paraId="06C41F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63084AE7">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29</w:t>
            </w:r>
          </w:p>
        </w:tc>
        <w:tc>
          <w:tcPr>
            <w:tcW w:w="7043" w:type="dxa"/>
            <w:tcBorders>
              <w:tl2br w:val="nil"/>
              <w:tr2bl w:val="nil"/>
            </w:tcBorders>
            <w:noWrap w:val="0"/>
            <w:vAlign w:val="center"/>
          </w:tcPr>
          <w:p w14:paraId="22EA3469">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违反安全文明施工有关规定，污染或损坏市政道路，损坏供水、供电等市政管线的（</w:t>
            </w:r>
            <w:r>
              <w:rPr>
                <w:rFonts w:hint="eastAsia" w:ascii="宋体" w:hAnsi="宋体" w:eastAsia="宋体" w:cs="宋体"/>
                <w:b w:val="0"/>
                <w:bCs w:val="0"/>
                <w:color w:val="auto"/>
                <w:kern w:val="21"/>
                <w:sz w:val="21"/>
                <w:szCs w:val="21"/>
                <w:lang w:eastAsia="zh-CN"/>
              </w:rPr>
              <w:t>对公共安全构成严重威胁或者</w:t>
            </w:r>
            <w:r>
              <w:rPr>
                <w:rFonts w:hint="eastAsia" w:ascii="宋体" w:hAnsi="宋体" w:eastAsia="宋体" w:cs="宋体"/>
                <w:b w:val="0"/>
                <w:bCs w:val="0"/>
                <w:color w:val="auto"/>
                <w:kern w:val="21"/>
                <w:sz w:val="21"/>
                <w:szCs w:val="21"/>
              </w:rPr>
              <w:t>社会影响</w:t>
            </w:r>
            <w:r>
              <w:rPr>
                <w:rFonts w:hint="eastAsia" w:ascii="宋体" w:hAnsi="宋体" w:eastAsia="宋体" w:cs="宋体"/>
                <w:b w:val="0"/>
                <w:bCs w:val="0"/>
                <w:color w:val="auto"/>
                <w:kern w:val="21"/>
                <w:sz w:val="21"/>
                <w:szCs w:val="21"/>
                <w:lang w:eastAsia="zh-CN"/>
              </w:rPr>
              <w:t>恶劣</w:t>
            </w:r>
            <w:r>
              <w:rPr>
                <w:rFonts w:hint="eastAsia" w:ascii="宋体" w:hAnsi="宋体" w:eastAsia="宋体" w:cs="宋体"/>
                <w:b w:val="0"/>
                <w:bCs w:val="0"/>
                <w:color w:val="auto"/>
                <w:kern w:val="21"/>
                <w:sz w:val="21"/>
                <w:szCs w:val="21"/>
              </w:rPr>
              <w:t>的，按</w:t>
            </w:r>
            <w:r>
              <w:rPr>
                <w:rFonts w:hint="eastAsia" w:ascii="宋体" w:hAnsi="宋体" w:eastAsia="宋体" w:cs="宋体"/>
                <w:b w:val="0"/>
                <w:bCs w:val="0"/>
                <w:color w:val="auto"/>
                <w:kern w:val="21"/>
                <w:sz w:val="21"/>
                <w:szCs w:val="21"/>
                <w:lang w:eastAsia="zh-CN"/>
              </w:rPr>
              <w:t>规定</w:t>
            </w:r>
            <w:r>
              <w:rPr>
                <w:rFonts w:hint="eastAsia" w:ascii="宋体" w:hAnsi="宋体" w:eastAsia="宋体" w:cs="宋体"/>
                <w:b w:val="0"/>
                <w:bCs w:val="0"/>
                <w:color w:val="auto"/>
                <w:kern w:val="21"/>
                <w:sz w:val="21"/>
                <w:szCs w:val="21"/>
              </w:rPr>
              <w:t>给予红色警示）</w:t>
            </w:r>
          </w:p>
        </w:tc>
        <w:tc>
          <w:tcPr>
            <w:tcW w:w="1349" w:type="dxa"/>
            <w:vMerge w:val="continue"/>
            <w:tcBorders>
              <w:tl2br w:val="nil"/>
              <w:tr2bl w:val="nil"/>
            </w:tcBorders>
            <w:noWrap w:val="0"/>
            <w:vAlign w:val="center"/>
          </w:tcPr>
          <w:p w14:paraId="3F46CFC7">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34091B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703CB7AD">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30</w:t>
            </w:r>
          </w:p>
        </w:tc>
        <w:tc>
          <w:tcPr>
            <w:tcW w:w="7043" w:type="dxa"/>
            <w:tcBorders>
              <w:tl2br w:val="nil"/>
              <w:tr2bl w:val="nil"/>
            </w:tcBorders>
            <w:noWrap w:val="0"/>
            <w:vAlign w:val="center"/>
          </w:tcPr>
          <w:p w14:paraId="10E7F68F">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未按规定对从业人员进行实名制安全教育培训及考核，从业人员未掌握本职工作所需的安全生产知识、技能、规章制度和安全操作规程的</w:t>
            </w:r>
          </w:p>
        </w:tc>
        <w:tc>
          <w:tcPr>
            <w:tcW w:w="1349" w:type="dxa"/>
            <w:vMerge w:val="restart"/>
            <w:tcBorders>
              <w:tl2br w:val="nil"/>
              <w:tr2bl w:val="nil"/>
            </w:tcBorders>
            <w:noWrap w:val="0"/>
            <w:vAlign w:val="center"/>
          </w:tcPr>
          <w:p w14:paraId="11DA2C2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实名制管理</w:t>
            </w:r>
          </w:p>
        </w:tc>
      </w:tr>
      <w:tr w14:paraId="5A8CF0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4E5804D9">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31</w:t>
            </w:r>
          </w:p>
        </w:tc>
        <w:tc>
          <w:tcPr>
            <w:tcW w:w="7043" w:type="dxa"/>
            <w:tcBorders>
              <w:tl2br w:val="nil"/>
              <w:tr2bl w:val="nil"/>
            </w:tcBorders>
            <w:noWrap w:val="0"/>
            <w:vAlign w:val="center"/>
          </w:tcPr>
          <w:p w14:paraId="129E0842">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对未按规定开展劳务工实名制和分账制管理工作，造成质量安全管理隐患、维稳事件，被责令整改拒不整改或整改后仍不合格的</w:t>
            </w:r>
          </w:p>
        </w:tc>
        <w:tc>
          <w:tcPr>
            <w:tcW w:w="1349" w:type="dxa"/>
            <w:vMerge w:val="continue"/>
            <w:tcBorders>
              <w:tl2br w:val="nil"/>
              <w:tr2bl w:val="nil"/>
            </w:tcBorders>
            <w:noWrap w:val="0"/>
            <w:vAlign w:val="center"/>
          </w:tcPr>
          <w:p w14:paraId="1F47BA54">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4FDAC5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B886DCA">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32</w:t>
            </w:r>
          </w:p>
        </w:tc>
        <w:tc>
          <w:tcPr>
            <w:tcW w:w="7043" w:type="dxa"/>
            <w:tcBorders>
              <w:tl2br w:val="nil"/>
              <w:tr2bl w:val="nil"/>
            </w:tcBorders>
            <w:noWrap w:val="0"/>
            <w:vAlign w:val="center"/>
          </w:tcPr>
          <w:p w14:paraId="39B44890">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在季度专项整治行动中被列入安全生产综合整治督办工地的</w:t>
            </w:r>
          </w:p>
        </w:tc>
        <w:tc>
          <w:tcPr>
            <w:tcW w:w="1349" w:type="dxa"/>
            <w:tcBorders>
              <w:tl2br w:val="nil"/>
              <w:tr2bl w:val="nil"/>
            </w:tcBorders>
            <w:noWrap w:val="0"/>
            <w:vAlign w:val="center"/>
          </w:tcPr>
          <w:p w14:paraId="1A3BB834">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综合整治督办</w:t>
            </w:r>
          </w:p>
        </w:tc>
      </w:tr>
      <w:tr w14:paraId="7F973F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8916" w:type="dxa"/>
            <w:gridSpan w:val="3"/>
            <w:tcBorders>
              <w:tl2br w:val="nil"/>
              <w:tr2bl w:val="nil"/>
            </w:tcBorders>
            <w:noWrap w:val="0"/>
            <w:vAlign w:val="center"/>
          </w:tcPr>
          <w:p w14:paraId="676CE6AA">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黑体" w:hAnsi="黑体" w:eastAsia="黑体" w:cs="黑体"/>
                <w:b w:val="0"/>
                <w:bCs w:val="0"/>
                <w:color w:val="auto"/>
                <w:kern w:val="21"/>
                <w:sz w:val="21"/>
                <w:szCs w:val="21"/>
              </w:rPr>
            </w:pPr>
            <w:r>
              <w:rPr>
                <w:rFonts w:hint="eastAsia" w:ascii="黑体" w:hAnsi="黑体" w:eastAsia="黑体" w:cs="黑体"/>
                <w:b w:val="0"/>
                <w:bCs w:val="0"/>
                <w:color w:val="auto"/>
                <w:kern w:val="21"/>
                <w:sz w:val="21"/>
                <w:szCs w:val="21"/>
              </w:rPr>
              <w:t>三、监理单位</w:t>
            </w:r>
          </w:p>
        </w:tc>
      </w:tr>
      <w:tr w14:paraId="73099B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15E6368">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w:t>
            </w:r>
          </w:p>
        </w:tc>
        <w:tc>
          <w:tcPr>
            <w:tcW w:w="7043" w:type="dxa"/>
            <w:tcBorders>
              <w:tl2br w:val="nil"/>
              <w:tr2bl w:val="nil"/>
            </w:tcBorders>
            <w:noWrap w:val="0"/>
            <w:vAlign w:val="center"/>
          </w:tcPr>
          <w:p w14:paraId="4932005D">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项目总监不在岗履职或特殊天气条件下（台风白色、暴雨黄色及以上预警期间）项目总监未在岗值守的</w:t>
            </w:r>
          </w:p>
        </w:tc>
        <w:tc>
          <w:tcPr>
            <w:tcW w:w="1349" w:type="dxa"/>
            <w:vMerge w:val="restart"/>
            <w:tcBorders>
              <w:tl2br w:val="nil"/>
              <w:tr2bl w:val="nil"/>
            </w:tcBorders>
            <w:noWrap w:val="0"/>
            <w:vAlign w:val="center"/>
          </w:tcPr>
          <w:p w14:paraId="0EFC0483">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人员在岗履职</w:t>
            </w:r>
          </w:p>
        </w:tc>
      </w:tr>
      <w:tr w14:paraId="4FBE53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483461C2">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2</w:t>
            </w:r>
          </w:p>
        </w:tc>
        <w:tc>
          <w:tcPr>
            <w:tcW w:w="7043" w:type="dxa"/>
            <w:tcBorders>
              <w:tl2br w:val="nil"/>
              <w:tr2bl w:val="nil"/>
            </w:tcBorders>
            <w:noWrap w:val="0"/>
            <w:vAlign w:val="center"/>
          </w:tcPr>
          <w:p w14:paraId="60727AD4">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周末、节假日未落实监理单位主要项目管理人员（项目总监、总监代表）领导值班制度的</w:t>
            </w:r>
          </w:p>
        </w:tc>
        <w:tc>
          <w:tcPr>
            <w:tcW w:w="1349" w:type="dxa"/>
            <w:vMerge w:val="continue"/>
            <w:tcBorders>
              <w:tl2br w:val="nil"/>
              <w:tr2bl w:val="nil"/>
            </w:tcBorders>
            <w:noWrap w:val="0"/>
            <w:vAlign w:val="center"/>
          </w:tcPr>
          <w:p w14:paraId="1BF487F7">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r w14:paraId="5A4970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6977B3C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3</w:t>
            </w:r>
          </w:p>
        </w:tc>
        <w:tc>
          <w:tcPr>
            <w:tcW w:w="7043" w:type="dxa"/>
            <w:tcBorders>
              <w:tl2br w:val="nil"/>
              <w:tr2bl w:val="nil"/>
            </w:tcBorders>
            <w:noWrap w:val="0"/>
            <w:vAlign w:val="center"/>
          </w:tcPr>
          <w:p w14:paraId="1A1994F5">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未按规定落实“三层三级”安全检查，或“三层三级”安全检查资料弄虚作假的</w:t>
            </w:r>
          </w:p>
        </w:tc>
        <w:tc>
          <w:tcPr>
            <w:tcW w:w="1349" w:type="dxa"/>
            <w:vMerge w:val="restart"/>
            <w:tcBorders>
              <w:tl2br w:val="nil"/>
              <w:tr2bl w:val="nil"/>
            </w:tcBorders>
            <w:noWrap w:val="0"/>
            <w:vAlign w:val="center"/>
          </w:tcPr>
          <w:p w14:paraId="40CA439B">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安全行为管理</w:t>
            </w:r>
          </w:p>
        </w:tc>
      </w:tr>
      <w:tr w14:paraId="489D85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390AACCD">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4</w:t>
            </w:r>
          </w:p>
        </w:tc>
        <w:tc>
          <w:tcPr>
            <w:tcW w:w="7043" w:type="dxa"/>
            <w:tcBorders>
              <w:tl2br w:val="nil"/>
              <w:tr2bl w:val="nil"/>
            </w:tcBorders>
            <w:noWrap w:val="0"/>
            <w:vAlign w:val="center"/>
          </w:tcPr>
          <w:p w14:paraId="24673FFB">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未按规定审查施工单位资质（含专业承包、劳务分包）和安全生产许可证、特种作业人员证件、“三类人员”考核合格证的</w:t>
            </w:r>
          </w:p>
        </w:tc>
        <w:tc>
          <w:tcPr>
            <w:tcW w:w="1349" w:type="dxa"/>
            <w:vMerge w:val="continue"/>
            <w:tcBorders>
              <w:tl2br w:val="nil"/>
              <w:tr2bl w:val="nil"/>
            </w:tcBorders>
            <w:noWrap w:val="0"/>
            <w:vAlign w:val="center"/>
          </w:tcPr>
          <w:p w14:paraId="10B6C1A9">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p>
        </w:tc>
      </w:tr>
    </w:tbl>
    <w:p w14:paraId="6B97F702">
      <w:pPr>
        <w:keepNext w:val="0"/>
        <w:keepLines w:val="0"/>
        <w:pageBreakBefore w:val="0"/>
        <w:widowControl w:val="0"/>
        <w:kinsoku/>
        <w:wordWrap/>
        <w:overflowPunct/>
        <w:topLinePunct w:val="0"/>
        <w:autoSpaceDE/>
        <w:autoSpaceDN/>
        <w:bidi w:val="0"/>
        <w:adjustRightInd/>
        <w:snapToGrid/>
        <w:spacing w:line="20" w:lineRule="exact"/>
        <w:textAlignment w:val="auto"/>
      </w:pPr>
    </w:p>
    <w:tbl>
      <w:tblPr>
        <w:tblStyle w:val="2"/>
        <w:tblW w:w="488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90"/>
        <w:gridCol w:w="6582"/>
        <w:gridCol w:w="1261"/>
      </w:tblGrid>
      <w:tr w14:paraId="59269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546F6BBB">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黑体" w:hAnsi="黑体" w:eastAsia="黑体" w:cs="黑体"/>
                <w:b w:val="0"/>
                <w:bCs w:val="0"/>
                <w:color w:val="auto"/>
                <w:kern w:val="21"/>
                <w:sz w:val="21"/>
                <w:szCs w:val="21"/>
              </w:rPr>
              <w:t>序号</w:t>
            </w:r>
          </w:p>
        </w:tc>
        <w:tc>
          <w:tcPr>
            <w:tcW w:w="7043" w:type="dxa"/>
            <w:tcBorders>
              <w:tl2br w:val="nil"/>
              <w:tr2bl w:val="nil"/>
            </w:tcBorders>
            <w:noWrap w:val="0"/>
            <w:vAlign w:val="center"/>
          </w:tcPr>
          <w:p w14:paraId="1FE94D44">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黑体" w:hAnsi="黑体" w:eastAsia="黑体" w:cs="黑体"/>
                <w:b w:val="0"/>
                <w:bCs w:val="0"/>
                <w:color w:val="auto"/>
                <w:kern w:val="21"/>
                <w:sz w:val="21"/>
                <w:szCs w:val="21"/>
              </w:rPr>
              <w:t>违法违规行为</w:t>
            </w:r>
          </w:p>
        </w:tc>
        <w:tc>
          <w:tcPr>
            <w:tcW w:w="1349" w:type="dxa"/>
            <w:tcBorders>
              <w:tl2br w:val="nil"/>
              <w:tr2bl w:val="nil"/>
            </w:tcBorders>
            <w:noWrap w:val="0"/>
            <w:vAlign w:val="center"/>
          </w:tcPr>
          <w:p w14:paraId="23373D4F">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黑体" w:hAnsi="黑体" w:eastAsia="黑体" w:cs="黑体"/>
                <w:b w:val="0"/>
                <w:bCs w:val="0"/>
                <w:color w:val="auto"/>
                <w:kern w:val="21"/>
                <w:sz w:val="21"/>
                <w:szCs w:val="21"/>
              </w:rPr>
              <w:t>备注</w:t>
            </w:r>
          </w:p>
        </w:tc>
      </w:tr>
      <w:tr w14:paraId="6B852D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E8836E8">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5</w:t>
            </w:r>
          </w:p>
        </w:tc>
        <w:tc>
          <w:tcPr>
            <w:tcW w:w="7043" w:type="dxa"/>
            <w:tcBorders>
              <w:tl2br w:val="nil"/>
              <w:tr2bl w:val="nil"/>
            </w:tcBorders>
            <w:noWrap w:val="0"/>
            <w:vAlign w:val="center"/>
          </w:tcPr>
          <w:p w14:paraId="54135383">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对检查发现的隐患，未跟踪整改落实情况的，或施工单位拒不整改时未及时向建设单位及监督机构报告的</w:t>
            </w:r>
          </w:p>
        </w:tc>
        <w:tc>
          <w:tcPr>
            <w:tcW w:w="1349" w:type="dxa"/>
            <w:tcBorders>
              <w:tl2br w:val="nil"/>
              <w:tr2bl w:val="nil"/>
            </w:tcBorders>
            <w:noWrap w:val="0"/>
            <w:vAlign w:val="center"/>
          </w:tcPr>
          <w:p w14:paraId="226166E6">
            <w:pPr>
              <w:keepNext w:val="0"/>
              <w:keepLines w:val="0"/>
              <w:pageBreakBefore w:val="0"/>
              <w:widowControl w:val="0"/>
              <w:kinsoku/>
              <w:wordWrap/>
              <w:overflowPunct/>
              <w:topLinePunct w:val="0"/>
              <w:autoSpaceDE/>
              <w:autoSpaceDN/>
              <w:bidi w:val="0"/>
              <w:adjustRightInd/>
              <w:snapToGrid/>
              <w:spacing w:line="27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lang w:val="en-US" w:eastAsia="zh-CN" w:bidi="ar-SA"/>
              </w:rPr>
            </w:pPr>
            <w:r>
              <w:rPr>
                <w:rFonts w:hint="eastAsia" w:ascii="宋体" w:hAnsi="宋体" w:eastAsia="宋体" w:cs="宋体"/>
                <w:b w:val="0"/>
                <w:bCs w:val="0"/>
                <w:color w:val="auto"/>
                <w:kern w:val="21"/>
                <w:sz w:val="21"/>
                <w:szCs w:val="21"/>
              </w:rPr>
              <w:t>安全行为管理</w:t>
            </w:r>
          </w:p>
        </w:tc>
      </w:tr>
      <w:tr w14:paraId="2138D6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416B6B7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6</w:t>
            </w:r>
          </w:p>
        </w:tc>
        <w:tc>
          <w:tcPr>
            <w:tcW w:w="7043" w:type="dxa"/>
            <w:tcBorders>
              <w:tl2br w:val="nil"/>
              <w:tr2bl w:val="nil"/>
            </w:tcBorders>
            <w:noWrap w:val="0"/>
            <w:vAlign w:val="center"/>
          </w:tcPr>
          <w:p w14:paraId="5D720EE9">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未按规定审查危大工程、安全文明施工专项方案的</w:t>
            </w:r>
          </w:p>
        </w:tc>
        <w:tc>
          <w:tcPr>
            <w:tcW w:w="1349" w:type="dxa"/>
            <w:vMerge w:val="restart"/>
            <w:tcBorders>
              <w:tl2br w:val="nil"/>
              <w:tr2bl w:val="nil"/>
            </w:tcBorders>
            <w:noWrap w:val="0"/>
            <w:vAlign w:val="center"/>
          </w:tcPr>
          <w:p w14:paraId="4EC0E485">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危大工程管理</w:t>
            </w:r>
          </w:p>
        </w:tc>
      </w:tr>
      <w:tr w14:paraId="202EFB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0CE45881">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7</w:t>
            </w:r>
          </w:p>
        </w:tc>
        <w:tc>
          <w:tcPr>
            <w:tcW w:w="7043" w:type="dxa"/>
            <w:tcBorders>
              <w:tl2br w:val="nil"/>
              <w:tr2bl w:val="nil"/>
            </w:tcBorders>
            <w:noWrap w:val="0"/>
            <w:vAlign w:val="center"/>
          </w:tcPr>
          <w:p w14:paraId="0B93E01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未结合危大工程专项施工方案编制监理实施细则</w:t>
            </w:r>
          </w:p>
        </w:tc>
        <w:tc>
          <w:tcPr>
            <w:tcW w:w="1349" w:type="dxa"/>
            <w:vMerge w:val="continue"/>
            <w:tcBorders>
              <w:tl2br w:val="nil"/>
              <w:tr2bl w:val="nil"/>
            </w:tcBorders>
            <w:noWrap w:val="0"/>
            <w:vAlign w:val="center"/>
          </w:tcPr>
          <w:p w14:paraId="382E2B1F">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279F5F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118F94A">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8</w:t>
            </w:r>
          </w:p>
        </w:tc>
        <w:tc>
          <w:tcPr>
            <w:tcW w:w="7043" w:type="dxa"/>
            <w:tcBorders>
              <w:tl2br w:val="nil"/>
              <w:tr2bl w:val="nil"/>
            </w:tcBorders>
            <w:noWrap w:val="0"/>
            <w:vAlign w:val="center"/>
          </w:tcPr>
          <w:p w14:paraId="5B3A5B4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未按规定对危大工程实施专项巡视检查或验收的</w:t>
            </w:r>
          </w:p>
        </w:tc>
        <w:tc>
          <w:tcPr>
            <w:tcW w:w="1349" w:type="dxa"/>
            <w:vMerge w:val="continue"/>
            <w:tcBorders>
              <w:tl2br w:val="nil"/>
              <w:tr2bl w:val="nil"/>
            </w:tcBorders>
            <w:noWrap w:val="0"/>
            <w:vAlign w:val="center"/>
          </w:tcPr>
          <w:p w14:paraId="4C54BBF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0CABF6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26F8A979">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9</w:t>
            </w:r>
          </w:p>
        </w:tc>
        <w:tc>
          <w:tcPr>
            <w:tcW w:w="7043" w:type="dxa"/>
            <w:tcBorders>
              <w:tl2br w:val="nil"/>
              <w:tr2bl w:val="nil"/>
            </w:tcBorders>
            <w:noWrap w:val="0"/>
            <w:vAlign w:val="center"/>
          </w:tcPr>
          <w:p w14:paraId="50B3AC37">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盾构施工，建筑起重机械安拆、顶升（附着）等重要环节施工前未组织作业安全条件审核的</w:t>
            </w:r>
          </w:p>
        </w:tc>
        <w:tc>
          <w:tcPr>
            <w:tcW w:w="1349" w:type="dxa"/>
            <w:vMerge w:val="continue"/>
            <w:tcBorders>
              <w:tl2br w:val="nil"/>
              <w:tr2bl w:val="nil"/>
            </w:tcBorders>
            <w:noWrap w:val="0"/>
            <w:vAlign w:val="center"/>
          </w:tcPr>
          <w:p w14:paraId="71EDCEDB">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p>
        </w:tc>
      </w:tr>
      <w:tr w14:paraId="3CE0A7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524" w:type="dxa"/>
            <w:tcBorders>
              <w:tl2br w:val="nil"/>
              <w:tr2bl w:val="nil"/>
            </w:tcBorders>
            <w:noWrap w:val="0"/>
            <w:vAlign w:val="center"/>
          </w:tcPr>
          <w:p w14:paraId="3A1133DE">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10</w:t>
            </w:r>
          </w:p>
        </w:tc>
        <w:tc>
          <w:tcPr>
            <w:tcW w:w="7043" w:type="dxa"/>
            <w:tcBorders>
              <w:tl2br w:val="nil"/>
              <w:tr2bl w:val="nil"/>
            </w:tcBorders>
            <w:noWrap w:val="0"/>
            <w:vAlign w:val="center"/>
          </w:tcPr>
          <w:p w14:paraId="260A3C3D">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both"/>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未组织对应在开工前实施的临时设施、安全文明措施、地下管线保护进行开工条件验收的</w:t>
            </w:r>
          </w:p>
        </w:tc>
        <w:tc>
          <w:tcPr>
            <w:tcW w:w="1349" w:type="dxa"/>
            <w:tcBorders>
              <w:tl2br w:val="nil"/>
              <w:tr2bl w:val="nil"/>
            </w:tcBorders>
            <w:noWrap w:val="0"/>
            <w:vAlign w:val="center"/>
          </w:tcPr>
          <w:p w14:paraId="547B02AA">
            <w:pPr>
              <w:keepNext w:val="0"/>
              <w:keepLines w:val="0"/>
              <w:pageBreakBefore w:val="0"/>
              <w:widowControl w:val="0"/>
              <w:kinsoku/>
              <w:wordWrap/>
              <w:overflowPunct/>
              <w:topLinePunct w:val="0"/>
              <w:autoSpaceDE/>
              <w:autoSpaceDN/>
              <w:bidi w:val="0"/>
              <w:adjustRightInd/>
              <w:snapToGrid/>
              <w:spacing w:line="260" w:lineRule="exact"/>
              <w:ind w:left="-73" w:leftChars="-35" w:right="-73" w:rightChars="-35" w:firstLine="0" w:firstLineChars="0"/>
              <w:jc w:val="center"/>
              <w:textAlignment w:val="auto"/>
              <w:rPr>
                <w:rFonts w:hint="eastAsia" w:ascii="宋体" w:hAnsi="宋体" w:eastAsia="宋体" w:cs="宋体"/>
                <w:b w:val="0"/>
                <w:bCs w:val="0"/>
                <w:color w:val="auto"/>
                <w:kern w:val="21"/>
                <w:sz w:val="21"/>
                <w:szCs w:val="21"/>
              </w:rPr>
            </w:pPr>
            <w:r>
              <w:rPr>
                <w:rFonts w:hint="eastAsia" w:ascii="宋体" w:hAnsi="宋体" w:eastAsia="宋体" w:cs="宋体"/>
                <w:b w:val="0"/>
                <w:bCs w:val="0"/>
                <w:color w:val="auto"/>
                <w:kern w:val="21"/>
                <w:sz w:val="21"/>
                <w:szCs w:val="21"/>
              </w:rPr>
              <w:t>安全文明施工</w:t>
            </w:r>
          </w:p>
        </w:tc>
      </w:tr>
    </w:tbl>
    <w:p w14:paraId="6613BA6F">
      <w:pPr>
        <w:keepNext w:val="0"/>
        <w:keepLines w:val="0"/>
        <w:pageBreakBefore w:val="0"/>
        <w:widowControl w:val="0"/>
        <w:kinsoku/>
        <w:wordWrap/>
        <w:overflowPunct/>
        <w:topLinePunct w:val="0"/>
        <w:autoSpaceDE/>
        <w:autoSpaceDN/>
        <w:bidi w:val="0"/>
        <w:adjustRightInd/>
        <w:snapToGrid/>
        <w:spacing w:before="95" w:beforeLines="30" w:line="300" w:lineRule="exact"/>
        <w:ind w:firstLine="0" w:firstLineChars="0"/>
        <w:jc w:val="both"/>
        <w:textAlignment w:val="auto"/>
        <w:rPr>
          <w:rFonts w:hint="eastAsia" w:ascii="楷体_GB2312" w:hAnsi="楷体_GB2312" w:eastAsia="楷体_GB2312" w:cs="楷体_GB2312"/>
          <w:color w:val="auto"/>
          <w:kern w:val="21"/>
          <w:sz w:val="21"/>
          <w:szCs w:val="21"/>
          <w:lang w:eastAsia="zh-CN"/>
        </w:rPr>
      </w:pPr>
      <w:r>
        <w:rPr>
          <w:rFonts w:hint="eastAsia" w:ascii="楷体_GB2312" w:hAnsi="楷体_GB2312" w:eastAsia="楷体_GB2312" w:cs="楷体_GB2312"/>
          <w:color w:val="auto"/>
          <w:kern w:val="21"/>
          <w:sz w:val="21"/>
          <w:szCs w:val="21"/>
          <w:lang w:eastAsia="zh-CN"/>
        </w:rPr>
        <w:t>注：</w:t>
      </w:r>
      <w:r>
        <w:rPr>
          <w:rFonts w:hint="eastAsia" w:ascii="楷体_GB2312" w:hAnsi="楷体_GB2312" w:eastAsia="楷体_GB2312" w:cs="楷体_GB2312"/>
          <w:color w:val="auto"/>
          <w:kern w:val="21"/>
          <w:sz w:val="21"/>
          <w:szCs w:val="21"/>
          <w:lang w:val="en-US" w:eastAsia="zh-CN"/>
        </w:rPr>
        <w:t>1．</w:t>
      </w:r>
      <w:r>
        <w:rPr>
          <w:rFonts w:hint="eastAsia" w:ascii="楷体_GB2312" w:hAnsi="楷体_GB2312" w:eastAsia="楷体_GB2312" w:cs="楷体_GB2312"/>
          <w:color w:val="auto"/>
          <w:kern w:val="21"/>
          <w:sz w:val="21"/>
          <w:szCs w:val="21"/>
        </w:rPr>
        <w:t>扬尘</w:t>
      </w:r>
      <w:r>
        <w:rPr>
          <w:rFonts w:hint="eastAsia" w:ascii="楷体_GB2312" w:hAnsi="楷体_GB2312" w:eastAsia="楷体_GB2312" w:cs="楷体_GB2312"/>
          <w:color w:val="auto"/>
          <w:kern w:val="21"/>
          <w:sz w:val="21"/>
          <w:szCs w:val="21"/>
          <w:lang w:eastAsia="zh-CN"/>
        </w:rPr>
        <w:t>污染防治</w:t>
      </w:r>
      <w:r>
        <w:rPr>
          <w:rFonts w:hint="eastAsia" w:ascii="楷体_GB2312" w:hAnsi="楷体_GB2312" w:eastAsia="楷体_GB2312" w:cs="楷体_GB2312"/>
          <w:color w:val="auto"/>
          <w:kern w:val="21"/>
          <w:sz w:val="21"/>
          <w:szCs w:val="21"/>
        </w:rPr>
        <w:t>“6个100%”工作要求</w:t>
      </w:r>
      <w:r>
        <w:rPr>
          <w:rFonts w:hint="eastAsia" w:ascii="楷体_GB2312" w:hAnsi="楷体_GB2312" w:eastAsia="楷体_GB2312" w:cs="楷体_GB2312"/>
          <w:color w:val="auto"/>
          <w:kern w:val="21"/>
          <w:sz w:val="21"/>
          <w:szCs w:val="21"/>
          <w:lang w:eastAsia="zh-CN"/>
        </w:rPr>
        <w:t>是指：施工围挡及外架100%全封闭、出入口及车行道100%硬底化、出入口100%安装冲洗设施、易起尘作业面100%湿法施工、裸露土及易起尘物料100%覆盖、出入口100%安装TSP在线监测设备。</w:t>
      </w:r>
    </w:p>
    <w:p w14:paraId="38423788">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楷体_GB2312" w:hAnsi="楷体_GB2312" w:eastAsia="楷体_GB2312" w:cs="楷体_GB2312"/>
          <w:color w:val="auto"/>
          <w:kern w:val="21"/>
          <w:sz w:val="21"/>
          <w:szCs w:val="21"/>
        </w:rPr>
      </w:pPr>
      <w:r>
        <w:rPr>
          <w:rFonts w:hint="eastAsia" w:ascii="楷体_GB2312" w:hAnsi="楷体_GB2312" w:eastAsia="楷体_GB2312" w:cs="楷体_GB2312"/>
          <w:color w:val="auto"/>
          <w:kern w:val="21"/>
          <w:sz w:val="21"/>
          <w:szCs w:val="21"/>
          <w:lang w:val="en-US" w:eastAsia="zh-CN"/>
        </w:rPr>
        <w:t>2．</w:t>
      </w:r>
      <w:r>
        <w:rPr>
          <w:rFonts w:hint="eastAsia" w:ascii="楷体_GB2312" w:hAnsi="楷体_GB2312" w:eastAsia="楷体_GB2312" w:cs="楷体_GB2312"/>
          <w:color w:val="auto"/>
          <w:kern w:val="21"/>
          <w:sz w:val="21"/>
          <w:szCs w:val="21"/>
        </w:rPr>
        <w:t>地下管线、设施保护“6个100%”措施</w:t>
      </w:r>
      <w:r>
        <w:rPr>
          <w:rFonts w:hint="eastAsia" w:ascii="楷体_GB2312" w:hAnsi="楷体_GB2312" w:eastAsia="楷体_GB2312" w:cs="楷体_GB2312"/>
          <w:color w:val="auto"/>
          <w:kern w:val="21"/>
          <w:sz w:val="21"/>
          <w:szCs w:val="21"/>
          <w:lang w:eastAsia="zh-CN"/>
        </w:rPr>
        <w:t>是指：</w:t>
      </w:r>
      <w:r>
        <w:rPr>
          <w:rFonts w:hint="eastAsia" w:ascii="楷体_GB2312" w:hAnsi="楷体_GB2312" w:eastAsia="楷体_GB2312" w:cs="楷体_GB2312"/>
          <w:color w:val="auto"/>
          <w:kern w:val="21"/>
          <w:sz w:val="21"/>
          <w:szCs w:val="21"/>
        </w:rPr>
        <w:t>100%签署地下管线保护协议</w:t>
      </w:r>
      <w:r>
        <w:rPr>
          <w:rFonts w:hint="eastAsia" w:ascii="楷体_GB2312" w:hAnsi="楷体_GB2312" w:eastAsia="楷体_GB2312" w:cs="楷体_GB2312"/>
          <w:color w:val="auto"/>
          <w:kern w:val="21"/>
          <w:sz w:val="21"/>
          <w:szCs w:val="21"/>
          <w:lang w:val="en-US" w:eastAsia="zh-CN"/>
        </w:rPr>
        <w:t>，</w:t>
      </w:r>
      <w:r>
        <w:rPr>
          <w:rFonts w:hint="eastAsia" w:ascii="楷体_GB2312" w:hAnsi="楷体_GB2312" w:eastAsia="楷体_GB2312" w:cs="楷体_GB2312"/>
          <w:color w:val="auto"/>
          <w:kern w:val="21"/>
          <w:sz w:val="21"/>
          <w:szCs w:val="21"/>
        </w:rPr>
        <w:t>100%查明地下管线分布情况</w:t>
      </w:r>
      <w:r>
        <w:rPr>
          <w:rFonts w:hint="eastAsia" w:ascii="楷体_GB2312" w:hAnsi="楷体_GB2312" w:eastAsia="楷体_GB2312" w:cs="楷体_GB2312"/>
          <w:color w:val="auto"/>
          <w:kern w:val="21"/>
          <w:sz w:val="21"/>
          <w:szCs w:val="21"/>
          <w:lang w:eastAsia="zh-CN"/>
        </w:rPr>
        <w:t>，</w:t>
      </w:r>
      <w:r>
        <w:rPr>
          <w:rFonts w:hint="eastAsia" w:ascii="楷体_GB2312" w:hAnsi="楷体_GB2312" w:eastAsia="楷体_GB2312" w:cs="楷体_GB2312"/>
          <w:color w:val="auto"/>
          <w:kern w:val="21"/>
          <w:sz w:val="21"/>
          <w:szCs w:val="21"/>
        </w:rPr>
        <w:t>100%制定地下管线保护方案</w:t>
      </w:r>
      <w:r>
        <w:rPr>
          <w:rFonts w:hint="eastAsia" w:ascii="楷体_GB2312" w:hAnsi="楷体_GB2312" w:eastAsia="楷体_GB2312" w:cs="楷体_GB2312"/>
          <w:color w:val="auto"/>
          <w:kern w:val="21"/>
          <w:sz w:val="21"/>
          <w:szCs w:val="21"/>
          <w:lang w:eastAsia="zh-CN"/>
        </w:rPr>
        <w:t>，</w:t>
      </w:r>
      <w:r>
        <w:rPr>
          <w:rFonts w:hint="eastAsia" w:ascii="楷体_GB2312" w:hAnsi="楷体_GB2312" w:eastAsia="楷体_GB2312" w:cs="楷体_GB2312"/>
          <w:color w:val="auto"/>
          <w:kern w:val="21"/>
          <w:sz w:val="21"/>
          <w:szCs w:val="21"/>
        </w:rPr>
        <w:t>100%配备管线工程师</w:t>
      </w:r>
      <w:r>
        <w:rPr>
          <w:rFonts w:hint="eastAsia" w:ascii="楷体_GB2312" w:hAnsi="楷体_GB2312" w:eastAsia="楷体_GB2312" w:cs="楷体_GB2312"/>
          <w:color w:val="auto"/>
          <w:kern w:val="21"/>
          <w:sz w:val="21"/>
          <w:szCs w:val="21"/>
          <w:lang w:eastAsia="zh-CN"/>
        </w:rPr>
        <w:t>，</w:t>
      </w:r>
      <w:r>
        <w:rPr>
          <w:rFonts w:hint="eastAsia" w:ascii="楷体_GB2312" w:hAnsi="楷体_GB2312" w:eastAsia="楷体_GB2312" w:cs="楷体_GB2312"/>
          <w:color w:val="auto"/>
          <w:kern w:val="21"/>
          <w:sz w:val="21"/>
          <w:szCs w:val="21"/>
        </w:rPr>
        <w:t>100%实施《动土令》制度</w:t>
      </w:r>
      <w:r>
        <w:rPr>
          <w:rFonts w:hint="eastAsia" w:ascii="楷体_GB2312" w:hAnsi="楷体_GB2312" w:eastAsia="楷体_GB2312" w:cs="楷体_GB2312"/>
          <w:color w:val="auto"/>
          <w:kern w:val="21"/>
          <w:sz w:val="21"/>
          <w:szCs w:val="21"/>
          <w:lang w:eastAsia="zh-CN"/>
        </w:rPr>
        <w:t>，</w:t>
      </w:r>
      <w:r>
        <w:rPr>
          <w:rFonts w:hint="eastAsia" w:ascii="楷体_GB2312" w:hAnsi="楷体_GB2312" w:eastAsia="楷体_GB2312" w:cs="楷体_GB2312"/>
          <w:color w:val="auto"/>
          <w:kern w:val="21"/>
          <w:sz w:val="21"/>
          <w:szCs w:val="21"/>
        </w:rPr>
        <w:t>100%做好作业技术交底。</w:t>
      </w:r>
    </w:p>
    <w:p w14:paraId="632ECE6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2767A9"/>
    <w:rsid w:val="58276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_Style 1"/>
    <w:qFormat/>
    <w:uiPriority w:val="0"/>
    <w:pPr>
      <w:widowControl w:val="0"/>
      <w:tabs>
        <w:tab w:val="left" w:pos="426"/>
      </w:tabs>
      <w:spacing w:line="560" w:lineRule="exact"/>
      <w:ind w:firstLine="420" w:firstLineChars="20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2026-09-30T07:01:00Z</dcterms:created>
  <dc:creator>朴灿灿1405689278</dc:creator>
  <cp:lastModifiedBy>朴灿灿1405689278</cp:lastModifiedBy>
  <dcterms:modified xsi:type="dcterms:W3CDTF">2026-09-30T07:02:21Z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F0DAD9FB15E449908758CE95851507B9_11</vt:lpwstr>
  </property>
  <property fmtid="{D5CDD505-2E9C-101B-9397-08002B2CF9AE}" pid="4" name="KSOTemplateDocerSaveRecord">
    <vt:lpwstr>eyJoZGlkIjoiNWY2NjY3ZTM1ODM5YTdiNGYyN2Y5YjdmOGEzYzBkZTIiLCJ1c2VySWQiOiIxODgwMTgwNiJ9</vt:lpwstr>
  </property>
</Properties>
</file>