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FDB93">
      <w:pPr>
        <w:spacing w:line="560" w:lineRule="exact"/>
        <w:contextualSpacing/>
        <w:jc w:val="center"/>
        <w:rPr>
          <w:rFonts w:ascii="方正小标宋_GBK" w:hAnsi="宋体" w:eastAsia="方正小标宋_GBK" w:cs="Times New Roman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宋体" w:eastAsia="方正小标宋_GBK" w:cs="Times New Roman"/>
          <w:sz w:val="44"/>
          <w:szCs w:val="44"/>
        </w:rPr>
        <w:t>南山区促进产业高质量发展专项资金——区工业和信息化局分项资金—</w:t>
      </w:r>
    </w:p>
    <w:p w14:paraId="735845E0">
      <w:pPr>
        <w:spacing w:line="560" w:lineRule="exact"/>
        <w:contextualSpacing/>
        <w:jc w:val="center"/>
        <w:rPr>
          <w:rFonts w:ascii="方正小标宋_GBK" w:hAnsi="宋体" w:eastAsia="方正小标宋_GBK" w:cs="Times New Roman"/>
          <w:sz w:val="44"/>
          <w:szCs w:val="44"/>
        </w:rPr>
      </w:pPr>
      <w:r>
        <w:rPr>
          <w:rFonts w:hint="eastAsia" w:ascii="方正小标宋_GBK" w:hAnsi="宋体" w:eastAsia="方正小标宋_GBK" w:cs="Times New Roman"/>
          <w:sz w:val="44"/>
          <w:szCs w:val="44"/>
          <w:lang w:val="en-US" w:eastAsia="zh-CN"/>
        </w:rPr>
        <w:t>2026年二季度</w:t>
      </w:r>
      <w:r>
        <w:rPr>
          <w:rFonts w:hint="eastAsia" w:ascii="方正小标宋_GBK" w:hAnsi="宋体" w:eastAsia="方正小标宋_GBK" w:cs="Times New Roman"/>
          <w:sz w:val="44"/>
          <w:szCs w:val="44"/>
        </w:rPr>
        <w:t>“流量券”项目操作规程</w:t>
      </w:r>
    </w:p>
    <w:p w14:paraId="7AE3D778">
      <w:pPr>
        <w:spacing w:line="560" w:lineRule="exact"/>
        <w:contextualSpacing/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（2026年度）</w:t>
      </w:r>
    </w:p>
    <w:p w14:paraId="161D6887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7B6222">
      <w:pPr>
        <w:adjustRightInd w:val="0"/>
        <w:snapToGrid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为鼓励企业创新发展，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促进供给和需求良性互动，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根据《南山区促进产业高质量发展专项资金管理办法》《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南山区支持产业发展“六个券”行动方案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》等文件规定，制定本操作规程。</w:t>
      </w:r>
    </w:p>
    <w:p w14:paraId="197F80D4">
      <w:pPr>
        <w:widowControl w:val="0"/>
        <w:adjustRightInd w:val="0"/>
        <w:snapToGrid w:val="0"/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</w:rPr>
        <w:t>一、政策内容</w:t>
      </w:r>
    </w:p>
    <w:p w14:paraId="5FD489F8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设立“流量券”资金池，对符合条件的企业按照上季度投流金额的5%</w:t>
      </w:r>
      <w:r>
        <w:rPr>
          <w:rFonts w:ascii="仿宋_GB2312" w:hAnsi="仿宋_GB2312" w:eastAsia="仿宋_GB2312" w:cs="仿宋_GB2312"/>
          <w:sz w:val="32"/>
          <w:szCs w:val="32"/>
        </w:rPr>
        <w:t>及投流增量的5%</w:t>
      </w:r>
      <w:r>
        <w:rPr>
          <w:rFonts w:hint="eastAsia" w:ascii="仿宋_GB2312" w:hAnsi="仿宋_GB2312" w:eastAsia="仿宋_GB2312" w:cs="仿宋_GB2312"/>
          <w:sz w:val="32"/>
          <w:szCs w:val="32"/>
        </w:rPr>
        <w:t>发放“流量券”，本季度在流量平台进行投放时可直接进行抵扣，单家企业每批次“流量券”申领最高300万元。</w:t>
      </w:r>
    </w:p>
    <w:p w14:paraId="63922469">
      <w:pPr>
        <w:widowControl w:val="0"/>
        <w:numPr>
          <w:ilvl w:val="-1"/>
          <w:numId w:val="0"/>
        </w:numPr>
        <w:adjustRightInd w:val="0"/>
        <w:snapToGrid w:val="0"/>
        <w:spacing w:line="560" w:lineRule="exact"/>
        <w:ind w:firstLine="640" w:firstLineChars="200"/>
        <w:outlineLvl w:val="0"/>
        <w:rPr>
          <w:rFonts w:ascii="Times New Roman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Times New Roman" w:hAnsi="黑体" w:eastAsia="黑体" w:cs="Times New Roman"/>
          <w:color w:val="000000"/>
          <w:sz w:val="32"/>
          <w:szCs w:val="32"/>
        </w:rPr>
        <w:t>资助方式</w:t>
      </w:r>
    </w:p>
    <w:p w14:paraId="37355679">
      <w:pPr>
        <w:widowControl w:val="0"/>
        <w:spacing w:line="560" w:lineRule="exact"/>
        <w:ind w:firstLine="537" w:firstLineChars="168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本项资助属于核准类项目，资助资金的安排使用坚持公平、公开、公正的原则，实行自愿申报、科学决策和绩效评估的管理制度，采取无偿资助方式和事后补贴制，受资助项目无需验收。</w:t>
      </w:r>
    </w:p>
    <w:p w14:paraId="6083FEA6">
      <w:pPr>
        <w:widowControl w:val="0"/>
        <w:spacing w:line="560" w:lineRule="exact"/>
        <w:ind w:firstLine="537" w:firstLineChars="168"/>
        <w:rPr>
          <w:rFonts w:eastAsia="仿宋_GB2312"/>
        </w:rPr>
      </w:pPr>
      <w:r>
        <w:rPr>
          <w:rFonts w:hint="eastAsia" w:eastAsia="仿宋_GB2312"/>
          <w:sz w:val="32"/>
          <w:szCs w:val="32"/>
        </w:rPr>
        <w:t>本项资助受年度资金预算控制，区工信局视申报情况和预算安排，可以对资助金额、支持比例和拨付进度等进行统一调整，申报主体应无条件同意调整结果。</w:t>
      </w:r>
    </w:p>
    <w:p w14:paraId="2B04D36B">
      <w:pPr>
        <w:widowControl w:val="0"/>
        <w:adjustRightInd w:val="0"/>
        <w:snapToGrid w:val="0"/>
        <w:spacing w:line="560" w:lineRule="exact"/>
        <w:ind w:firstLine="640" w:firstLineChars="200"/>
        <w:outlineLvl w:val="0"/>
        <w:rPr>
          <w:rFonts w:ascii="Times New Roman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</w:rPr>
        <w:t>三、资助标准</w:t>
      </w:r>
    </w:p>
    <w:p w14:paraId="4C763654">
      <w:pPr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adjustRightInd w:val="0"/>
        <w:snapToGrid w:val="0"/>
        <w:spacing w:line="560" w:lineRule="exact"/>
        <w:ind w:firstLine="640" w:firstLineChars="200"/>
        <w:textAlignment w:val="center"/>
        <w:rPr>
          <w:rFonts w:ascii="仿宋_GB2312" w:hAnsi="Times New Roman" w:eastAsia="仿宋_GB2312" w:cs="Times New Roman"/>
          <w:color w:val="000000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对符合申报条件，依托经遴选广告服务商的对应投流平台进行广告流量投放的企业，予以流量奖励。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  <w:lang w:val="en-US" w:eastAsia="zh-CN"/>
        </w:rPr>
        <w:t>一是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依据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二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季度</w:t>
      </w:r>
      <w:r>
        <w:rPr>
          <w:rFonts w:ascii="仿宋_GB2312" w:hAnsi="Times New Roman" w:eastAsia="仿宋_GB2312" w:cs="Times New Roman"/>
          <w:color w:val="000000"/>
          <w:sz w:val="32"/>
          <w:szCs w:val="40"/>
        </w:rPr>
        <w:t>流量投放总额给予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  <w:lang w:val="en-US" w:eastAsia="zh-CN"/>
        </w:rPr>
        <w:t>基础流量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奖励</w:t>
      </w:r>
      <w:r>
        <w:rPr>
          <w:rFonts w:ascii="仿宋_GB2312" w:hAnsi="Times New Roman" w:eastAsia="仿宋_GB2312" w:cs="Times New Roman"/>
          <w:color w:val="000000"/>
          <w:sz w:val="32"/>
          <w:szCs w:val="40"/>
        </w:rPr>
        <w:t>，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  <w:lang w:val="en-US" w:eastAsia="zh-CN"/>
        </w:rPr>
        <w:t>最高奖励金额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不超过150万元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；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</w:rPr>
        <w:t>二是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对202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二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季度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加大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流量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投放力度的企业，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依据</w:t>
      </w:r>
      <w:r>
        <w:rPr>
          <w:rFonts w:hint="eastAsia" w:ascii="仿宋_GB2312" w:eastAsia="仿宋_GB2312" w:cs="Times New Roman"/>
          <w:color w:val="000000"/>
          <w:sz w:val="32"/>
          <w:szCs w:val="40"/>
          <w:lang w:eastAsia="zh-CN"/>
        </w:rPr>
        <w:t>2026年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二</w:t>
      </w:r>
      <w:r>
        <w:rPr>
          <w:rFonts w:hint="eastAsia" w:ascii="仿宋_GB2312" w:eastAsia="仿宋_GB2312" w:cs="Times New Roman"/>
          <w:color w:val="000000"/>
          <w:sz w:val="32"/>
          <w:szCs w:val="40"/>
          <w:lang w:eastAsia="zh-CN"/>
        </w:rPr>
        <w:t>季度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投放流量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较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2026年一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季度投放流量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增加额给予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  <w:lang w:val="en-US" w:eastAsia="zh-CN"/>
        </w:rPr>
        <w:t>新增流量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奖励。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  <w:lang w:val="en-US" w:eastAsia="zh-CN"/>
        </w:rPr>
        <w:t>二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</w:rPr>
        <w:t>者可叠加享受，每家企业每季度最高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  <w:lang w:val="en-US" w:eastAsia="zh-CN"/>
        </w:rPr>
        <w:t>补贴金额不超过</w:t>
      </w:r>
      <w:r>
        <w:rPr>
          <w:rFonts w:ascii="仿宋_GB2312" w:hAnsi="Times New Roman" w:eastAsia="仿宋_GB2312" w:cs="Times New Roman"/>
          <w:b/>
          <w:bCs/>
          <w:color w:val="000000"/>
          <w:sz w:val="32"/>
          <w:szCs w:val="40"/>
        </w:rPr>
        <w:t>3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</w:rPr>
        <w:t>00万元。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具体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  <w:lang w:val="en-US" w:eastAsia="zh-CN"/>
        </w:rPr>
        <w:t>奖励规则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如下：</w:t>
      </w:r>
    </w:p>
    <w:p w14:paraId="471F6E0D">
      <w:pPr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adjustRightInd w:val="0"/>
        <w:snapToGrid w:val="0"/>
        <w:spacing w:line="560" w:lineRule="exact"/>
        <w:ind w:firstLine="643" w:firstLineChars="200"/>
        <w:jc w:val="both"/>
        <w:textAlignment w:val="center"/>
        <w:rPr>
          <w:rFonts w:hint="eastAsia" w:ascii="仿宋_GB2312" w:hAnsi="Times New Roman" w:eastAsia="仿宋_GB2312" w:cs="Times New Roman"/>
          <w:color w:val="000000"/>
          <w:sz w:val="32"/>
          <w:szCs w:val="40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</w:rPr>
        <w:t>1.基础流量奖励</w:t>
      </w:r>
    </w:p>
    <w:p w14:paraId="3D898F82">
      <w:pPr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adjustRightInd w:val="0"/>
        <w:snapToGrid w:val="0"/>
        <w:spacing w:line="560" w:lineRule="exact"/>
        <w:ind w:firstLine="640" w:firstLineChars="200"/>
        <w:jc w:val="both"/>
        <w:textAlignment w:val="center"/>
        <w:rPr>
          <w:rFonts w:ascii="仿宋_GB2312" w:hAnsi="Times New Roman" w:eastAsia="仿宋_GB2312" w:cs="Times New Roman"/>
          <w:color w:val="000000"/>
          <w:sz w:val="32"/>
          <w:szCs w:val="40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依据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4月—6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通过广告</w:t>
      </w:r>
      <w:r>
        <w:rPr>
          <w:rFonts w:ascii="仿宋_GB2312" w:hAnsi="Times New Roman" w:eastAsia="仿宋_GB2312" w:cs="Times New Roman"/>
          <w:color w:val="000000"/>
          <w:sz w:val="32"/>
          <w:szCs w:val="40"/>
        </w:rPr>
        <w:t>服务商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在平台实际投放流量的5%给予流量奖励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  <w:lang w:eastAsia="zh-CN"/>
        </w:rPr>
        <w:t>，</w:t>
      </w:r>
      <w:r>
        <w:rPr>
          <w:rFonts w:hint="eastAsia" w:ascii="仿宋_GB2312" w:eastAsia="仿宋_GB2312" w:cs="Times New Roman"/>
          <w:b w:val="0"/>
          <w:bCs w:val="0"/>
          <w:color w:val="000000"/>
          <w:sz w:val="32"/>
          <w:szCs w:val="40"/>
        </w:rPr>
        <w:t>计算公式</w:t>
      </w:r>
      <w:r>
        <w:rPr>
          <w:rFonts w:hint="eastAsia" w:ascii="仿宋_GB2312" w:eastAsia="仿宋_GB2312" w:cs="Times New Roman"/>
          <w:b w:val="0"/>
          <w:bCs w:val="0"/>
          <w:color w:val="000000"/>
          <w:sz w:val="32"/>
          <w:szCs w:val="40"/>
          <w:lang w:val="en-US" w:eastAsia="zh-CN"/>
        </w:rPr>
        <w:t xml:space="preserve">为：基础流量奖励= 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4月—6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月实际投放流量金额*5%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。</w:t>
      </w:r>
    </w:p>
    <w:p w14:paraId="3E4AE075">
      <w:pPr>
        <w:keepNext w:val="0"/>
        <w:keepLines w:val="0"/>
        <w:pageBreakBefore w:val="0"/>
        <w:numPr>
          <w:ilvl w:val="-1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center"/>
        <w:outlineLvl w:val="9"/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</w:rPr>
        <w:t>新增流量奖励</w:t>
      </w:r>
    </w:p>
    <w:p w14:paraId="40CB95B8">
      <w:pPr>
        <w:keepNext w:val="0"/>
        <w:keepLines w:val="0"/>
        <w:pageBreakBefore w:val="0"/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center"/>
        <w:outlineLvl w:val="9"/>
        <w:rPr>
          <w:rFonts w:hint="eastAsia" w:ascii="仿宋_GB2312" w:hAnsi="Times New Roman" w:eastAsia="仿宋_GB2312" w:cs="Times New Roman"/>
          <w:color w:val="000000"/>
          <w:sz w:val="32"/>
          <w:szCs w:val="40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依据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4月—6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通过广告</w:t>
      </w:r>
      <w:r>
        <w:rPr>
          <w:rFonts w:ascii="仿宋_GB2312" w:hAnsi="Times New Roman" w:eastAsia="仿宋_GB2312" w:cs="Times New Roman"/>
          <w:color w:val="000000"/>
          <w:sz w:val="32"/>
          <w:szCs w:val="40"/>
        </w:rPr>
        <w:t>服务商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在平台实际投放流量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较202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年1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月—3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月实际投放流量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增加额的5%给予流量奖励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  <w:lang w:eastAsia="zh-CN"/>
        </w:rPr>
        <w:t>，</w:t>
      </w:r>
      <w:r>
        <w:rPr>
          <w:rFonts w:hint="eastAsia" w:ascii="仿宋_GB2312" w:eastAsia="仿宋_GB2312" w:cs="Times New Roman"/>
          <w:b w:val="0"/>
          <w:bCs w:val="0"/>
          <w:color w:val="000000"/>
          <w:sz w:val="32"/>
          <w:szCs w:val="40"/>
        </w:rPr>
        <w:t>计算公式</w:t>
      </w:r>
      <w:r>
        <w:rPr>
          <w:rFonts w:hint="eastAsia" w:ascii="仿宋_GB2312" w:eastAsia="仿宋_GB2312" w:cs="Times New Roman"/>
          <w:b w:val="0"/>
          <w:bCs w:val="0"/>
          <w:color w:val="000000"/>
          <w:sz w:val="32"/>
          <w:szCs w:val="40"/>
          <w:lang w:val="en-US" w:eastAsia="zh-CN"/>
        </w:rPr>
        <w:t>为</w:t>
      </w:r>
      <w:r>
        <w:rPr>
          <w:rFonts w:hint="eastAsia" w:ascii="仿宋_GB2312" w:eastAsia="仿宋_GB2312" w:cs="Times New Roman"/>
          <w:b w:val="0"/>
          <w:bCs w:val="0"/>
          <w:color w:val="000000"/>
          <w:sz w:val="32"/>
          <w:szCs w:val="40"/>
        </w:rPr>
        <w:t>：新增流量奖励</w:t>
      </w:r>
      <w:r>
        <w:rPr>
          <w:rFonts w:hint="eastAsia" w:ascii="仿宋_GB2312" w:eastAsia="仿宋_GB2312" w:cs="Times New Roman"/>
          <w:b w:val="0"/>
          <w:bCs w:val="0"/>
          <w:color w:val="000000"/>
          <w:sz w:val="32"/>
          <w:szCs w:val="40"/>
          <w:lang w:val="en-US" w:eastAsia="zh-CN"/>
        </w:rPr>
        <w:t>=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（202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4月至6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月实际投放流量金额-202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年1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月至3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月实际投放流量金额）*5%</w:t>
      </w:r>
      <w:r>
        <w:rPr>
          <w:rFonts w:hint="eastAsia" w:ascii="仿宋_GB2312" w:hAnsi="Times New Roman" w:eastAsia="仿宋_GB2312" w:cs="Times New Roman"/>
          <w:color w:val="000000"/>
          <w:sz w:val="32"/>
          <w:szCs w:val="40"/>
        </w:rPr>
        <w:t>。</w:t>
      </w:r>
    </w:p>
    <w:p w14:paraId="09C18D98">
      <w:pPr>
        <w:keepNext w:val="0"/>
        <w:keepLines w:val="0"/>
        <w:pageBreakBefore w:val="0"/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center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4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申报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实际投放流量金额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平台提供的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申报主体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与已遴选公示的服务商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含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关联公司）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平台产生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的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202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年1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月—3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2026年</w:t>
      </w:r>
      <w:r>
        <w:rPr>
          <w:rFonts w:hint="eastAsia" w:ascii="仿宋_GB2312" w:eastAsia="仿宋_GB2312" w:cs="Times New Roman"/>
          <w:color w:val="000000"/>
          <w:sz w:val="32"/>
          <w:szCs w:val="40"/>
          <w:lang w:val="en-US" w:eastAsia="zh-CN"/>
        </w:rPr>
        <w:t>4月—6</w:t>
      </w:r>
      <w:r>
        <w:rPr>
          <w:rFonts w:hint="eastAsia" w:ascii="仿宋_GB2312" w:eastAsia="仿宋_GB2312" w:cs="Times New Roman"/>
          <w:color w:val="000000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实际消耗金额数据为准。</w:t>
      </w:r>
    </w:p>
    <w:p w14:paraId="6610D58C">
      <w:pPr>
        <w:widowControl w:val="0"/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adjustRightInd w:val="0"/>
        <w:snapToGrid w:val="0"/>
        <w:spacing w:line="560" w:lineRule="exact"/>
        <w:ind w:firstLine="640" w:firstLineChars="200"/>
        <w:textAlignment w:val="center"/>
        <w:outlineLvl w:val="9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4.参与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2026年二季度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流量券项目的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投流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平台与广告服务商通过遴选确定，遴选公示名单详见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南山区工信局官网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。</w:t>
      </w:r>
    </w:p>
    <w:p w14:paraId="180DA3ED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center"/>
        <w:outlineLvl w:val="9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</w:rPr>
        <w:t>四、申请条件</w:t>
      </w:r>
    </w:p>
    <w:p w14:paraId="191ACC6C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5"/>
          <w:right w:val="none" w:color="000000" w:sz="0" w:space="2"/>
        </w:pBdr>
        <w:tabs>
          <w:tab w:val="left" w:pos="562"/>
          <w:tab w:val="left" w:pos="3372"/>
          <w:tab w:val="left" w:pos="365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center"/>
        <w:outlineLvl w:val="9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（一）基本条件</w:t>
      </w:r>
    </w:p>
    <w:p w14:paraId="09BE89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在南山区实际开展经营活动，具有独立承担民事责任能力的经营主体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 w14:paraId="1FDAE8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南山区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营利性服务业、工业、批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发和零售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业、住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宿业和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饮业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主体，或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入驻“模力营”、“游托邦”的初创型企业；</w:t>
      </w:r>
    </w:p>
    <w:p w14:paraId="503AC0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履行相关数据申报义务、守法经营、诚实守信、有规范健全的财务制度；</w:t>
      </w:r>
    </w:p>
    <w:p w14:paraId="7EFDB7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.积极配合区委、区政府相关工作。</w:t>
      </w:r>
    </w:p>
    <w:p w14:paraId="1BB8FE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1"/>
        <w:rPr>
          <w:rFonts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（二）有下列情况之一的，本项资金不予资助</w:t>
      </w:r>
    </w:p>
    <w:p w14:paraId="1DA847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1.被依法依规纳入严重失信主体名单或失信惩戒措施清单的；</w:t>
      </w:r>
    </w:p>
    <w:p w14:paraId="30DBBF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黑体" w:eastAsia="黑体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2.提出资助申请后，申报主体项目实施地或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实际经营地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地发生变化，不再符合申报条件的。</w:t>
      </w:r>
    </w:p>
    <w:p w14:paraId="08692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</w:rPr>
        <w:t>五、</w:t>
      </w:r>
      <w:r>
        <w:rPr>
          <w:rFonts w:hint="eastAsia" w:ascii="黑体" w:hAnsi="黑体" w:eastAsia="黑体" w:cs="Times New Roman"/>
          <w:bCs/>
          <w:sz w:val="32"/>
          <w:szCs w:val="32"/>
        </w:rPr>
        <w:t>办理流程</w:t>
      </w:r>
    </w:p>
    <w:p w14:paraId="4B93F583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pacing w:val="4"/>
          <w:kern w:val="0"/>
          <w:sz w:val="32"/>
          <w:szCs w:val="32"/>
        </w:rPr>
        <w:t>登录“Ai南山企业服务综合平台”https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://www.inanshan.org.cn/，在线填写《南山区促进产业高质量发展专项资金—区工业和信息化局分项资金—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2026年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季度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“流量券”项目申请书》相关申报材料；</w:t>
      </w:r>
    </w:p>
    <w:p w14:paraId="412FF906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（二）区企业发展服务中心受理申请，对申报材料进行形式性审核，区工业和信息化局复审项目申报材料；</w:t>
      </w:r>
    </w:p>
    <w:p w14:paraId="16DEC507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（三）区工业和信息化局拟定资助计划；</w:t>
      </w:r>
    </w:p>
    <w:p w14:paraId="4D167302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（四）区相关部门对申报主体的有关经营资质情况进行核查；</w:t>
      </w:r>
    </w:p>
    <w:p w14:paraId="03A79149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区企业发展服务中心将拟资助项目向社会公示5个工作日，对公示期满、无有效投诉的项目资助计划，区工业和信息化局再按照相应审核程序提交会议审议；</w:t>
      </w:r>
    </w:p>
    <w:p w14:paraId="73B15F25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（六）经审议后，由区工业和信息化局直接行文下达资金计划；</w:t>
      </w:r>
    </w:p>
    <w:p w14:paraId="01433AFB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（七）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申报主体授权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平台线上提交加盖单位财务专用章的收据后，区财政部门及时安排资金，区工业和信息化局同步办理资金拨付手续拨付至相应平台；</w:t>
      </w:r>
    </w:p>
    <w:p w14:paraId="7F829B93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（八）若申报企业在两家及以上投流平台发生实际投放的，须在流量券申报系统后台逐一勾选平台及广告服务商，并分别填写唯一充值账号。</w:t>
      </w:r>
    </w:p>
    <w:p w14:paraId="57FA05B2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（九）奖励由平台代为充值至申报企业在《项目申请书》填写的账号中，供企业投放后续流量时抵扣使用。充值方式如下：</w:t>
      </w:r>
    </w:p>
    <w:p w14:paraId="326DE686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基础流量奖励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按各平台下各广告服务商已投放流量占比，分别充值至企业在申报系统后台填写的各广告服务商充值账号中；</w:t>
      </w:r>
    </w:p>
    <w:p w14:paraId="79760A5D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新增流量奖励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全部发放至实际投放金额最高的平台，由该平台充值至实际投放金额最高的广告服务商充值账号。</w:t>
      </w:r>
    </w:p>
    <w:p w14:paraId="262C8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ascii="Times New Roman" w:hAnsi="Times New Roman" w:eastAsia="黑体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  <w:highlight w:val="none"/>
        </w:rPr>
        <w:t>六、所需材料</w:t>
      </w:r>
    </w:p>
    <w:p w14:paraId="1B2E8B0E">
      <w:pPr>
        <w:keepNext w:val="0"/>
        <w:keepLines w:val="0"/>
        <w:pageBreakBefore w:val="0"/>
        <w:widowControl w:val="0"/>
        <w:tabs>
          <w:tab w:val="left" w:pos="29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《项目申请书》（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登录“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A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i南山企业服务综合平台”https://www.inanshan.org.cn/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在线填写，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法定代表人签字并加盖单位公章后，原件彩色扫描成PDF文件上传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）；</w:t>
      </w:r>
    </w:p>
    <w:p w14:paraId="343C8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）统一社会信用代码证书（原件彩色扫描成PDF文件上传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75729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）法定代表人身份证[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原件（或复印件加盖单位公章）彩色扫描成PDF文件上传）</w:t>
      </w:r>
      <w:r>
        <w:rPr>
          <w:rFonts w:hint="eastAsia" w:ascii="仿宋_GB2312" w:hAnsi="仿宋_GB2312" w:eastAsia="仿宋_GB2312" w:cs="仿宋_GB2312"/>
          <w:sz w:val="32"/>
          <w:szCs w:val="32"/>
        </w:rPr>
        <w:t>]；</w:t>
      </w:r>
    </w:p>
    <w:p w14:paraId="7AF83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）申报主体由税务部门开具的单位202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</w:t>
      </w:r>
      <w:r>
        <w:rPr>
          <w:rFonts w:hint="eastAsia" w:ascii="仿宋_GB2312" w:hAnsi="仿宋_GB2312" w:eastAsia="仿宋_GB2312" w:cs="仿宋_GB2312"/>
          <w:sz w:val="32"/>
          <w:szCs w:val="32"/>
        </w:rPr>
        <w:t>税证明（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上传税务系统下载带有税务机关红色印章的电子版）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8EDB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五</w:t>
      </w:r>
      <w:r>
        <w:rPr>
          <w:rFonts w:hint="eastAsia" w:ascii="仿宋_GB2312" w:eastAsia="仿宋_GB2312"/>
          <w:sz w:val="32"/>
          <w:szCs w:val="32"/>
        </w:rPr>
        <w:t>）申请基础流量奖励项目需提供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4月—6月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与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/>
        </w:rPr>
        <w:t>已遴选公示服务商及关联公司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相应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平台内产生的实际交易相关证明材料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含合同），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合同主体需一方为项目申报企业，另一方为已遴选公示的服务商</w:t>
      </w:r>
      <w:r>
        <w:rPr>
          <w:rFonts w:hint="eastAsia" w:ascii="仿宋_GB2312" w:eastAsia="仿宋_GB2312"/>
          <w:sz w:val="32"/>
          <w:szCs w:val="32"/>
        </w:rPr>
        <w:t>[</w:t>
      </w:r>
      <w:r>
        <w:rPr>
          <w:rFonts w:hint="eastAsia" w:ascii="仿宋_GB2312" w:hAnsi="仿宋_GB2312" w:eastAsia="仿宋_GB2312" w:cs="仿宋_GB2312"/>
          <w:sz w:val="32"/>
          <w:szCs w:val="32"/>
        </w:rPr>
        <w:t>原件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（或复印件加盖单位公章）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彩色扫描成PDF文件上传</w:t>
      </w:r>
      <w:r>
        <w:rPr>
          <w:rFonts w:hint="eastAsia" w:ascii="仿宋_GB2312" w:eastAsia="仿宋_GB2312"/>
          <w:sz w:val="32"/>
          <w:szCs w:val="32"/>
        </w:rPr>
        <w:t>]</w:t>
      </w:r>
      <w:r>
        <w:rPr>
          <w:rFonts w:hint="eastAsia" w:ascii="仿宋_GB2312" w:hAnsi="仿宋_GB2312" w:eastAsia="仿宋_GB2312" w:cs="仿宋_GB2312"/>
          <w:b w:val="0"/>
          <w:bCs w:val="0"/>
          <w:color w:val="7030A0"/>
          <w:sz w:val="32"/>
          <w:szCs w:val="32"/>
          <w:lang w:eastAsia="zh-CN"/>
        </w:rPr>
        <w:t>。</w:t>
      </w:r>
    </w:p>
    <w:p w14:paraId="6A5037F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）申请新增流量奖励项目需提供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2026年1月—3月及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4月—6月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与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/>
        </w:rPr>
        <w:t>已遴选公示的服务商及关联公司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相应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平台内产生的实际交易相关证明材料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含合同）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合同主体需一方为项目申报企业，另一方为已遴选公示的服务商</w:t>
      </w:r>
      <w:r>
        <w:rPr>
          <w:rFonts w:hint="eastAsia" w:ascii="仿宋_GB2312" w:eastAsia="仿宋_GB2312"/>
          <w:sz w:val="32"/>
          <w:szCs w:val="32"/>
        </w:rPr>
        <w:t>[</w:t>
      </w:r>
      <w:r>
        <w:rPr>
          <w:rFonts w:hint="eastAsia" w:ascii="仿宋_GB2312" w:hAnsi="仿宋_GB2312" w:eastAsia="仿宋_GB2312" w:cs="仿宋_GB2312"/>
          <w:sz w:val="32"/>
          <w:szCs w:val="32"/>
        </w:rPr>
        <w:t>原件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（或复印件加盖单位公章）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彩色扫描成PDF文件上传</w:t>
      </w:r>
      <w:r>
        <w:rPr>
          <w:rFonts w:hint="eastAsia" w:ascii="仿宋_GB2312" w:eastAsia="仿宋_GB2312"/>
          <w:sz w:val="32"/>
          <w:szCs w:val="32"/>
        </w:rPr>
        <w:t>]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。</w:t>
      </w:r>
    </w:p>
    <w:p w14:paraId="4811D8BC">
      <w:pPr>
        <w:keepNext w:val="0"/>
        <w:keepLines w:val="0"/>
        <w:widowControl w:val="0"/>
        <w:numPr>
          <w:ilvl w:val="-1"/>
          <w:numId w:val="0"/>
        </w:numPr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（七）</w:t>
      </w:r>
      <w:r>
        <w:rPr>
          <w:rFonts w:hint="eastAsia" w:ascii="仿宋_GB2312" w:hAnsi="Times New Roman" w:eastAsia="仿宋_GB2312" w:cs="Times New Roman"/>
          <w:b w:val="0"/>
          <w:bCs w:val="0"/>
          <w:color w:val="000000"/>
          <w:w w:val="95"/>
          <w:kern w:val="2"/>
          <w:sz w:val="32"/>
          <w:szCs w:val="32"/>
          <w:highlight w:val="none"/>
          <w:lang w:val="en-US" w:eastAsia="zh-CN" w:bidi="ar-SA"/>
        </w:rPr>
        <w:t>申报主体需根据自身企业类别提供以下材料之一：</w:t>
      </w:r>
    </w:p>
    <w:p w14:paraId="743A7B47">
      <w:pPr>
        <w:keepNext w:val="0"/>
        <w:keepLines w:val="0"/>
        <w:widowControl w:val="0"/>
        <w:numPr>
          <w:ilvl w:val="-1"/>
          <w:numId w:val="0"/>
        </w:numPr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1.南山区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营利性服务业、工业、批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发和零售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业、住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宿业和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饮业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主体，需提供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调查单位基本情况表[“统计联网直报平台”下载，原件（或复印件加盖单位公章）彩色扫描成PDF文件上传]；</w:t>
      </w:r>
    </w:p>
    <w:p w14:paraId="1D88A011">
      <w:pPr>
        <w:keepNext w:val="0"/>
        <w:keepLines w:val="0"/>
        <w:widowControl w:val="0"/>
        <w:numPr>
          <w:ilvl w:val="-1"/>
          <w:numId w:val="0"/>
        </w:numPr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2.入驻“模力营”、“游托邦”的初创型企业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，需提供</w:t>
      </w:r>
      <w:r>
        <w:rPr>
          <w:rFonts w:hint="eastAsia" w:ascii="宋体" w:hAnsi="宋体" w:eastAsia="仿宋_GB2312" w:cs="Times New Roman"/>
          <w:kern w:val="2"/>
          <w:sz w:val="32"/>
          <w:szCs w:val="21"/>
          <w:highlight w:val="none"/>
          <w:lang w:val="en-US" w:eastAsia="zh-CN" w:bidi="ar-SA"/>
        </w:rPr>
        <w:t>模力营、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游托邦</w:t>
      </w:r>
      <w:r>
        <w:rPr>
          <w:rFonts w:hint="eastAsia" w:ascii="宋体" w:hAnsi="宋体" w:eastAsia="仿宋_GB2312" w:cs="Times New Roman"/>
          <w:kern w:val="2"/>
          <w:sz w:val="32"/>
          <w:szCs w:val="21"/>
          <w:highlight w:val="none"/>
          <w:lang w:val="en-US" w:eastAsia="zh-CN" w:bidi="ar-SA"/>
        </w:rPr>
        <w:t>入驻通知书和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游托邦</w:t>
      </w:r>
      <w:r>
        <w:rPr>
          <w:rFonts w:hint="eastAsia" w:ascii="宋体" w:hAnsi="宋体" w:eastAsia="仿宋_GB2312" w:cs="Times New Roman"/>
          <w:kern w:val="2"/>
          <w:sz w:val="32"/>
          <w:szCs w:val="21"/>
          <w:highlight w:val="none"/>
          <w:lang w:val="en-US" w:eastAsia="zh-CN" w:bidi="ar-SA"/>
        </w:rPr>
        <w:t>运营企业确认函[原件彩色扫描成PDF文件上传];</w:t>
      </w:r>
    </w:p>
    <w:p w14:paraId="674E08D5">
      <w:pPr>
        <w:keepNext w:val="0"/>
        <w:keepLines w:val="0"/>
        <w:widowControl w:val="0"/>
        <w:numPr>
          <w:ilvl w:val="-1"/>
          <w:numId w:val="0"/>
        </w:numPr>
        <w:spacing w:line="560" w:lineRule="exact"/>
        <w:ind w:left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申请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企业涉及分公司流量投放数据时，</w:t>
      </w:r>
      <w:r>
        <w:rPr>
          <w:rFonts w:hint="eastAsia" w:ascii="仿宋_GB2312" w:eastAsia="仿宋_GB2312"/>
          <w:sz w:val="32"/>
          <w:szCs w:val="32"/>
        </w:rPr>
        <w:t>需提供分公司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营业执照</w:t>
      </w:r>
      <w:r>
        <w:rPr>
          <w:rFonts w:hint="eastAsia" w:ascii="仿宋_GB2312" w:eastAsia="仿宋_GB2312"/>
          <w:sz w:val="32"/>
          <w:szCs w:val="32"/>
        </w:rPr>
        <w:t>[</w:t>
      </w:r>
      <w:r>
        <w:rPr>
          <w:rFonts w:hint="eastAsia" w:ascii="仿宋_GB2312" w:hAnsi="仿宋_GB2312" w:eastAsia="仿宋_GB2312" w:cs="仿宋_GB2312"/>
          <w:sz w:val="32"/>
          <w:szCs w:val="32"/>
        </w:rPr>
        <w:t>原件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加盖单位公章</w:t>
      </w:r>
      <w:r>
        <w:rPr>
          <w:rFonts w:hint="eastAsia" w:ascii="仿宋_GB2312" w:hAnsi="仿宋_GB2312" w:eastAsia="仿宋_GB2312" w:cs="仿宋_GB2312"/>
          <w:sz w:val="32"/>
          <w:szCs w:val="32"/>
        </w:rPr>
        <w:t>彩色扫描成PDF文件上传</w:t>
      </w:r>
      <w:r>
        <w:rPr>
          <w:rFonts w:hint="eastAsia" w:ascii="仿宋_GB2312" w:eastAsia="仿宋_GB2312"/>
          <w:sz w:val="32"/>
          <w:szCs w:val="32"/>
        </w:rPr>
        <w:t>]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申请企业填报项目申请书时需准确填写分公司名称，分公司在平台产生的实际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消耗金额数据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统一纳入总公司在平台产生的实际消耗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金额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数据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</w:p>
    <w:p w14:paraId="1C208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审核部门认为需要提供的其他材料［原件（或复印件加盖单位公章）彩色扫描成PDF文件上传］。</w:t>
      </w:r>
    </w:p>
    <w:p w14:paraId="5871D99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5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</w:rPr>
        <w:t>七、时限要求</w:t>
      </w:r>
    </w:p>
    <w:p w14:paraId="59A4E533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（一）区工信局视申请情况安排集中受理企业申请，具体受理时间以发布的申报通知为准。</w:t>
      </w:r>
    </w:p>
    <w:p w14:paraId="02B6B424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（二）申报主体须按照区工信局相关通知要求及时提交资金拨付所需材料，逾期不办理者视为自动放弃。</w:t>
      </w:r>
    </w:p>
    <w:p w14:paraId="5F4ACB3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5"/>
        <w:textAlignment w:val="auto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</w:rPr>
        <w:t>八、其他事项</w:t>
      </w:r>
    </w:p>
    <w:p w14:paraId="69D97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8"/>
        <w:textAlignment w:val="auto"/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（一）</w:t>
      </w:r>
      <w:r>
        <w:rPr>
          <w:rFonts w:hint="eastAsia" w:ascii="仿宋_GB2312" w:hAnsi="黑体" w:eastAsia="仿宋_GB2312"/>
          <w:sz w:val="32"/>
          <w:szCs w:val="32"/>
        </w:rPr>
        <w:t>本项目所依据的政策内容执行期间如遇国家、省、市有关政策调整的，按照上级有关规定执行</w:t>
      </w:r>
      <w:r>
        <w:rPr>
          <w:rFonts w:hint="eastAsia" w:ascii="仿宋_GB2312" w:hAnsi="黑体" w:eastAsia="仿宋_GB2312" w:cs="Times New Roman"/>
          <w:sz w:val="32"/>
          <w:szCs w:val="32"/>
        </w:rPr>
        <w:t>。</w:t>
      </w:r>
    </w:p>
    <w:p w14:paraId="4ABBD024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5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（二）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申请本项目资助的主体应保证其申报材料的完整性、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真实性、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准确性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及合法性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并承担因其提交的项目申报材料产生的相关法律责任，如有虚假或侵权等行为，该项目申请无效，如事后发现存在以上行为，本资金主管部门将保留依法追究其法律责任的权利。</w:t>
      </w:r>
    </w:p>
    <w:p w14:paraId="1779C882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sz w:val="32"/>
          <w:szCs w:val="32"/>
        </w:rPr>
        <w:t>九、附则</w:t>
      </w:r>
    </w:p>
    <w:p w14:paraId="7E21C9C2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Times New Roman" w:hAnsi="仿宋" w:eastAsia="仿宋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本项目责任部门为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区工信局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，本操作规程由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区工信局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负责解释，自发布之日起施行。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D89BD2-7C3B-4A3A-8127-0811877B24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FF0D58C-D70B-46E5-88CF-19A0A90AE3E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01A5E56-77BE-40B1-8392-C2E4B76C3F6C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5389C8B-D393-4568-9AA0-1C95B0FFE2E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3941BB6-E61F-4AF8-8854-7DFE991459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2BC80BC-467E-4E0D-9D16-04C5B1A4097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D71AB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4A437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4A437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0F8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06304C"/>
    <w:rsid w:val="00153A87"/>
    <w:rsid w:val="004128AA"/>
    <w:rsid w:val="00452315"/>
    <w:rsid w:val="004F4881"/>
    <w:rsid w:val="005B3561"/>
    <w:rsid w:val="007F5770"/>
    <w:rsid w:val="00816C49"/>
    <w:rsid w:val="00846DE0"/>
    <w:rsid w:val="00856F8E"/>
    <w:rsid w:val="00877371"/>
    <w:rsid w:val="008906E2"/>
    <w:rsid w:val="008F0DC5"/>
    <w:rsid w:val="0096158F"/>
    <w:rsid w:val="00A445ED"/>
    <w:rsid w:val="00A966AA"/>
    <w:rsid w:val="00A96A7E"/>
    <w:rsid w:val="00BA1117"/>
    <w:rsid w:val="00C84AAE"/>
    <w:rsid w:val="00CF5F21"/>
    <w:rsid w:val="00D547F6"/>
    <w:rsid w:val="00D604AA"/>
    <w:rsid w:val="00DF11AF"/>
    <w:rsid w:val="03C878D7"/>
    <w:rsid w:val="049F329C"/>
    <w:rsid w:val="072C03D9"/>
    <w:rsid w:val="0B803DF5"/>
    <w:rsid w:val="0BF24E5A"/>
    <w:rsid w:val="0CE42BD1"/>
    <w:rsid w:val="0DB627CC"/>
    <w:rsid w:val="102C28D3"/>
    <w:rsid w:val="12406F0C"/>
    <w:rsid w:val="16F21760"/>
    <w:rsid w:val="171B7636"/>
    <w:rsid w:val="182B350C"/>
    <w:rsid w:val="19780645"/>
    <w:rsid w:val="19C27019"/>
    <w:rsid w:val="19CF26BE"/>
    <w:rsid w:val="1C947DDD"/>
    <w:rsid w:val="1CD468EB"/>
    <w:rsid w:val="1E7C383D"/>
    <w:rsid w:val="1F8E09CB"/>
    <w:rsid w:val="1FBFB84F"/>
    <w:rsid w:val="227F479B"/>
    <w:rsid w:val="2B3FC42D"/>
    <w:rsid w:val="2B4E7833"/>
    <w:rsid w:val="2BBBDA55"/>
    <w:rsid w:val="2BED59F1"/>
    <w:rsid w:val="2BFA3931"/>
    <w:rsid w:val="2D444CFC"/>
    <w:rsid w:val="2DF53CF9"/>
    <w:rsid w:val="2EDF2856"/>
    <w:rsid w:val="2FB9024F"/>
    <w:rsid w:val="36283891"/>
    <w:rsid w:val="371D02B1"/>
    <w:rsid w:val="38DC08FD"/>
    <w:rsid w:val="3A354A03"/>
    <w:rsid w:val="3BA65FE9"/>
    <w:rsid w:val="3C66227C"/>
    <w:rsid w:val="3EF6E7D1"/>
    <w:rsid w:val="3F995BDD"/>
    <w:rsid w:val="3FBBEFBC"/>
    <w:rsid w:val="3FC2DBF4"/>
    <w:rsid w:val="3FEFE7BF"/>
    <w:rsid w:val="3FF4A656"/>
    <w:rsid w:val="3FFF86DB"/>
    <w:rsid w:val="431D0842"/>
    <w:rsid w:val="487D7AA8"/>
    <w:rsid w:val="49BA5BA9"/>
    <w:rsid w:val="4A1947CF"/>
    <w:rsid w:val="4BBFA0C6"/>
    <w:rsid w:val="4DD3727F"/>
    <w:rsid w:val="4E197BB3"/>
    <w:rsid w:val="4E47368F"/>
    <w:rsid w:val="4F6FA2DA"/>
    <w:rsid w:val="4FD642BE"/>
    <w:rsid w:val="4FEB407D"/>
    <w:rsid w:val="51DF61F2"/>
    <w:rsid w:val="521879A2"/>
    <w:rsid w:val="543F7F25"/>
    <w:rsid w:val="55D2737D"/>
    <w:rsid w:val="55FCA63F"/>
    <w:rsid w:val="56768973"/>
    <w:rsid w:val="57864D81"/>
    <w:rsid w:val="59262959"/>
    <w:rsid w:val="5AFF272D"/>
    <w:rsid w:val="5BDFCD17"/>
    <w:rsid w:val="5BFFB57F"/>
    <w:rsid w:val="5C763BF7"/>
    <w:rsid w:val="5DAFB5BA"/>
    <w:rsid w:val="5E9FA7C1"/>
    <w:rsid w:val="5EFB6072"/>
    <w:rsid w:val="60A364B8"/>
    <w:rsid w:val="61021EFD"/>
    <w:rsid w:val="612F2A2F"/>
    <w:rsid w:val="616E7593"/>
    <w:rsid w:val="635B863C"/>
    <w:rsid w:val="64306D81"/>
    <w:rsid w:val="66D10723"/>
    <w:rsid w:val="66FF7026"/>
    <w:rsid w:val="67FF55C6"/>
    <w:rsid w:val="6865530C"/>
    <w:rsid w:val="6B16343E"/>
    <w:rsid w:val="6CD20126"/>
    <w:rsid w:val="6DC742B3"/>
    <w:rsid w:val="6E1FB4EB"/>
    <w:rsid w:val="6E672434"/>
    <w:rsid w:val="6FBF2613"/>
    <w:rsid w:val="723F34C0"/>
    <w:rsid w:val="72445F08"/>
    <w:rsid w:val="75FB6C8D"/>
    <w:rsid w:val="7651022E"/>
    <w:rsid w:val="76F7CE72"/>
    <w:rsid w:val="77C35AEB"/>
    <w:rsid w:val="78BF2F05"/>
    <w:rsid w:val="79125F5A"/>
    <w:rsid w:val="792A27CD"/>
    <w:rsid w:val="7B3A0D61"/>
    <w:rsid w:val="7B6DF7A5"/>
    <w:rsid w:val="7BAFAE63"/>
    <w:rsid w:val="7C2CA41A"/>
    <w:rsid w:val="7C570E8D"/>
    <w:rsid w:val="7D753B4A"/>
    <w:rsid w:val="7DB044E7"/>
    <w:rsid w:val="7E27968A"/>
    <w:rsid w:val="7EFF747F"/>
    <w:rsid w:val="7F65F9D6"/>
    <w:rsid w:val="7FCD65A3"/>
    <w:rsid w:val="7FCEBC8A"/>
    <w:rsid w:val="7FDFA169"/>
    <w:rsid w:val="7FFF1873"/>
    <w:rsid w:val="7FFF9AF2"/>
    <w:rsid w:val="7FFFA9B3"/>
    <w:rsid w:val="9FFFDF39"/>
    <w:rsid w:val="A23F1DE9"/>
    <w:rsid w:val="A77F2F0D"/>
    <w:rsid w:val="ABF885CB"/>
    <w:rsid w:val="AE7ED61B"/>
    <w:rsid w:val="B76FC44A"/>
    <w:rsid w:val="B94EAD07"/>
    <w:rsid w:val="BA7F4EC0"/>
    <w:rsid w:val="BBDBF9BF"/>
    <w:rsid w:val="BCFF137B"/>
    <w:rsid w:val="BD763E22"/>
    <w:rsid w:val="BDF504A0"/>
    <w:rsid w:val="BE6A0D59"/>
    <w:rsid w:val="BF771065"/>
    <w:rsid w:val="CD2791FB"/>
    <w:rsid w:val="CEBA1A17"/>
    <w:rsid w:val="CFFDEFAB"/>
    <w:rsid w:val="DF8FA6DA"/>
    <w:rsid w:val="DFF997D7"/>
    <w:rsid w:val="E5FF97CE"/>
    <w:rsid w:val="EFFFD27A"/>
    <w:rsid w:val="EFFFDCFB"/>
    <w:rsid w:val="F3CBEE14"/>
    <w:rsid w:val="F3FEFEBA"/>
    <w:rsid w:val="F5BEC2C2"/>
    <w:rsid w:val="F6E52A82"/>
    <w:rsid w:val="F773438A"/>
    <w:rsid w:val="F77FE554"/>
    <w:rsid w:val="F7DDFE04"/>
    <w:rsid w:val="FABB2D9D"/>
    <w:rsid w:val="FB65F40A"/>
    <w:rsid w:val="FBCD5B26"/>
    <w:rsid w:val="FBDC42A8"/>
    <w:rsid w:val="FBDF8F8D"/>
    <w:rsid w:val="FDBC610B"/>
    <w:rsid w:val="FDDF0CC2"/>
    <w:rsid w:val="FDFC5DA1"/>
    <w:rsid w:val="FDFF1BFF"/>
    <w:rsid w:val="FDFF2571"/>
    <w:rsid w:val="FF5D7A2C"/>
    <w:rsid w:val="FF794E39"/>
    <w:rsid w:val="FF7B7353"/>
    <w:rsid w:val="FF7EB468"/>
    <w:rsid w:val="FF7FB5CE"/>
    <w:rsid w:val="FF8B49C1"/>
    <w:rsid w:val="FFA3868D"/>
    <w:rsid w:val="FFDC702D"/>
    <w:rsid w:val="FFE7878E"/>
    <w:rsid w:val="FFFD275B"/>
    <w:rsid w:val="FFFE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60" w:lineRule="exact"/>
      <w:jc w:val="center"/>
      <w:outlineLvl w:val="0"/>
    </w:pPr>
    <w:rPr>
      <w:rFonts w:ascii="Arial" w:hAnsi="Arial" w:eastAsia="方正小标宋简体" w:cs="Times New Roman"/>
      <w:kern w:val="44"/>
      <w:sz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4"/>
    <w:basedOn w:val="1"/>
    <w:next w:val="1"/>
    <w:qFormat/>
    <w:uiPriority w:val="0"/>
    <w:pPr>
      <w:keepNext/>
      <w:keepLines/>
      <w:spacing w:before="280" w:after="290" w:line="376" w:lineRule="auto"/>
      <w:textAlignment w:val="baseline"/>
    </w:pPr>
    <w:rPr>
      <w:rFonts w:ascii="Cambria" w:hAnsi="Cambria" w:eastAsia="宋体" w:cs="Times New Roman"/>
      <w:b/>
      <w:bCs/>
      <w:sz w:val="28"/>
      <w:szCs w:val="28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黑体" w:cs="Times New Roman"/>
      <w:b/>
      <w:bCs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5"/>
    <w:unhideWhenUsed/>
    <w:qFormat/>
    <w:uiPriority w:val="99"/>
    <w:pPr>
      <w:ind w:firstLine="420" w:firstLineChars="100"/>
    </w:pPr>
    <w:rPr>
      <w:rFonts w:eastAsia="仿宋_GB2312"/>
      <w:sz w:val="32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mphasis"/>
    <w:basedOn w:val="14"/>
    <w:qFormat/>
    <w:uiPriority w:val="0"/>
    <w:rPr>
      <w:i/>
    </w:rPr>
  </w:style>
  <w:style w:type="character" w:styleId="17">
    <w:name w:val="footnote reference"/>
    <w:basedOn w:val="14"/>
    <w:qFormat/>
    <w:uiPriority w:val="0"/>
    <w:rPr>
      <w:vertAlign w:val="superscript"/>
    </w:rPr>
  </w:style>
  <w:style w:type="paragraph" w:customStyle="1" w:styleId="18">
    <w:name w:val="_Style 1"/>
    <w:basedOn w:val="1"/>
    <w:qFormat/>
    <w:uiPriority w:val="0"/>
    <w:pPr>
      <w:ind w:firstLine="200" w:firstLineChars="200"/>
    </w:pPr>
    <w:rPr>
      <w:rFonts w:ascii="宋体" w:hAnsi="宋体" w:eastAsia="仿宋_GB2312" w:cs="Times New Roman"/>
      <w:sz w:val="32"/>
      <w:szCs w:val="32"/>
    </w:rPr>
  </w:style>
  <w:style w:type="paragraph" w:customStyle="1" w:styleId="19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2738</Words>
  <Characters>2902</Characters>
  <Lines>22</Lines>
  <Paragraphs>6</Paragraphs>
  <TotalTime>10</TotalTime>
  <ScaleCrop>false</ScaleCrop>
  <LinksUpToDate>false</LinksUpToDate>
  <CharactersWithSpaces>2903</CharactersWithSpaces>
  <Application>WPS Office_12.1.0.25186_F1E327BC-269C-435d-A152-05C5408002CA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2018-07-24T15:11:00Z</dcterms:created>
  <dc:creator>d</dc:creator>
  <cp:lastModifiedBy>李祖赠</cp:lastModifiedBy>
  <cp:lastPrinted>2026-05-16T03:36:00Z</cp:lastPrinted>
  <dcterms:modified xsi:type="dcterms:W3CDTF">2026-09-10T09:26:15Z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2052-12.1.0.25186</vt:lpwstr>
  </property>
  <property fmtid="{D5CDD505-2E9C-101B-9397-08002B2CF9AE}" pid="3" name="KSOTemplateDocerSaveRecord">
    <vt:lpwstr>eyJoZGlkIjoiZThmYzYxYzczN2MzYjkzZjQxNjRjYjg3YTJkZWJkZjYiLCJ1c2VySWQiOiIyMTAwNjM2ODIifQ==</vt:lpwstr>
  </property>
  <property fmtid="{D5CDD505-2E9C-101B-9397-08002B2CF9AE}" pid="4" name="ICV">
    <vt:lpwstr>ED01FEB7F4674999ACBEF9751E0E0B62_13</vt:lpwstr>
  </property>
</Properties>
</file>