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深圳市中华老字号复核建议汇总表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</w:p>
    <w:tbl>
      <w:tblPr>
        <w:tblStyle w:val="3"/>
        <w:tblW w:w="1449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9"/>
        <w:gridCol w:w="2616"/>
        <w:gridCol w:w="1979"/>
        <w:gridCol w:w="2548"/>
        <w:gridCol w:w="1980"/>
        <w:gridCol w:w="2221"/>
        <w:gridCol w:w="222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号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原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名称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原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品牌名称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现企业名称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eastAsia="zh-CN"/>
              </w:rPr>
              <w:t>现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品牌名称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复核结果建议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八马茶业股份有限公司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信记号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八马茶业股份有限公司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信记号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color w:val="000000"/>
                <w:sz w:val="24"/>
              </w:rPr>
              <w:t>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附条件通过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深圳市国瓷永丰源瓷业有限公司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永丰源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深圳市国瓷永丰源瓷业有限公司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永丰源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color w:val="000000"/>
                <w:sz w:val="24"/>
              </w:rPr>
              <w:t>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附条件通过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深圳市合成号食品有限公司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合成号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深圳市合成号食品有限公司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合成号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color w:val="000000"/>
                <w:sz w:val="24"/>
              </w:rPr>
              <w:t>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附条件通过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  <w:jc w:val="center"/>
        </w:trPr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2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华润五丰（中国）投资有限公司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五丰</w:t>
            </w:r>
          </w:p>
        </w:tc>
        <w:tc>
          <w:tcPr>
            <w:tcW w:w="2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华润五丰（中国）投资有限公司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五丰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行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default" w:ascii="Arial" w:hAnsi="Arial" w:eastAsia="仿宋_GB2312" w:cs="Arial"/>
                <w:color w:val="000000"/>
                <w:sz w:val="24"/>
              </w:rPr>
              <w:t>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附条件通过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过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highlight w:val="none"/>
          <w:lang w:eastAsia="zh-CN"/>
        </w:rPr>
        <w:t>复核结果建议一栏中勾选“附条件通过”或“不通过”的，应对照《商务部等5部门办公厅（室）关于开展中华老字号复核工作的通知》要求，在备注栏中注明具体原因。</w:t>
      </w:r>
    </w:p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17952"/>
    <w:rsid w:val="7B01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2026-09-01T10:08:00Z</dcterms:created>
  <dc:creator>网站运维（陈梓标）</dc:creator>
  <cp:lastModifiedBy>网站运维（陈梓标）</cp:lastModifiedBy>
  <dcterms:modified xsi:type="dcterms:W3CDTF">2026-09-01T10:09:14Z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