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579" w:lineRule="exact"/>
        <w:jc w:val="both"/>
        <w:textAlignment w:val="auto"/>
        <w:rPr>
          <w:rFonts w:hint="default" w:ascii="黑体" w:hAnsi="黑体" w:eastAsia="黑体" w:cs="黑体"/>
          <w:b w:val="0"/>
          <w:bCs w:val="0"/>
          <w:color w:val="000000"/>
          <w:sz w:val="32"/>
          <w:szCs w:val="32"/>
          <w:highlight w:val="none"/>
          <w:u w:val="none"/>
          <w:lang w:val="en-US" w:eastAsia="zh-CN"/>
        </w:rPr>
      </w:pPr>
      <w:r>
        <w:rPr>
          <w:rFonts w:hint="eastAsia" w:ascii="黑体" w:hAnsi="黑体" w:eastAsia="黑体" w:cs="黑体"/>
          <w:b w:val="0"/>
          <w:bCs w:val="0"/>
          <w:color w:val="000000"/>
          <w:sz w:val="32"/>
          <w:szCs w:val="32"/>
          <w:highlight w:val="none"/>
          <w:u w:val="none"/>
          <w:lang w:val="en-US" w:eastAsia="zh-CN"/>
        </w:rPr>
        <w:t>附件</w:t>
      </w:r>
    </w:p>
    <w:p>
      <w:pPr>
        <w:keepNext w:val="0"/>
        <w:keepLines w:val="0"/>
        <w:pageBreakBefore w:val="0"/>
        <w:widowControl w:val="0"/>
        <w:kinsoku/>
        <w:wordWrap/>
        <w:topLinePunct w:val="0"/>
        <w:bidi w:val="0"/>
        <w:spacing w:beforeLines="0" w:afterLines="0" w:line="579" w:lineRule="exact"/>
        <w:jc w:val="both"/>
        <w:textAlignment w:val="auto"/>
        <w:rPr>
          <w:rFonts w:hint="default" w:ascii="仿宋_GB2312" w:hAnsi="Calibri" w:eastAsia="仿宋_GB2312" w:cs="Times New Roman"/>
          <w:kern w:val="2"/>
          <w:sz w:val="30"/>
          <w:szCs w:val="2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beforeLines="0" w:afterLines="0" w:line="579" w:lineRule="exact"/>
        <w:jc w:val="center"/>
        <w:textAlignment w:val="auto"/>
        <w:outlineLvl w:val="0"/>
        <w:rPr>
          <w:rFonts w:hint="eastAsia" w:ascii="方正小标宋_GBK" w:hAnsi="方正小标宋_GBK" w:eastAsia="方正小标宋_GBK" w:cs="方正小标宋_GBK"/>
          <w:b w:val="0"/>
          <w:bCs w:val="0"/>
          <w:color w:val="000000"/>
          <w:sz w:val="44"/>
          <w:szCs w:val="44"/>
          <w:highlight w:val="none"/>
          <w:u w:val="none"/>
          <w:lang w:eastAsia="zh-CN"/>
        </w:rPr>
      </w:pPr>
      <w:r>
        <w:rPr>
          <w:rFonts w:hint="eastAsia" w:ascii="方正小标宋_GBK" w:hAnsi="方正小标宋_GBK" w:eastAsia="方正小标宋_GBK" w:cs="方正小标宋_GBK"/>
          <w:b w:val="0"/>
          <w:bCs w:val="0"/>
          <w:color w:val="000000"/>
          <w:sz w:val="44"/>
          <w:szCs w:val="44"/>
          <w:highlight w:val="none"/>
          <w:u w:val="none"/>
          <w:lang w:eastAsia="zh-CN"/>
        </w:rPr>
        <w:t>深圳市</w:t>
      </w:r>
      <w:r>
        <w:rPr>
          <w:rFonts w:hint="eastAsia" w:ascii="方正小标宋_GBK" w:hAnsi="方正小标宋_GBK" w:eastAsia="方正小标宋_GBK" w:cs="方正小标宋_GBK"/>
          <w:b w:val="0"/>
          <w:bCs w:val="0"/>
          <w:color w:val="000000"/>
          <w:sz w:val="44"/>
          <w:szCs w:val="44"/>
          <w:highlight w:val="none"/>
          <w:u w:val="none"/>
          <w:lang w:val="en-US" w:eastAsia="zh-CN"/>
        </w:rPr>
        <w:t>2027年</w:t>
      </w:r>
      <w:r>
        <w:rPr>
          <w:rFonts w:hint="eastAsia" w:ascii="方正小标宋_GBK" w:hAnsi="方正小标宋_GBK" w:eastAsia="方正小标宋_GBK" w:cs="方正小标宋_GBK"/>
          <w:b w:val="0"/>
          <w:bCs w:val="0"/>
          <w:color w:val="000000"/>
          <w:sz w:val="44"/>
          <w:szCs w:val="44"/>
          <w:highlight w:val="none"/>
          <w:u w:val="none"/>
          <w:lang w:eastAsia="zh-CN"/>
        </w:rPr>
        <w:t>民生实事</w:t>
      </w:r>
      <w:r>
        <w:rPr>
          <w:rFonts w:hint="eastAsia" w:ascii="方正小标宋_GBK" w:hAnsi="方正小标宋_GBK" w:eastAsia="方正小标宋_GBK" w:cs="方正小标宋_GBK"/>
          <w:color w:val="000000"/>
          <w:sz w:val="44"/>
          <w:szCs w:val="44"/>
          <w:highlight w:val="none"/>
          <w:u w:val="none"/>
          <w:shd w:val="clear" w:color="auto" w:fill="FFFFFF"/>
          <w:lang w:val="en-US" w:eastAsia="zh-CN"/>
        </w:rPr>
        <w:t>候选</w:t>
      </w:r>
      <w:r>
        <w:rPr>
          <w:rFonts w:hint="eastAsia" w:ascii="方正小标宋_GBK" w:hAnsi="方正小标宋_GBK" w:eastAsia="方正小标宋_GBK" w:cs="方正小标宋_GBK"/>
          <w:b w:val="0"/>
          <w:bCs w:val="0"/>
          <w:color w:val="000000"/>
          <w:sz w:val="44"/>
          <w:szCs w:val="44"/>
          <w:highlight w:val="none"/>
          <w:u w:val="none"/>
          <w:lang w:eastAsia="zh-CN"/>
        </w:rPr>
        <w:t>项目申报表</w:t>
      </w:r>
      <w:r>
        <w:rPr>
          <w:rFonts w:hint="eastAsia" w:ascii="方正小标宋_GBK" w:hAnsi="方正小标宋_GBK" w:eastAsia="方正小标宋_GBK" w:cs="方正小标宋_GBK"/>
          <w:b w:val="0"/>
          <w:bCs w:val="0"/>
          <w:color w:val="000000"/>
          <w:sz w:val="44"/>
          <w:szCs w:val="44"/>
          <w:highlight w:val="none"/>
          <w:u w:val="none"/>
          <w:lang w:eastAsia="zh-CN"/>
        </w:rPr>
        <w:br w:type="textWrapping"/>
      </w:r>
    </w:p>
    <w:p>
      <w:pPr>
        <w:spacing w:beforeLines="0" w:afterLines="0" w:line="579" w:lineRule="exact"/>
        <w:ind w:left="-60" w:leftChars="-200" w:hanging="360" w:hangingChars="150"/>
        <w:jc w:val="left"/>
        <w:outlineLvl w:val="1"/>
        <w:rPr>
          <w:rFonts w:hint="default"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b w:val="0"/>
          <w:bCs w:val="0"/>
          <w:color w:val="000000"/>
          <w:sz w:val="24"/>
          <w:szCs w:val="24"/>
          <w:highlight w:val="none"/>
          <w:u w:val="none"/>
          <w:lang w:eastAsia="zh-CN"/>
        </w:rPr>
        <w:t>填报单位：深圳市市场监督管理局</w:t>
      </w:r>
      <w:r>
        <w:rPr>
          <w:rFonts w:hint="eastAsia" w:ascii="仿宋_GB2312" w:hAnsi="仿宋_GB2312" w:eastAsia="仿宋_GB2312" w:cs="仿宋_GB2312"/>
          <w:b w:val="0"/>
          <w:bCs w:val="0"/>
          <w:color w:val="000000"/>
          <w:sz w:val="24"/>
          <w:szCs w:val="24"/>
          <w:highlight w:val="none"/>
          <w:u w:val="none"/>
          <w:lang w:val="en-US" w:eastAsia="zh-CN"/>
        </w:rPr>
        <w:t xml:space="preserve">                  </w:t>
      </w:r>
    </w:p>
    <w:tbl>
      <w:tblPr>
        <w:tblStyle w:val="9"/>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542"/>
        <w:gridCol w:w="2365"/>
        <w:gridCol w:w="1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6" w:hRule="atLeast"/>
          <w:jc w:val="center"/>
        </w:trPr>
        <w:tc>
          <w:tcPr>
            <w:tcW w:w="16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60" w:lineRule="exact"/>
              <w:jc w:val="center"/>
              <w:textAlignment w:val="auto"/>
              <w:rPr>
                <w:rFonts w:hint="eastAsia" w:ascii="仿宋_GB2312" w:hAnsi="仿宋_GB2312" w:eastAsia="仿宋_GB2312" w:cs="仿宋_GB2312"/>
                <w:b/>
                <w:bCs w:val="0"/>
                <w:color w:val="000000"/>
                <w:sz w:val="24"/>
                <w:szCs w:val="24"/>
                <w:highlight w:val="none"/>
                <w:u w:val="none"/>
              </w:rPr>
            </w:pPr>
            <w:r>
              <w:rPr>
                <w:rFonts w:hint="eastAsia" w:ascii="仿宋_GB2312" w:hAnsi="仿宋_GB2312" w:eastAsia="仿宋_GB2312" w:cs="仿宋_GB2312"/>
                <w:b/>
                <w:bCs w:val="0"/>
                <w:color w:val="000000"/>
                <w:sz w:val="24"/>
                <w:szCs w:val="24"/>
                <w:highlight w:val="none"/>
                <w:u w:val="none"/>
              </w:rPr>
              <w:t>项目名称</w:t>
            </w:r>
          </w:p>
        </w:tc>
        <w:tc>
          <w:tcPr>
            <w:tcW w:w="354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进一步强化食品安全全链条监管</w:t>
            </w:r>
          </w:p>
        </w:tc>
        <w:tc>
          <w:tcPr>
            <w:tcW w:w="236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60" w:lineRule="exact"/>
              <w:jc w:val="center"/>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b/>
                <w:bCs w:val="0"/>
                <w:color w:val="000000"/>
                <w:sz w:val="24"/>
                <w:szCs w:val="24"/>
                <w:highlight w:val="none"/>
                <w:u w:val="none"/>
                <w:lang w:val="en-US" w:eastAsia="zh-CN"/>
              </w:rPr>
              <w:t>分管市领导</w:t>
            </w:r>
          </w:p>
        </w:tc>
        <w:tc>
          <w:tcPr>
            <w:tcW w:w="19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代金涛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85" w:hRule="atLeast"/>
          <w:jc w:val="center"/>
        </w:trPr>
        <w:tc>
          <w:tcPr>
            <w:tcW w:w="16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60" w:lineRule="exact"/>
              <w:jc w:val="center"/>
              <w:textAlignment w:val="auto"/>
              <w:rPr>
                <w:rFonts w:hint="eastAsia" w:ascii="仿宋_GB2312" w:hAnsi="仿宋_GB2312" w:eastAsia="仿宋_GB2312" w:cs="仿宋_GB2312"/>
                <w:b/>
                <w:bCs w:val="0"/>
                <w:color w:val="000000"/>
                <w:kern w:val="2"/>
                <w:sz w:val="24"/>
                <w:szCs w:val="24"/>
                <w:highlight w:val="none"/>
                <w:u w:val="none"/>
                <w:lang w:val="en-US" w:eastAsia="zh-CN" w:bidi="ar-SA"/>
              </w:rPr>
            </w:pPr>
            <w:r>
              <w:rPr>
                <w:rFonts w:hint="eastAsia" w:ascii="仿宋_GB2312" w:hAnsi="仿宋_GB2312" w:eastAsia="仿宋_GB2312" w:cs="仿宋_GB2312"/>
                <w:b/>
                <w:bCs w:val="0"/>
                <w:color w:val="000000"/>
                <w:sz w:val="24"/>
                <w:szCs w:val="24"/>
                <w:highlight w:val="none"/>
                <w:u w:val="none"/>
                <w:lang w:eastAsia="zh-CN"/>
              </w:rPr>
              <w:t>项目内容</w:t>
            </w:r>
          </w:p>
        </w:tc>
        <w:tc>
          <w:tcPr>
            <w:tcW w:w="7876" w:type="dxa"/>
            <w:gridSpan w:val="3"/>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1.深入推进“圳品”工程：全年新增“圳品”400个；加大对深圳对口地区产品品牌赋能，为不少于50个深圳对口地区的产品提供技术指导和支持；加大对“圳品”产品获证后的监督评价或抽样检测力度，提升“圳品”影响力。</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2.守护市民“舌尖上的安全”：食品及食用农产品抽检覆盖率持续保持10批次/千人以上，加强食品安全社会共治。</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exact"/>
              <w:jc w:val="both"/>
              <w:textAlignment w:val="auto"/>
              <w:rPr>
                <w:rFonts w:hint="default" w:ascii="仿宋_GB2312" w:hAnsi="Calibri" w:eastAsia="仿宋_GB2312" w:cs="Times New Roman"/>
                <w:kern w:val="2"/>
                <w:sz w:val="30"/>
                <w:szCs w:val="24"/>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3.实施托育机构、养老机构供餐场所食品安全守护行动：对行业主管部门（卫健、民政）报送的托育机构、养老机构开展供餐情况排查，摸清底数，建立台账。对供餐场所实施100%现场检查。与行业主管部门建立信息共享和联合检查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5" w:hRule="atLeast"/>
          <w:jc w:val="center"/>
        </w:trPr>
        <w:tc>
          <w:tcPr>
            <w:tcW w:w="16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60" w:lineRule="exact"/>
              <w:jc w:val="center"/>
              <w:textAlignment w:val="auto"/>
              <w:rPr>
                <w:rFonts w:hint="eastAsia" w:ascii="仿宋_GB2312" w:hAnsi="仿宋_GB2312" w:eastAsia="仿宋_GB2312" w:cs="仿宋_GB2312"/>
                <w:b/>
                <w:bCs w:val="0"/>
                <w:color w:val="000000"/>
                <w:sz w:val="24"/>
                <w:szCs w:val="24"/>
                <w:highlight w:val="none"/>
                <w:u w:val="none"/>
                <w:lang w:eastAsia="zh-CN"/>
              </w:rPr>
            </w:pPr>
            <w:r>
              <w:rPr>
                <w:rFonts w:hint="eastAsia" w:ascii="仿宋_GB2312" w:hAnsi="仿宋_GB2312" w:eastAsia="仿宋_GB2312" w:cs="仿宋_GB2312"/>
                <w:b/>
                <w:bCs w:val="0"/>
                <w:color w:val="000000"/>
                <w:sz w:val="24"/>
                <w:szCs w:val="24"/>
                <w:highlight w:val="none"/>
                <w:u w:val="none"/>
                <w:lang w:eastAsia="zh-CN"/>
              </w:rPr>
              <w:t>指标说明</w:t>
            </w:r>
          </w:p>
        </w:tc>
        <w:tc>
          <w:tcPr>
            <w:tcW w:w="7876" w:type="dxa"/>
            <w:gridSpan w:val="3"/>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1.深入推进“圳品”工程：“圳品”是由深圳打造的高标准城市品牌，相关经验得到中办、国办通报表扬，并列入国家发展改革委、国家乡村振兴局典型案例向全国推广。国家发展改革委等部门印发《关于优化实施消费帮扶提升欠发达地区优势主导产业发展质效的意见》明确表示参考“圳品”模式，打造“标准准入一质量认证一品牌授权”管理模式；《深圳市国民经济和社会发展第十五个五年规划纲要》也支持加大品牌化特色化农产品供给，完善“圳品”认证体系，拓宽优质农产品销售渠道。“圳品”产品正是“圳品”标准体系和评价体系建设的重要体现。2027年，深入推进“圳品”工程建设，新增“圳品”400个，进一步扩大“圳品”产品规模，持续拓展基地覆盖范围，巩固“圳品”在供深食品市场的标杆地位，为市民提供更多优质选择。深圳以“圳品”为抓手，深入贯彻落实党中央关于乡村振兴的战略部署，通过技术指导，拉动产业帮扶，带动消费帮扶，搭建起深圳与对口地区产业帮扶的桥梁，截至</w:t>
            </w:r>
            <w:r>
              <w:rPr>
                <w:rFonts w:hint="default" w:ascii="仿宋_GB2312" w:hAnsi="仿宋_GB2312" w:eastAsia="仿宋_GB2312" w:cs="仿宋_GB2312"/>
                <w:color w:val="000000"/>
                <w:kern w:val="2"/>
                <w:sz w:val="24"/>
                <w:szCs w:val="24"/>
                <w:highlight w:val="none"/>
                <w:u w:val="none"/>
                <w:lang w:val="en-US" w:eastAsia="zh-CN" w:bidi="ar-SA"/>
              </w:rPr>
              <w:t>2026</w:t>
            </w:r>
            <w:r>
              <w:rPr>
                <w:rFonts w:hint="eastAsia" w:ascii="仿宋_GB2312" w:hAnsi="仿宋_GB2312" w:eastAsia="仿宋_GB2312" w:cs="仿宋_GB2312"/>
                <w:color w:val="000000"/>
                <w:kern w:val="2"/>
                <w:sz w:val="24"/>
                <w:szCs w:val="24"/>
                <w:highlight w:val="none"/>
                <w:u w:val="none"/>
                <w:lang w:val="en-US" w:eastAsia="zh-CN" w:bidi="ar-SA"/>
              </w:rPr>
              <w:t>年8月已累计评价通过659个深圳对口地区“圳品”，来自深圳对口7省79县，已形成推动乡村振兴的“深圳样本”；加大对深圳对口地区产品品牌赋能，开展技术指导和支持，将进一步强化“圳品”技术输出，有效推动对口地区产业标准化、品牌化发展。强化“圳品”获证后的监督评价和抽样检测，是保障品牌生命力的必要措施。随着获证产品基数扩大，仅靠准入审核难以确保全生命周期质量稳定。通过加大证后监督评价及抽样检测力度和频次，建立动态跟踪机制，能够及时发现并处置质量隐患，督促获证主体持续合规经营，维护“圳品”品牌公信力。</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2.守护市民“舌尖上的安全”：根据《广东省市场监督管理局关于印发广东省“民生十大工程”五年行动计划食品安全领域实施方案（2023—2027年）的通知》要求，食品抽检量达到6.7批次/千人（其中农产品检验量达到2批次/千人），结合我市实际监管工作情况，将食品抽检覆盖率持续保5批次/千人以上（“十四五”目标值）、食用农产品抽检覆盖率持续保5批次/千人以上（“十四五”目标值），通过对农兽药残留超标、超范围超剂量使用食品添加剂及违法添加非食用物质等违法违规行为进行严厉打击。</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exact"/>
              <w:jc w:val="both"/>
              <w:textAlignment w:val="auto"/>
              <w:rPr>
                <w:rFonts w:hint="default" w:ascii="仿宋_GB2312" w:hAnsi="Calibri" w:eastAsia="仿宋_GB2312" w:cs="Times New Roman"/>
                <w:kern w:val="2"/>
                <w:sz w:val="30"/>
                <w:szCs w:val="24"/>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3.实施托育机构、养老机构供餐场所食品安全守护行动：底数摸排率。全市托育机构、养老机构供餐场所排查覆盖率达到100%。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89" w:hRule="atLeast"/>
          <w:jc w:val="center"/>
        </w:trPr>
        <w:tc>
          <w:tcPr>
            <w:tcW w:w="16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60" w:lineRule="exact"/>
              <w:jc w:val="center"/>
              <w:textAlignment w:val="auto"/>
              <w:rPr>
                <w:rFonts w:hint="eastAsia" w:ascii="仿宋_GB2312" w:hAnsi="仿宋_GB2312" w:eastAsia="仿宋_GB2312" w:cs="仿宋_GB2312"/>
                <w:b/>
                <w:bCs w:val="0"/>
                <w:color w:val="000000"/>
                <w:kern w:val="2"/>
                <w:sz w:val="24"/>
                <w:szCs w:val="24"/>
                <w:highlight w:val="none"/>
                <w:u w:val="none"/>
                <w:lang w:val="en-US" w:eastAsia="zh-CN" w:bidi="ar-SA"/>
              </w:rPr>
            </w:pPr>
            <w:r>
              <w:rPr>
                <w:rFonts w:hint="eastAsia" w:ascii="仿宋_GB2312" w:hAnsi="仿宋_GB2312" w:eastAsia="仿宋_GB2312" w:cs="仿宋_GB2312"/>
                <w:b/>
                <w:bCs w:val="0"/>
                <w:color w:val="000000"/>
                <w:sz w:val="24"/>
                <w:szCs w:val="24"/>
                <w:highlight w:val="none"/>
                <w:u w:val="none"/>
                <w:lang w:eastAsia="zh-CN"/>
              </w:rPr>
              <w:t>资金安排</w:t>
            </w:r>
          </w:p>
        </w:tc>
        <w:tc>
          <w:tcPr>
            <w:tcW w:w="7876"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1.深入推进“圳品”工程：由市财政资金予以保障。</w:t>
            </w:r>
          </w:p>
          <w:p>
            <w:pPr>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2.守护市民“舌尖上的安全”：由市财政资金予以保障。</w:t>
            </w:r>
          </w:p>
          <w:p>
            <w:pPr>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default"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3.实施托育机构、养老机构供餐场所食品安全守护行动：无需资金安排。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0" w:hRule="atLeast"/>
          <w:jc w:val="center"/>
        </w:trPr>
        <w:tc>
          <w:tcPr>
            <w:tcW w:w="16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60" w:lineRule="exact"/>
              <w:jc w:val="center"/>
              <w:textAlignment w:val="auto"/>
              <w:rPr>
                <w:rFonts w:hint="eastAsia" w:ascii="仿宋_GB2312" w:hAnsi="仿宋_GB2312" w:eastAsia="仿宋_GB2312" w:cs="仿宋_GB2312"/>
                <w:b/>
                <w:bCs w:val="0"/>
                <w:color w:val="000000"/>
                <w:kern w:val="2"/>
                <w:sz w:val="24"/>
                <w:szCs w:val="24"/>
                <w:highlight w:val="none"/>
                <w:u w:val="none"/>
                <w:lang w:val="en-US" w:eastAsia="zh-CN" w:bidi="ar-SA"/>
              </w:rPr>
            </w:pPr>
            <w:r>
              <w:rPr>
                <w:rFonts w:hint="eastAsia" w:ascii="仿宋_GB2312" w:hAnsi="仿宋_GB2312" w:eastAsia="仿宋_GB2312" w:cs="仿宋_GB2312"/>
                <w:b/>
                <w:bCs w:val="0"/>
                <w:color w:val="000000"/>
                <w:sz w:val="24"/>
                <w:szCs w:val="24"/>
                <w:highlight w:val="none"/>
                <w:u w:val="none"/>
                <w:lang w:eastAsia="zh-CN"/>
              </w:rPr>
              <w:t>责任单位</w:t>
            </w:r>
          </w:p>
        </w:tc>
        <w:tc>
          <w:tcPr>
            <w:tcW w:w="787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highlight w:val="none"/>
                <w:u w:val="none"/>
                <w:lang w:val="en-US" w:eastAsia="zh-CN" w:bidi="ar-SA"/>
              </w:rPr>
              <w:t>深入推进“圳品”工程：</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牵头单位：市市场监管局；</w:t>
            </w:r>
          </w:p>
          <w:p>
            <w:pPr>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协办单位：市发展改革委、市教育局、市公安局、市生态环境局、市商务局、市国资委、市乡村振兴和协作交流局、市海洋局。</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highlight w:val="none"/>
                <w:u w:val="none"/>
                <w:lang w:val="en-US" w:eastAsia="zh-CN" w:bidi="ar-SA"/>
              </w:rPr>
              <w:t>守护市民“舌尖上的安全”：</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牵头单位：市市场监管局。</w:t>
            </w:r>
          </w:p>
          <w:p>
            <w:pPr>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highlight w:val="none"/>
                <w:u w:val="none"/>
                <w:lang w:val="en-US" w:eastAsia="zh-CN" w:bidi="ar-SA"/>
              </w:rPr>
              <w:t>实施托育机构、养老机构供餐场所食品安全守护行动：</w:t>
            </w:r>
          </w:p>
          <w:p>
            <w:pPr>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牵头单位：市市场监管局；</w:t>
            </w:r>
          </w:p>
          <w:p>
            <w:pPr>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u w:val="none"/>
                <w:lang w:val="en-US" w:eastAsia="zh-CN"/>
              </w:rPr>
              <w:t>配合单位：市民政局、市卫生健康委员会。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6" w:hRule="atLeast"/>
          <w:jc w:val="center"/>
        </w:trPr>
        <w:tc>
          <w:tcPr>
            <w:tcW w:w="16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60" w:lineRule="exact"/>
              <w:jc w:val="center"/>
              <w:textAlignment w:val="auto"/>
              <w:rPr>
                <w:rFonts w:hint="eastAsia" w:ascii="仿宋_GB2312" w:hAnsi="仿宋_GB2312" w:eastAsia="仿宋_GB2312" w:cs="仿宋_GB2312"/>
                <w:b/>
                <w:bCs w:val="0"/>
                <w:color w:val="000000"/>
                <w:sz w:val="24"/>
                <w:szCs w:val="24"/>
                <w:highlight w:val="none"/>
                <w:u w:val="none"/>
                <w:lang w:eastAsia="zh-CN"/>
              </w:rPr>
            </w:pPr>
            <w:r>
              <w:rPr>
                <w:rFonts w:hint="eastAsia" w:ascii="仿宋_GB2312" w:hAnsi="仿宋_GB2312" w:eastAsia="仿宋_GB2312" w:cs="仿宋_GB2312"/>
                <w:b/>
                <w:bCs w:val="0"/>
                <w:color w:val="000000"/>
                <w:spacing w:val="0"/>
                <w:sz w:val="24"/>
                <w:szCs w:val="24"/>
                <w:highlight w:val="none"/>
                <w:u w:val="none"/>
                <w:lang w:eastAsia="zh-CN"/>
              </w:rPr>
              <w:t>实施步骤</w:t>
            </w:r>
          </w:p>
        </w:tc>
        <w:tc>
          <w:tcPr>
            <w:tcW w:w="787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bCs/>
                <w:color w:val="000000"/>
                <w:kern w:val="2"/>
                <w:sz w:val="24"/>
                <w:szCs w:val="24"/>
                <w:lang w:val="en-US" w:eastAsia="zh-CN" w:bidi="ar-SA"/>
              </w:rPr>
              <w:t>第一季度：</w:t>
            </w:r>
            <w:r>
              <w:rPr>
                <w:rFonts w:hint="eastAsia" w:ascii="仿宋_GB2312" w:hAnsi="仿宋_GB2312" w:eastAsia="仿宋_GB2312" w:cs="仿宋_GB2312"/>
                <w:color w:val="000000"/>
                <w:kern w:val="2"/>
                <w:sz w:val="24"/>
                <w:szCs w:val="24"/>
                <w:lang w:val="en-US" w:eastAsia="zh-CN" w:bidi="ar-SA"/>
              </w:rPr>
              <w:t>（1）联络全国各协作地区，摸底当地产品申报“圳品”意向；与对口地区当地政府、对口帮扶指挥部及当地企业对接沟通，形成“圳品”工作对接机制；根据历年“圳品”监督情况，梳理获证产品“圳品”评价证书有效状态。（2）累计食品及食用农产品抽检覆盖率不少于0.84批次/千人。（3）</w:t>
            </w:r>
            <w:r>
              <w:rPr>
                <w:rFonts w:hint="eastAsia" w:ascii="仿宋_GB2312" w:hAnsi="仿宋_GB2312" w:eastAsia="仿宋_GB2312" w:cs="仿宋_GB2312"/>
                <w:color w:val="000000"/>
                <w:kern w:val="2"/>
                <w:sz w:val="24"/>
                <w:szCs w:val="24"/>
                <w:highlight w:val="none"/>
                <w:u w:val="none"/>
                <w:lang w:val="en-US" w:eastAsia="zh-CN" w:bidi="ar-SA"/>
              </w:rPr>
              <w:t>全市托育机构、养老机构供餐场所排查覆盖率达到</w:t>
            </w:r>
            <w:r>
              <w:rPr>
                <w:rFonts w:hint="eastAsia" w:ascii="仿宋_GB2312" w:hAnsi="仿宋_GB2312" w:eastAsia="仿宋_GB2312" w:cs="仿宋_GB2312"/>
                <w:color w:val="000000"/>
                <w:kern w:val="2"/>
                <w:sz w:val="24"/>
                <w:szCs w:val="24"/>
                <w:lang w:val="en-US" w:eastAsia="zh-CN" w:bidi="ar-SA"/>
              </w:rPr>
              <w:t>25%。</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bCs/>
                <w:color w:val="000000"/>
                <w:kern w:val="2"/>
                <w:sz w:val="24"/>
                <w:szCs w:val="24"/>
                <w:lang w:val="en-US" w:eastAsia="zh-CN" w:bidi="ar-SA"/>
              </w:rPr>
              <w:t>第二季度：</w:t>
            </w:r>
            <w:r>
              <w:rPr>
                <w:rFonts w:hint="eastAsia" w:ascii="仿宋_GB2312" w:hAnsi="仿宋_GB2312" w:eastAsia="仿宋_GB2312" w:cs="仿宋_GB2312"/>
                <w:color w:val="000000"/>
                <w:kern w:val="2"/>
                <w:sz w:val="24"/>
                <w:szCs w:val="24"/>
                <w:lang w:val="en-US" w:eastAsia="zh-CN" w:bidi="ar-SA"/>
              </w:rPr>
              <w:t>（1）收集全国“圳品”意向申报产品清单及基本情况</w:t>
            </w:r>
            <w:r>
              <w:rPr>
                <w:rFonts w:hint="default" w:ascii="仿宋_GB2312" w:hAnsi="仿宋_GB2312" w:eastAsia="仿宋_GB2312" w:cs="仿宋_GB2312"/>
                <w:color w:val="000000"/>
                <w:kern w:val="2"/>
                <w:sz w:val="24"/>
                <w:szCs w:val="24"/>
                <w:lang w:val="en-US" w:eastAsia="zh-CN" w:bidi="ar-SA"/>
              </w:rPr>
              <w:t>,</w:t>
            </w:r>
            <w:r>
              <w:rPr>
                <w:rFonts w:hint="eastAsia" w:ascii="仿宋_GB2312" w:hAnsi="仿宋_GB2312" w:eastAsia="仿宋_GB2312" w:cs="仿宋_GB2312"/>
                <w:color w:val="000000"/>
                <w:kern w:val="2"/>
                <w:sz w:val="24"/>
                <w:szCs w:val="24"/>
                <w:lang w:val="en-US" w:eastAsia="zh-CN" w:bidi="ar-SA"/>
              </w:rPr>
              <w:t>开展申报产品“圳品”评价工作，新增100个“圳品”；初步选定开展技术指导和支持的深圳对口地区企业名单，开展前期对接工作；制定“圳品”监督年度工作方案。（2）累计食品及食用农产品抽检覆盖率不少于3.36批次/千人。（3）</w:t>
            </w:r>
            <w:r>
              <w:rPr>
                <w:rFonts w:hint="eastAsia" w:ascii="仿宋_GB2312" w:hAnsi="仿宋_GB2312" w:eastAsia="仿宋_GB2312" w:cs="仿宋_GB2312"/>
                <w:color w:val="000000"/>
                <w:kern w:val="2"/>
                <w:sz w:val="24"/>
                <w:szCs w:val="24"/>
                <w:highlight w:val="none"/>
                <w:u w:val="none"/>
                <w:lang w:val="en-US" w:eastAsia="zh-CN" w:bidi="ar-SA"/>
              </w:rPr>
              <w:t>全市托育机构、养老机构供餐场所排查覆盖率达到</w:t>
            </w:r>
            <w:r>
              <w:rPr>
                <w:rFonts w:hint="eastAsia" w:ascii="仿宋_GB2312" w:hAnsi="仿宋_GB2312" w:eastAsia="仿宋_GB2312" w:cs="仿宋_GB2312"/>
                <w:color w:val="000000"/>
                <w:kern w:val="2"/>
                <w:sz w:val="24"/>
                <w:szCs w:val="24"/>
                <w:lang w:val="en-US" w:eastAsia="zh-CN" w:bidi="ar-SA"/>
              </w:rPr>
              <w:t>50%。</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bCs/>
                <w:color w:val="000000"/>
                <w:kern w:val="2"/>
                <w:sz w:val="24"/>
                <w:szCs w:val="24"/>
                <w:lang w:val="en-US" w:eastAsia="zh-CN" w:bidi="ar-SA"/>
              </w:rPr>
              <w:t>第三季度：</w:t>
            </w:r>
            <w:r>
              <w:rPr>
                <w:rFonts w:hint="eastAsia" w:ascii="仿宋_GB2312" w:hAnsi="仿宋_GB2312" w:eastAsia="仿宋_GB2312" w:cs="仿宋_GB2312"/>
                <w:color w:val="000000"/>
                <w:kern w:val="2"/>
                <w:sz w:val="24"/>
                <w:szCs w:val="24"/>
                <w:lang w:val="en-US" w:eastAsia="zh-CN" w:bidi="ar-SA"/>
              </w:rPr>
              <w:t>（1）持续推进申报产品“圳品”评价工作，累计新增200个“圳品”；针对20个深圳对口地区产品开展技术指导和支持；依照年度工作方案开展监督工作，完成监督评价及监督抽检的产品形成监督结论。（2）累计食品及食用农产品抽检覆盖率不少于6.74批次/千人。（3）</w:t>
            </w:r>
            <w:r>
              <w:rPr>
                <w:rFonts w:hint="eastAsia" w:ascii="仿宋_GB2312" w:hAnsi="仿宋_GB2312" w:eastAsia="仿宋_GB2312" w:cs="仿宋_GB2312"/>
                <w:color w:val="000000"/>
                <w:kern w:val="2"/>
                <w:sz w:val="24"/>
                <w:szCs w:val="24"/>
                <w:highlight w:val="none"/>
                <w:u w:val="none"/>
                <w:lang w:val="en-US" w:eastAsia="zh-CN" w:bidi="ar-SA"/>
              </w:rPr>
              <w:t>全市托育机构、养老机构供餐场所排查覆盖率达到</w:t>
            </w:r>
            <w:r>
              <w:rPr>
                <w:rFonts w:hint="eastAsia" w:ascii="仿宋_GB2312" w:hAnsi="仿宋_GB2312" w:eastAsia="仿宋_GB2312" w:cs="仿宋_GB2312"/>
                <w:color w:val="000000"/>
                <w:kern w:val="2"/>
                <w:sz w:val="24"/>
                <w:szCs w:val="24"/>
                <w:lang w:val="en-US" w:eastAsia="zh-CN" w:bidi="ar-SA"/>
              </w:rPr>
              <w:t>80%。</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exact"/>
              <w:ind w:left="0" w:leftChars="0" w:firstLine="0" w:firstLineChars="0"/>
              <w:jc w:val="both"/>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b/>
                <w:bCs/>
                <w:color w:val="000000"/>
                <w:kern w:val="2"/>
                <w:sz w:val="24"/>
                <w:szCs w:val="24"/>
                <w:lang w:val="en-US" w:eastAsia="zh-CN" w:bidi="ar-SA"/>
              </w:rPr>
              <w:t>第四季度：</w:t>
            </w:r>
            <w:r>
              <w:rPr>
                <w:rFonts w:hint="eastAsia" w:ascii="仿宋_GB2312" w:hAnsi="仿宋_GB2312" w:eastAsia="仿宋_GB2312" w:cs="仿宋_GB2312"/>
                <w:color w:val="000000"/>
                <w:kern w:val="2"/>
                <w:sz w:val="24"/>
                <w:szCs w:val="24"/>
                <w:lang w:val="en-US" w:eastAsia="zh-CN" w:bidi="ar-SA"/>
              </w:rPr>
              <w:t>（1）全力推进“圳品”评价工作，累计新增“圳品”400个；累计针对50个深圳对口地区产品开展技术指导和支持；对“圳品”监督结论进行研判，符合《供深食品标准工作委员会“圳品”退出工作制度》退出情形的启动退出流程，持续保障获证产品符合“圳品”要求。（2）累计食品及食用农产品抽检覆盖率不少于10批次/千人。（3）</w:t>
            </w:r>
            <w:r>
              <w:rPr>
                <w:rFonts w:hint="eastAsia" w:ascii="仿宋_GB2312" w:hAnsi="仿宋_GB2312" w:eastAsia="仿宋_GB2312" w:cs="仿宋_GB2312"/>
                <w:color w:val="000000"/>
                <w:kern w:val="2"/>
                <w:sz w:val="24"/>
                <w:szCs w:val="24"/>
                <w:highlight w:val="none"/>
                <w:u w:val="none"/>
                <w:lang w:val="en-US" w:eastAsia="zh-CN" w:bidi="ar-SA"/>
              </w:rPr>
              <w:t>全市托育机构、养老机构供餐场所排查覆盖率达到</w:t>
            </w:r>
            <w:r>
              <w:rPr>
                <w:rFonts w:hint="eastAsia" w:ascii="仿宋_GB2312" w:hAnsi="仿宋_GB2312" w:eastAsia="仿宋_GB2312" w:cs="仿宋_GB2312"/>
                <w:color w:val="000000"/>
                <w:kern w:val="2"/>
                <w:sz w:val="24"/>
                <w:szCs w:val="24"/>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2" w:hRule="atLeast"/>
          <w:jc w:val="center"/>
        </w:trPr>
        <w:tc>
          <w:tcPr>
            <w:tcW w:w="16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60" w:lineRule="exact"/>
              <w:jc w:val="center"/>
              <w:textAlignment w:val="auto"/>
              <w:rPr>
                <w:rFonts w:hint="eastAsia" w:ascii="仿宋_GB2312" w:hAnsi="仿宋_GB2312" w:eastAsia="仿宋_GB2312" w:cs="仿宋_GB2312"/>
                <w:b/>
                <w:bCs w:val="0"/>
                <w:color w:val="000000"/>
                <w:sz w:val="24"/>
                <w:szCs w:val="24"/>
                <w:highlight w:val="none"/>
                <w:u w:val="none"/>
                <w:lang w:eastAsia="zh-CN"/>
              </w:rPr>
            </w:pPr>
            <w:r>
              <w:rPr>
                <w:rFonts w:hint="eastAsia" w:ascii="仿宋_GB2312" w:hAnsi="仿宋_GB2312" w:eastAsia="仿宋_GB2312" w:cs="仿宋_GB2312"/>
                <w:b/>
                <w:bCs w:val="0"/>
                <w:color w:val="000000"/>
                <w:sz w:val="24"/>
                <w:szCs w:val="24"/>
                <w:highlight w:val="none"/>
                <w:u w:val="none"/>
                <w:lang w:eastAsia="zh-CN"/>
              </w:rPr>
              <w:t>背景情况</w:t>
            </w:r>
          </w:p>
        </w:tc>
        <w:tc>
          <w:tcPr>
            <w:tcW w:w="787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highlight w:val="none"/>
                <w:u w:val="none"/>
                <w:lang w:val="en-US" w:eastAsia="zh-CN" w:bidi="ar-SA"/>
              </w:rPr>
              <w:t>深入推进“圳品”工程：</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依据《关于优化实施消费帮扶提升欠发达地区优势主导产业发展质效的意见》《深圳市国民经济和社会发展第十五个五年规划纲要》</w:t>
            </w:r>
            <w:r>
              <w:rPr>
                <w:rFonts w:hint="eastAsia" w:ascii="仿宋_GB2312" w:hAnsi="仿宋_GB2312" w:eastAsia="仿宋_GB2312" w:cs="仿宋_GB2312"/>
                <w:color w:val="000000"/>
                <w:kern w:val="2"/>
                <w:sz w:val="24"/>
                <w:szCs w:val="24"/>
                <w:lang w:val="en-US" w:eastAsia="zh-CN" w:bidi="ar-SA"/>
              </w:rPr>
              <w:t>等文件要求，持续推进“圳品”工作。截至目前累计848家企业2700个产品获评“圳品”，基地辐射全国29个省172个市492个县1116个基地，其中有659个深圳对口地区“圳品”产品。“圳品”监督工作持续保障，已清退112个不能持续满足“圳品”要求的产品。“圳品”坚持高标准品牌定位，以严格技术评价筛选优质产品，并通过对口地区产业标准化、品牌化帮扶，形成了显著的产业带动效应。</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highlight w:val="none"/>
                <w:u w:val="none"/>
                <w:lang w:val="en-US" w:eastAsia="zh-CN" w:bidi="ar-SA"/>
              </w:rPr>
              <w:t>守护市民“舌尖上的安全”：</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深圳作为管理人口超2000万人的超大型城市，食品安全保障面临独特挑战。根据《广东省市场监督管理局关于印发广东省“民生十大工程”五年行动计划食品安全领域实施方案（2023—2027年）的通知》，到2027年全省食品抽检量需达到6.7批次/千人。从发展历程看，深圳食品抽检覆盖率已从2021年的4.5批次/千人稳步提升至2025年的5批次/千人、食用农产品抽检覆盖率亦从2021年的4.5批次/千人稳步提升至2025年的5批次/千人，2026年食品及食用农产品预计分别完成5批次/千人，而2027年分别设定“保持5批次/千人以上”的指标（合计10批次/千人），既是确保后续顺利完成省定目标的关键衔接，也是主动提升监管标准、强化食品安全保障能力的体现。</w:t>
            </w:r>
          </w:p>
          <w:p>
            <w:pPr>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highlight w:val="none"/>
                <w:u w:val="none"/>
                <w:lang w:val="en-US" w:eastAsia="zh-CN" w:bidi="ar-SA"/>
              </w:rPr>
              <w:t>实施托育机构、养老机构供餐场所食品安全守护行动：</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default" w:ascii="仿宋_GB2312" w:hAnsi="Calibri" w:eastAsia="仿宋_GB2312" w:cs="Times New Roman"/>
                <w:kern w:val="2"/>
                <w:sz w:val="30"/>
                <w:szCs w:val="24"/>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为深入贯彻落实党中央、国务院关于养老托育工作的决策部署，积极响应国家“十四五”规划纲要中提出的“完善普惠性学前教育和托育服务体系”“构建居家社区机构相协调、医养康养相结合的养老服务体系”要求，以及《中共中央 国务院关于加强新时代老龄工作的意见》《国务院办公厅关于促进养老托育服务健康发展的意见》等文件精神，着力解决“幼有所育、老有所养”这一重大民生问题。食品安全是托育、养老服务的底线和红线，直接关系到“一老一小”的身体健康和生命安全，是社会关注度极高的民生热点。当前，我市托育机构、养老机构供餐场所在食品安全管理上仍存在主体责任落实不到位、硬件设施参差不齐、从业人员专业素质有待提升、监管合力尚未完全形成等问题。为切实保障“一老一小”群体“舌尖上的安全”，依据《中华人民共和国食品安全法》及其实施条例、《学校食品安全与营养健康管理规定》（参照适用托育机构）等法律法规，结合我市实际，市市场监管局牵头开展此次“一老一小”供餐场所食品安全守护行动，旨在通过系统化部署、规范化整治、智慧化监管，全面提升托育机构和养老机构供餐食品安全水平，让人民群众有更多的获得感、幸福感、安全感。</w:t>
            </w:r>
          </w:p>
        </w:tc>
      </w:tr>
    </w:tbl>
    <w:p>
      <w:pPr>
        <w:keepNext w:val="0"/>
        <w:keepLines w:val="0"/>
        <w:pageBreakBefore w:val="0"/>
        <w:kinsoku/>
        <w:wordWrap/>
        <w:topLinePunct w:val="0"/>
        <w:bidi w:val="0"/>
        <w:spacing w:beforeLines="0" w:afterLines="0" w:line="579" w:lineRule="exact"/>
        <w:textAlignment w:val="auto"/>
        <w:rPr>
          <w:rFonts w:hint="eastAsia" w:ascii="黑体" w:hAnsi="黑体" w:eastAsia="黑体" w:cs="黑体"/>
          <w:sz w:val="28"/>
          <w:szCs w:val="28"/>
          <w:highlight w:val="none"/>
          <w:u w:val="none"/>
          <w:lang w:val="en-US" w:eastAsia="zh-CN"/>
        </w:rPr>
      </w:pPr>
    </w:p>
    <w:p>
      <w:pPr>
        <w:rPr>
          <w:rFonts w:hint="eastAsia"/>
          <w:lang w:eastAsia="zh-CN"/>
        </w:rPr>
      </w:pPr>
    </w:p>
    <w:p/>
    <w:p>
      <w:bookmarkStart w:id="0" w:name="_GoBack"/>
      <w:bookmarkEnd w:id="0"/>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dit="readOnly"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B5419"/>
    <w:rsid w:val="1CBC2834"/>
    <w:rsid w:val="3DDDFB0E"/>
    <w:rsid w:val="52F398F1"/>
    <w:rsid w:val="67DF3ECA"/>
    <w:rsid w:val="790F01CB"/>
    <w:rsid w:val="7C06BD2F"/>
    <w:rsid w:val="7D9B044C"/>
    <w:rsid w:val="7DDF7959"/>
    <w:rsid w:val="7DFB5419"/>
    <w:rsid w:val="7F7FFF14"/>
    <w:rsid w:val="7FD6609C"/>
    <w:rsid w:val="7FDFB382"/>
    <w:rsid w:val="A9E74D3E"/>
    <w:rsid w:val="AFAB3604"/>
    <w:rsid w:val="B5DAAB13"/>
    <w:rsid w:val="D7FF61A3"/>
    <w:rsid w:val="DB6F3DBF"/>
    <w:rsid w:val="FDDFBB80"/>
    <w:rsid w:val="FDFF6F4D"/>
    <w:rsid w:val="FEFF9F6A"/>
    <w:rsid w:val="FF5FB6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unhideWhenUsed/>
    <w:qFormat/>
    <w:uiPriority w:val="99"/>
    <w:pPr>
      <w:ind w:firstLine="420" w:firstLineChars="200"/>
    </w:pPr>
  </w:style>
  <w:style w:type="paragraph" w:styleId="4">
    <w:name w:val="Body Text"/>
    <w:basedOn w:val="1"/>
    <w:next w:val="5"/>
    <w:qFormat/>
    <w:uiPriority w:val="0"/>
    <w:pPr>
      <w:spacing w:after="120"/>
    </w:pPr>
    <w:rPr>
      <w:rFonts w:ascii="Calibri" w:hAnsi="Calibri"/>
    </w:rPr>
  </w:style>
  <w:style w:type="paragraph" w:styleId="5">
    <w:name w:val="Title"/>
    <w:basedOn w:val="1"/>
    <w:next w:val="1"/>
    <w:qFormat/>
    <w:uiPriority w:val="10"/>
    <w:pPr>
      <w:overflowPunct w:val="0"/>
      <w:autoSpaceDE w:val="0"/>
      <w:autoSpaceDN w:val="0"/>
      <w:spacing w:before="300" w:after="200"/>
      <w:contextualSpacing/>
    </w:pPr>
    <w:rPr>
      <w:sz w:val="48"/>
      <w:szCs w:val="48"/>
    </w:rPr>
  </w:style>
  <w:style w:type="paragraph" w:styleId="6">
    <w:name w:val="Body Text Indent"/>
    <w:basedOn w:val="1"/>
    <w:next w:val="3"/>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7">
    <w:name w:val="Body Text First Indent"/>
    <w:basedOn w:val="4"/>
    <w:next w:val="1"/>
    <w:unhideWhenUsed/>
    <w:qFormat/>
    <w:uiPriority w:val="99"/>
    <w:pPr>
      <w:spacing w:after="0" w:line="580" w:lineRule="exact"/>
      <w:ind w:firstLine="420" w:firstLineChars="100"/>
    </w:pPr>
    <w:rPr>
      <w:rFonts w:ascii="仿宋_GB2312"/>
      <w:kern w:val="0"/>
      <w:szCs w:val="20"/>
      <w:lang w:val="zh-CN"/>
    </w:rPr>
  </w:style>
  <w:style w:type="paragraph" w:styleId="8">
    <w:name w:val="Body Text First Indent 2"/>
    <w:basedOn w:val="6"/>
    <w:next w:val="7"/>
    <w:qFormat/>
    <w:uiPriority w:val="0"/>
    <w:pPr>
      <w:widowControl w:val="0"/>
      <w:spacing w:after="120"/>
      <w:ind w:left="420" w:leftChars="200" w:firstLine="420" w:firstLineChars="200"/>
      <w:jc w:val="both"/>
    </w:pPr>
    <w:rPr>
      <w:rFonts w:ascii="Calibri" w:hAnsi="Calibri" w:eastAsia="宋体" w:cs="Times New Roman"/>
      <w:kern w:val="2"/>
      <w:sz w:val="21"/>
      <w:szCs w:val="22"/>
      <w:lang w:val="en-US" w:eastAsia="zh-CN" w:bidi="ar-SA"/>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103</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2026-08-31T12:00:00Z</dcterms:created>
  <dc:creator>LINYM</dc:creator>
  <cp:lastModifiedBy>马静雯</cp:lastModifiedBy>
  <dcterms:modified xsi:type="dcterms:W3CDTF">2026-08-31T17:39:19Z</dcterms:modified>
  <dc:title>深圳市市场监督管理局关于公开征求</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A8A68BCF3FC61101D853916A8F8DB2D4</vt:lpwstr>
  </property>
</Properties>
</file>