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E66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附件</w:t>
      </w:r>
    </w:p>
    <w:p w14:paraId="66C313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2026年深圳市龙岗区人工智能算力扶持项目申报指南</w:t>
      </w:r>
    </w:p>
    <w:p w14:paraId="6AB9F2A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08C4F91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785C78A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73642E4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14:paraId="37340B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（一）《深圳市龙岗区关于支持人工智能产业引领高质量发展若干措施（修订版）》</w:t>
      </w:r>
      <w:r>
        <w:rPr>
          <w:rFonts w:hint="eastAsia" w:ascii="仿宋_GB2312" w:hAnsi="仿宋_GB2312" w:eastAsia="仿宋_GB2312" w:cs="仿宋_GB2312"/>
          <w:color w:val="auto"/>
          <w:kern w:val="2"/>
          <w:sz w:val="32"/>
          <w:szCs w:val="36"/>
          <w:highlight w:val="none"/>
          <w:lang w:val="en-US" w:eastAsia="zh-CN" w:bidi="ar-SA"/>
        </w:rPr>
        <w:t>（深龙工信规〔2026〕3号）</w:t>
      </w:r>
      <w:r>
        <w:rPr>
          <w:rFonts w:hint="eastAsia" w:ascii="CESI仿宋-GB2312" w:hAnsi="CESI仿宋-GB2312" w:eastAsia="CESI仿宋-GB2312" w:cs="CESI仿宋-GB2312"/>
          <w:color w:val="auto"/>
          <w:sz w:val="32"/>
          <w:szCs w:val="32"/>
          <w:highlight w:val="none"/>
          <w:lang w:eastAsia="zh-CN"/>
        </w:rPr>
        <w:t>；</w:t>
      </w:r>
    </w:p>
    <w:p w14:paraId="1464EFB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（修订版）</w:t>
      </w:r>
      <w:r>
        <w:rPr>
          <w:rFonts w:hint="eastAsia" w:ascii="仿宋_GB2312" w:hAnsi="仿宋_GB2312" w:eastAsia="仿宋_GB2312" w:cs="仿宋_GB2312"/>
          <w:color w:val="auto"/>
          <w:kern w:val="2"/>
          <w:sz w:val="32"/>
          <w:szCs w:val="36"/>
          <w:highlight w:val="none"/>
          <w:lang w:val="en-US" w:eastAsia="zh-CN" w:bidi="ar-SA"/>
        </w:rPr>
        <w:t>》（深龙工信规〔2026〕4号）。</w:t>
      </w:r>
    </w:p>
    <w:p w14:paraId="18F2E8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14:paraId="3149CE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14:paraId="78CF79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购买非关联方的算力进行大模型训练推理、生成式人工智能应用探索的企业。</w:t>
      </w:r>
    </w:p>
    <w:p w14:paraId="26B2EE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14:paraId="3791A1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对于向算力供给方购买算力的企业，按申报指南发布前一周期年度内实际发生的算力投入，根据最终评定金额予以支持，每家企业每年最高不超过</w:t>
      </w:r>
      <w:r>
        <w:rPr>
          <w:rFonts w:hint="eastAsia" w:ascii="仿宋_GB2312" w:hAnsi="仿宋_GB2312" w:eastAsia="仿宋_GB2312" w:cs="仿宋_GB2312"/>
          <w:sz w:val="32"/>
          <w:szCs w:val="36"/>
          <w:highlight w:val="none"/>
          <w:lang w:eastAsia="zh-CN"/>
        </w:rPr>
        <w:t>2000</w:t>
      </w:r>
      <w:r>
        <w:rPr>
          <w:rFonts w:hint="eastAsia" w:ascii="仿宋_GB2312" w:hAnsi="仿宋_GB2312" w:eastAsia="仿宋_GB2312" w:cs="仿宋_GB2312"/>
          <w:color w:val="auto"/>
          <w:kern w:val="2"/>
          <w:sz w:val="32"/>
          <w:szCs w:val="36"/>
          <w:highlight w:val="none"/>
          <w:lang w:val="en-US" w:eastAsia="zh-CN" w:bidi="ar-SA"/>
        </w:rPr>
        <w:t>万元。</w:t>
      </w:r>
    </w:p>
    <w:p w14:paraId="7D863C8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14:paraId="2AFECA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评审制。以第三方专业服务机构评审结果等相关材料为参考依据。</w:t>
      </w:r>
    </w:p>
    <w:p w14:paraId="533E0E6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三、申报条件</w:t>
      </w:r>
    </w:p>
    <w:p w14:paraId="298A2F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14:paraId="7D7355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1.申报单位是在龙岗区实际经营，并且符合要求的法人企业，分支机构申请的，应同时提供总公司的授权证明文件；</w:t>
      </w:r>
    </w:p>
    <w:p w14:paraId="5CC932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2E1830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6917EC4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0110F2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29DEDFB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14:paraId="7511D7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14:paraId="7F7788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1.申报单位须为企业，向算力供给方购买的算力须用于大模型训练（包括预训练、有监督微调、强化学习等）或推理（阶段性训练成果的验证性推理等）。</w:t>
      </w:r>
    </w:p>
    <w:p w14:paraId="2ABFB5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2.算力供给方须为申报单位的非关联方（关联方包括申报单位的全资子公司、母公司、直接或者间接地同为第三者控制等关联关系），且满足以下任一条件：</w:t>
      </w:r>
    </w:p>
    <w:p w14:paraId="42E1B717">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（1）深圳市政府部门认可的智能算力训力服务机构。</w:t>
      </w:r>
    </w:p>
    <w:p w14:paraId="6FA6974D">
      <w:pPr>
        <w:keepNext w:val="0"/>
        <w:keepLines w:val="0"/>
        <w:widowControl/>
        <w:suppressLineNumbers w:val="0"/>
        <w:ind w:firstLine="640" w:firstLineChars="200"/>
        <w:jc w:val="left"/>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w:t>
      </w:r>
      <w:r>
        <w:rPr>
          <w:rFonts w:ascii="仿宋_GB2312" w:hAnsi="宋体" w:eastAsia="仿宋_GB2312" w:cs="仿宋_GB2312"/>
          <w:color w:val="000000"/>
          <w:kern w:val="0"/>
          <w:sz w:val="31"/>
          <w:szCs w:val="31"/>
          <w:lang w:val="en-US" w:eastAsia="zh-CN" w:bidi="ar"/>
        </w:rPr>
        <w:t>具备工业和信息化部颁发的增值电信业务经营许可证</w:t>
      </w:r>
      <w:r>
        <w:rPr>
          <w:rFonts w:hint="eastAsia" w:ascii="仿宋_GB2312" w:hAnsi="宋体" w:eastAsia="仿宋_GB2312" w:cs="仿宋_GB2312"/>
          <w:color w:val="000000"/>
          <w:kern w:val="0"/>
          <w:sz w:val="31"/>
          <w:szCs w:val="31"/>
          <w:lang w:val="en-US" w:eastAsia="zh-CN" w:bidi="ar"/>
        </w:rPr>
        <w:t>IDC/ISP</w:t>
      </w:r>
      <w:r>
        <w:rPr>
          <w:rFonts w:hint="eastAsia" w:ascii="仿宋_GB2312" w:hAnsi="仿宋_GB2312" w:eastAsia="仿宋_GB2312" w:cs="仿宋_GB2312"/>
          <w:color w:val="auto"/>
          <w:kern w:val="2"/>
          <w:sz w:val="32"/>
          <w:szCs w:val="36"/>
          <w:highlight w:val="none"/>
          <w:lang w:val="en-US" w:eastAsia="zh-CN" w:bidi="ar-SA"/>
        </w:rPr>
        <w:t>。</w:t>
      </w:r>
    </w:p>
    <w:p w14:paraId="2E3D74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14:paraId="64DA33F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14:paraId="762948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14:paraId="2DBF74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1.登录龙岗区企业服务信息平台（http://cyfw.lg.gov.cn）在线填报申报书，提供通过该系统打印的申请书纸质文件（原件）。</w:t>
      </w:r>
    </w:p>
    <w:p w14:paraId="4D3BEA9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2.申报单位提供营业执照和相关企业资质证明，非企业机构提供统一社会信用代码证书。分支机构申请的，应同时提供机构总部的授权证明文件。</w:t>
      </w:r>
    </w:p>
    <w:p w14:paraId="47B4919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74ED04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23B9FF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027A8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37891F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5B42FA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710EFDF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14:paraId="679925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1.算力服务合同（合同须包含但不限于：开展大模型训练、推理的具体内容、收费金额）、发票、</w:t>
      </w:r>
      <w:r>
        <w:rPr>
          <w:rFonts w:hint="eastAsia" w:ascii="仿宋_GB2312" w:hAnsi="仿宋_GB2312" w:eastAsia="仿宋_GB2312" w:cs="仿宋_GB2312"/>
          <w:sz w:val="32"/>
          <w:szCs w:val="32"/>
        </w:rPr>
        <w:t>对公转账流水</w:t>
      </w:r>
      <w:r>
        <w:rPr>
          <w:rFonts w:hint="eastAsia" w:ascii="仿宋_GB2312" w:hAnsi="仿宋_GB2312" w:eastAsia="仿宋_GB2312" w:cs="仿宋_GB2312"/>
          <w:color w:val="auto"/>
          <w:kern w:val="2"/>
          <w:sz w:val="32"/>
          <w:szCs w:val="36"/>
          <w:highlight w:val="none"/>
          <w:lang w:val="en-US" w:eastAsia="zh-CN" w:bidi="ar-SA"/>
        </w:rPr>
        <w:t>、对应税票等。</w:t>
      </w:r>
    </w:p>
    <w:p w14:paraId="36203E2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2.算力使用台账、</w:t>
      </w:r>
      <w:r>
        <w:rPr>
          <w:rFonts w:hint="eastAsia" w:ascii="仿宋_GB2312" w:hAnsi="仿宋_GB2312" w:eastAsia="仿宋_GB2312" w:cs="仿宋_GB2312"/>
          <w:sz w:val="32"/>
          <w:szCs w:val="32"/>
        </w:rPr>
        <w:t>算力资源交付凭证</w:t>
      </w:r>
      <w:r>
        <w:rPr>
          <w:rFonts w:hint="eastAsia" w:ascii="仿宋_GB2312" w:hAnsi="仿宋_GB2312" w:eastAsia="仿宋_GB2312" w:cs="仿宋_GB2312"/>
          <w:color w:val="auto"/>
          <w:kern w:val="2"/>
          <w:sz w:val="32"/>
          <w:szCs w:val="36"/>
          <w:highlight w:val="none"/>
          <w:lang w:val="en-US" w:eastAsia="zh-CN" w:bidi="ar-SA"/>
        </w:rPr>
        <w:t>（需加盖公章）。</w:t>
      </w:r>
    </w:p>
    <w:p w14:paraId="69AD30D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3.若算力供给方不是深圳市科技创新局认定的训力券入库服务机构，申报单位须提供工信部为算力供给方颁发的增值电信业务经营许可证IDC/ISP（复印件）。</w:t>
      </w:r>
    </w:p>
    <w:p w14:paraId="0F3E1F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4.有关项目应用价值、产业贡献、项目实施能力、绿色低碳、集约建设、算力调度能力证明、场景成熟度与创新性等方面的佐证材料（详细要求见附录二）。</w:t>
      </w:r>
    </w:p>
    <w:p w14:paraId="4DFF0D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5.在受理过程中，实施部门认为需要补充的其他材料。</w:t>
      </w:r>
    </w:p>
    <w:p w14:paraId="463AA16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14:paraId="7725971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2825DA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14:paraId="775740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龙岗区产业管理服务平台”申报企业登录龙岗区产业管理服务平台（网址：http://cyfw.lg.gov.cn）并注册账号（已注册企业可直接登录，没有注册的请尽快注册），然后在首页导航栏选择“项目申报”——“产业资助”，选择【“2026年龙岗区人工智能算力扶持项目”专项扶持】栏目进入申报。企业上传申报资料后，区人工智能（机器人）署将组织线上审核等工作，请企业等待线上审核结果。</w:t>
      </w:r>
    </w:p>
    <w:p w14:paraId="77C926D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14:paraId="1CD0CA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14:paraId="3AD1947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企业在广东政务服务网注册、登录；进入龙岗区人工智能（机器人）署“2026年龙岗区人工智能算力扶持项目”申报页面在线办理申请，上传并提交带水印的申报书，等待后台工作人员审核。</w:t>
      </w:r>
    </w:p>
    <w:p w14:paraId="0A9F43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14:paraId="28E688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和各项申报材料（请按分项制作目录索引，用A4纸双面打印全套申报材料，按顺序胶装成册、封面加盖公章、盖骑缝章。一式两份）。</w:t>
      </w:r>
    </w:p>
    <w:p w14:paraId="6DFE09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11"/>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76"/>
        <w:gridCol w:w="2916"/>
        <w:gridCol w:w="3427"/>
        <w:gridCol w:w="1176"/>
      </w:tblGrid>
      <w:tr w14:paraId="6098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blHeader/>
        </w:trPr>
        <w:tc>
          <w:tcPr>
            <w:tcW w:w="476" w:type="dxa"/>
            <w:shd w:val="clear" w:color="auto" w:fill="auto"/>
            <w:vAlign w:val="center"/>
          </w:tcPr>
          <w:p w14:paraId="2ECB635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黑体" w:hAnsi="宋体" w:eastAsia="黑体" w:cs="黑体"/>
                <w:i w:val="0"/>
                <w:iCs w:val="0"/>
                <w:color w:val="auto"/>
                <w:kern w:val="0"/>
                <w:sz w:val="24"/>
                <w:szCs w:val="24"/>
                <w:u w:val="none"/>
                <w:lang w:val="en-US" w:eastAsia="zh-CN" w:bidi="ar"/>
              </w:rPr>
              <w:t>序号</w:t>
            </w:r>
          </w:p>
        </w:tc>
        <w:tc>
          <w:tcPr>
            <w:tcW w:w="2917" w:type="dxa"/>
            <w:shd w:val="clear" w:color="auto" w:fill="auto"/>
            <w:vAlign w:val="center"/>
          </w:tcPr>
          <w:p w14:paraId="217A1E2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黑体" w:hAnsi="宋体" w:eastAsia="黑体" w:cs="黑体"/>
                <w:i w:val="0"/>
                <w:iCs w:val="0"/>
                <w:color w:val="auto"/>
                <w:kern w:val="0"/>
                <w:sz w:val="24"/>
                <w:szCs w:val="24"/>
                <w:u w:val="none"/>
                <w:lang w:val="en-US" w:eastAsia="zh-CN" w:bidi="ar"/>
              </w:rPr>
              <w:t>名称</w:t>
            </w:r>
          </w:p>
        </w:tc>
        <w:tc>
          <w:tcPr>
            <w:tcW w:w="3428" w:type="dxa"/>
            <w:shd w:val="clear" w:color="auto" w:fill="auto"/>
            <w:vAlign w:val="center"/>
          </w:tcPr>
          <w:p w14:paraId="6027B28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黑体" w:hAnsi="宋体" w:eastAsia="黑体" w:cs="黑体"/>
                <w:i w:val="0"/>
                <w:iCs w:val="0"/>
                <w:color w:val="auto"/>
                <w:kern w:val="0"/>
                <w:sz w:val="24"/>
                <w:szCs w:val="24"/>
                <w:u w:val="none"/>
                <w:lang w:val="en-US" w:eastAsia="zh-CN" w:bidi="ar"/>
              </w:rPr>
              <w:t>地址</w:t>
            </w:r>
          </w:p>
        </w:tc>
        <w:tc>
          <w:tcPr>
            <w:tcW w:w="1176" w:type="dxa"/>
            <w:shd w:val="clear" w:color="auto" w:fill="auto"/>
            <w:vAlign w:val="center"/>
          </w:tcPr>
          <w:p w14:paraId="3BCE303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黑体" w:hAnsi="宋体" w:eastAsia="黑体" w:cs="黑体"/>
                <w:i w:val="0"/>
                <w:iCs w:val="0"/>
                <w:color w:val="auto"/>
                <w:kern w:val="0"/>
                <w:sz w:val="24"/>
                <w:szCs w:val="24"/>
                <w:u w:val="none"/>
                <w:lang w:val="en-US" w:eastAsia="zh-CN" w:bidi="ar"/>
              </w:rPr>
              <w:t>咨询电话</w:t>
            </w:r>
          </w:p>
        </w:tc>
      </w:tr>
      <w:tr w14:paraId="2EFF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0" w:hRule="atLeast"/>
        </w:trPr>
        <w:tc>
          <w:tcPr>
            <w:tcW w:w="476" w:type="dxa"/>
            <w:shd w:val="clear" w:color="auto" w:fill="auto"/>
            <w:vAlign w:val="center"/>
          </w:tcPr>
          <w:p w14:paraId="262DF32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u w:val="none"/>
                <w:lang w:eastAsia="zh-CN" w:bidi="ar"/>
              </w:rPr>
              <w:t>1</w:t>
            </w:r>
          </w:p>
        </w:tc>
        <w:tc>
          <w:tcPr>
            <w:tcW w:w="2917" w:type="dxa"/>
            <w:shd w:val="clear" w:color="auto" w:fill="auto"/>
            <w:vAlign w:val="center"/>
          </w:tcPr>
          <w:p w14:paraId="2F08FE6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u w:val="none"/>
                <w:lang w:val="en-US" w:eastAsia="zh-CN" w:bidi="ar"/>
              </w:rPr>
              <w:t>深圳市龙岗区政务服务中心</w:t>
            </w:r>
          </w:p>
        </w:tc>
        <w:tc>
          <w:tcPr>
            <w:tcW w:w="3428" w:type="dxa"/>
            <w:shd w:val="clear" w:color="auto" w:fill="auto"/>
            <w:vAlign w:val="center"/>
          </w:tcPr>
          <w:p w14:paraId="2612FF0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深圳市龙岗区龙翔大道8033-1龙岗政务服务中心</w:t>
            </w:r>
          </w:p>
        </w:tc>
        <w:tc>
          <w:tcPr>
            <w:tcW w:w="1176" w:type="dxa"/>
            <w:shd w:val="clear" w:color="auto" w:fill="auto"/>
            <w:vAlign w:val="center"/>
          </w:tcPr>
          <w:p w14:paraId="6469511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default" w:ascii="仿宋_GB2312" w:hAnsi="宋体" w:eastAsia="仿宋_GB2312" w:cs="仿宋_GB2312"/>
                <w:i w:val="0"/>
                <w:iCs w:val="0"/>
                <w:color w:val="auto"/>
                <w:kern w:val="0"/>
                <w:sz w:val="24"/>
                <w:szCs w:val="24"/>
                <w:u w:val="none"/>
                <w:lang w:val="en-US" w:eastAsia="zh-CN" w:bidi="ar"/>
              </w:rPr>
              <w:t>84502446</w:t>
            </w:r>
          </w:p>
        </w:tc>
      </w:tr>
      <w:tr w14:paraId="6C7C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0" w:hRule="atLeast"/>
        </w:trPr>
        <w:tc>
          <w:tcPr>
            <w:tcW w:w="476" w:type="dxa"/>
            <w:shd w:val="clear" w:color="auto" w:fill="auto"/>
            <w:vAlign w:val="center"/>
          </w:tcPr>
          <w:p w14:paraId="4428100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2</w:t>
            </w:r>
          </w:p>
        </w:tc>
        <w:tc>
          <w:tcPr>
            <w:tcW w:w="2917" w:type="dxa"/>
            <w:shd w:val="clear" w:color="auto" w:fill="auto"/>
            <w:vAlign w:val="center"/>
          </w:tcPr>
          <w:p w14:paraId="47A1CC8C">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深圳市龙岗区政务服务中心天安云谷分中心</w:t>
            </w:r>
          </w:p>
        </w:tc>
        <w:tc>
          <w:tcPr>
            <w:tcW w:w="3428" w:type="dxa"/>
            <w:shd w:val="clear" w:color="auto" w:fill="auto"/>
            <w:vAlign w:val="center"/>
          </w:tcPr>
          <w:p w14:paraId="4073C46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深圳市龙岗区坂田街道雪岗路2018号天安云谷1栋B座1楼</w:t>
            </w:r>
          </w:p>
        </w:tc>
        <w:tc>
          <w:tcPr>
            <w:tcW w:w="1176" w:type="dxa"/>
            <w:shd w:val="clear" w:color="auto" w:fill="auto"/>
            <w:vAlign w:val="center"/>
          </w:tcPr>
          <w:p w14:paraId="0C879AC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28909185</w:t>
            </w:r>
          </w:p>
        </w:tc>
      </w:tr>
      <w:tr w14:paraId="5CFD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0" w:hRule="atLeast"/>
        </w:trPr>
        <w:tc>
          <w:tcPr>
            <w:tcW w:w="476" w:type="dxa"/>
            <w:shd w:val="clear" w:color="auto" w:fill="auto"/>
            <w:vAlign w:val="center"/>
          </w:tcPr>
          <w:p w14:paraId="7A76E72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3</w:t>
            </w:r>
          </w:p>
        </w:tc>
        <w:tc>
          <w:tcPr>
            <w:tcW w:w="2917" w:type="dxa"/>
            <w:shd w:val="clear" w:color="auto" w:fill="auto"/>
            <w:vAlign w:val="center"/>
          </w:tcPr>
          <w:p w14:paraId="0E0F5B7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深圳市龙岗区政务服务中心大运软件小镇分中心</w:t>
            </w:r>
          </w:p>
        </w:tc>
        <w:tc>
          <w:tcPr>
            <w:tcW w:w="3428" w:type="dxa"/>
            <w:shd w:val="clear" w:color="auto" w:fill="auto"/>
            <w:vAlign w:val="center"/>
          </w:tcPr>
          <w:p w14:paraId="171A2D5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深圳市龙岗区龙岗大道8288号大运软件小镇17栋1楼</w:t>
            </w:r>
          </w:p>
        </w:tc>
        <w:tc>
          <w:tcPr>
            <w:tcW w:w="1176" w:type="dxa"/>
            <w:shd w:val="clear" w:color="auto" w:fill="auto"/>
            <w:vAlign w:val="center"/>
          </w:tcPr>
          <w:p w14:paraId="2445A5C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28229136</w:t>
            </w:r>
          </w:p>
        </w:tc>
      </w:tr>
      <w:tr w14:paraId="64E4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0" w:hRule="atLeast"/>
        </w:trPr>
        <w:tc>
          <w:tcPr>
            <w:tcW w:w="476" w:type="dxa"/>
            <w:shd w:val="clear" w:color="auto" w:fill="auto"/>
            <w:vAlign w:val="center"/>
          </w:tcPr>
          <w:p w14:paraId="34021E6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4</w:t>
            </w:r>
          </w:p>
        </w:tc>
        <w:tc>
          <w:tcPr>
            <w:tcW w:w="2917" w:type="dxa"/>
            <w:shd w:val="clear" w:color="auto" w:fill="auto"/>
            <w:vAlign w:val="center"/>
          </w:tcPr>
          <w:p w14:paraId="0B19B22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深圳市龙岗区政务服务中心中海信分中心</w:t>
            </w:r>
          </w:p>
        </w:tc>
        <w:tc>
          <w:tcPr>
            <w:tcW w:w="3428" w:type="dxa"/>
            <w:shd w:val="clear" w:color="auto" w:fill="auto"/>
            <w:vAlign w:val="center"/>
          </w:tcPr>
          <w:p w14:paraId="478FB2B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深圳市龙岗区吉华街道甘李三路中海信创新产业城19A栋2层</w:t>
            </w:r>
          </w:p>
        </w:tc>
        <w:tc>
          <w:tcPr>
            <w:tcW w:w="1176" w:type="dxa"/>
            <w:shd w:val="clear" w:color="auto" w:fill="auto"/>
            <w:vAlign w:val="center"/>
          </w:tcPr>
          <w:p w14:paraId="1923940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33112166</w:t>
            </w:r>
          </w:p>
        </w:tc>
      </w:tr>
      <w:tr w14:paraId="600C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0" w:hRule="atLeast"/>
        </w:trPr>
        <w:tc>
          <w:tcPr>
            <w:tcW w:w="476" w:type="dxa"/>
            <w:shd w:val="clear" w:color="auto" w:fill="auto"/>
            <w:vAlign w:val="center"/>
          </w:tcPr>
          <w:p w14:paraId="5DA3D9B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5</w:t>
            </w:r>
          </w:p>
        </w:tc>
        <w:tc>
          <w:tcPr>
            <w:tcW w:w="2917" w:type="dxa"/>
            <w:shd w:val="clear" w:color="auto" w:fill="auto"/>
            <w:vAlign w:val="center"/>
          </w:tcPr>
          <w:p w14:paraId="69C86EF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深圳市龙岗区政务服务中心天安数码城分中心</w:t>
            </w:r>
          </w:p>
        </w:tc>
        <w:tc>
          <w:tcPr>
            <w:tcW w:w="3428" w:type="dxa"/>
            <w:shd w:val="clear" w:color="auto" w:fill="auto"/>
            <w:vAlign w:val="center"/>
          </w:tcPr>
          <w:p w14:paraId="1B3A7EA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深圳市龙岗区黄阁路449号天安数码城园区服务中心</w:t>
            </w:r>
          </w:p>
        </w:tc>
        <w:tc>
          <w:tcPr>
            <w:tcW w:w="1176" w:type="dxa"/>
            <w:shd w:val="clear" w:color="auto" w:fill="auto"/>
            <w:vAlign w:val="center"/>
          </w:tcPr>
          <w:p w14:paraId="16BD7B3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89312333</w:t>
            </w:r>
          </w:p>
        </w:tc>
      </w:tr>
      <w:tr w14:paraId="2773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0" w:hRule="atLeast"/>
        </w:trPr>
        <w:tc>
          <w:tcPr>
            <w:tcW w:w="476" w:type="dxa"/>
            <w:shd w:val="clear" w:color="auto" w:fill="auto"/>
            <w:vAlign w:val="center"/>
          </w:tcPr>
          <w:p w14:paraId="76A5EB21">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6</w:t>
            </w:r>
          </w:p>
        </w:tc>
        <w:tc>
          <w:tcPr>
            <w:tcW w:w="2917" w:type="dxa"/>
            <w:shd w:val="clear" w:color="auto" w:fill="auto"/>
            <w:vAlign w:val="center"/>
          </w:tcPr>
          <w:p w14:paraId="339BA5A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深圳市龙岗区政务服务中心宝龙分中心</w:t>
            </w:r>
          </w:p>
        </w:tc>
        <w:tc>
          <w:tcPr>
            <w:tcW w:w="3428" w:type="dxa"/>
            <w:shd w:val="clear" w:color="auto" w:fill="auto"/>
            <w:vAlign w:val="center"/>
          </w:tcPr>
          <w:p w14:paraId="256DB25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深圳市龙岗区冬青路18号宝龙街道便民服务中心1楼</w:t>
            </w:r>
          </w:p>
        </w:tc>
        <w:tc>
          <w:tcPr>
            <w:tcW w:w="1176" w:type="dxa"/>
            <w:shd w:val="clear" w:color="auto" w:fill="auto"/>
            <w:vAlign w:val="center"/>
          </w:tcPr>
          <w:p w14:paraId="7789310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23255492</w:t>
            </w:r>
          </w:p>
        </w:tc>
      </w:tr>
      <w:tr w14:paraId="55F8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0" w:hRule="atLeast"/>
        </w:trPr>
        <w:tc>
          <w:tcPr>
            <w:tcW w:w="476" w:type="dxa"/>
            <w:shd w:val="clear" w:color="auto" w:fill="auto"/>
            <w:vAlign w:val="center"/>
          </w:tcPr>
          <w:p w14:paraId="4CBBEC6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7</w:t>
            </w:r>
          </w:p>
        </w:tc>
        <w:tc>
          <w:tcPr>
            <w:tcW w:w="2917" w:type="dxa"/>
            <w:shd w:val="clear" w:color="auto" w:fill="auto"/>
            <w:vAlign w:val="center"/>
          </w:tcPr>
          <w:p w14:paraId="0A51FA91">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深圳市龙岗区政务服务中心丰隆深港分中心（原启迪协信分中心）</w:t>
            </w:r>
          </w:p>
        </w:tc>
        <w:tc>
          <w:tcPr>
            <w:tcW w:w="3428" w:type="dxa"/>
            <w:shd w:val="clear" w:color="auto" w:fill="auto"/>
            <w:vAlign w:val="center"/>
          </w:tcPr>
          <w:p w14:paraId="2A04940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 xml:space="preserve"> 深圳市龙岗区大运新城青春路与飞扬路交叉口丰隆深港科技园18栋B座4楼龙岗区企业国际化服务基地丰隆深港分中心综合窗口</w:t>
            </w:r>
          </w:p>
        </w:tc>
        <w:tc>
          <w:tcPr>
            <w:tcW w:w="1176" w:type="dxa"/>
            <w:shd w:val="clear" w:color="auto" w:fill="auto"/>
            <w:vAlign w:val="center"/>
          </w:tcPr>
          <w:p w14:paraId="3578BC5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28399039</w:t>
            </w:r>
          </w:p>
        </w:tc>
      </w:tr>
      <w:tr w14:paraId="7983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476" w:type="dxa"/>
            <w:shd w:val="clear" w:color="auto" w:fill="auto"/>
            <w:vAlign w:val="center"/>
          </w:tcPr>
          <w:p w14:paraId="46EA42D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8</w:t>
            </w:r>
          </w:p>
        </w:tc>
        <w:tc>
          <w:tcPr>
            <w:tcW w:w="2917" w:type="dxa"/>
            <w:shd w:val="clear" w:color="auto" w:fill="auto"/>
            <w:vAlign w:val="center"/>
          </w:tcPr>
          <w:p w14:paraId="75D05F5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深圳市龙岗区政务服务中心星河WORLD分中心</w:t>
            </w:r>
          </w:p>
        </w:tc>
        <w:tc>
          <w:tcPr>
            <w:tcW w:w="3428" w:type="dxa"/>
            <w:shd w:val="clear" w:color="auto" w:fill="auto"/>
            <w:vAlign w:val="center"/>
          </w:tcPr>
          <w:p w14:paraId="5D66D541">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深圳市龙岗区坂田街道南坑社区雅星路8号IEO-S3栋1楼</w:t>
            </w:r>
          </w:p>
        </w:tc>
        <w:tc>
          <w:tcPr>
            <w:tcW w:w="1176" w:type="dxa"/>
            <w:shd w:val="clear" w:color="auto" w:fill="auto"/>
            <w:vAlign w:val="center"/>
          </w:tcPr>
          <w:p w14:paraId="20ADB5C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23952233</w:t>
            </w:r>
          </w:p>
        </w:tc>
      </w:tr>
      <w:tr w14:paraId="7A05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40" w:hRule="atLeast"/>
        </w:trPr>
        <w:tc>
          <w:tcPr>
            <w:tcW w:w="476" w:type="dxa"/>
            <w:shd w:val="clear" w:color="auto" w:fill="auto"/>
            <w:vAlign w:val="center"/>
          </w:tcPr>
          <w:p w14:paraId="03B4AB2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9</w:t>
            </w:r>
          </w:p>
        </w:tc>
        <w:tc>
          <w:tcPr>
            <w:tcW w:w="2917" w:type="dxa"/>
            <w:shd w:val="clear" w:color="auto" w:fill="auto"/>
            <w:vAlign w:val="center"/>
          </w:tcPr>
          <w:p w14:paraId="6ABAF2C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深圳市龙岗区政务服务中心康利城分中心</w:t>
            </w:r>
          </w:p>
        </w:tc>
        <w:tc>
          <w:tcPr>
            <w:tcW w:w="3428" w:type="dxa"/>
            <w:shd w:val="clear" w:color="auto" w:fill="auto"/>
            <w:vAlign w:val="center"/>
          </w:tcPr>
          <w:p w14:paraId="62DE5DE1">
            <w:pPr>
              <w:keepNext w:val="0"/>
              <w:keepLines w:val="0"/>
              <w:widowControl/>
              <w:suppressLineNumbers w:val="0"/>
              <w:jc w:val="left"/>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深圳市龙岗区南湾街道平吉大道66号康利城2栋1楼</w:t>
            </w:r>
          </w:p>
        </w:tc>
        <w:tc>
          <w:tcPr>
            <w:tcW w:w="1176" w:type="dxa"/>
            <w:shd w:val="clear" w:color="auto" w:fill="auto"/>
            <w:vAlign w:val="center"/>
          </w:tcPr>
          <w:p w14:paraId="532E6B7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28681209</w:t>
            </w:r>
          </w:p>
        </w:tc>
      </w:tr>
      <w:tr w14:paraId="01F1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80" w:hRule="atLeast"/>
        </w:trPr>
        <w:tc>
          <w:tcPr>
            <w:tcW w:w="476" w:type="dxa"/>
            <w:shd w:val="clear" w:color="auto" w:fill="auto"/>
            <w:vAlign w:val="center"/>
          </w:tcPr>
          <w:p w14:paraId="0B22934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10</w:t>
            </w:r>
          </w:p>
        </w:tc>
        <w:tc>
          <w:tcPr>
            <w:tcW w:w="2917" w:type="dxa"/>
            <w:shd w:val="clear" w:color="auto" w:fill="auto"/>
            <w:vAlign w:val="center"/>
          </w:tcPr>
          <w:p w14:paraId="01E39A11">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深圳市龙岗区政务服务中心华南城分中心</w:t>
            </w:r>
          </w:p>
        </w:tc>
        <w:tc>
          <w:tcPr>
            <w:tcW w:w="3428" w:type="dxa"/>
            <w:shd w:val="clear" w:color="auto" w:fill="auto"/>
            <w:vAlign w:val="center"/>
          </w:tcPr>
          <w:p w14:paraId="6551FA2B">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深圳市龙岗区平湖街道富安大道1号华南城招商中心旁边</w:t>
            </w:r>
          </w:p>
        </w:tc>
        <w:tc>
          <w:tcPr>
            <w:tcW w:w="1176" w:type="dxa"/>
            <w:shd w:val="clear" w:color="auto" w:fill="auto"/>
            <w:vAlign w:val="center"/>
          </w:tcPr>
          <w:p w14:paraId="7893A33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28491235</w:t>
            </w:r>
          </w:p>
        </w:tc>
      </w:tr>
      <w:tr w14:paraId="3B29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58" w:hRule="atLeast"/>
        </w:trPr>
        <w:tc>
          <w:tcPr>
            <w:tcW w:w="476" w:type="dxa"/>
            <w:shd w:val="clear" w:color="auto" w:fill="auto"/>
            <w:vAlign w:val="center"/>
          </w:tcPr>
          <w:p w14:paraId="065C4DE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eastAsia="zh-CN" w:bidi="ar"/>
              </w:rPr>
              <w:t>11</w:t>
            </w:r>
          </w:p>
        </w:tc>
        <w:tc>
          <w:tcPr>
            <w:tcW w:w="2917" w:type="dxa"/>
            <w:shd w:val="clear" w:color="auto" w:fill="auto"/>
            <w:vAlign w:val="center"/>
          </w:tcPr>
          <w:p w14:paraId="4DAE3C4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深圳市龙岗区政务服务中心大运AI小镇分中心</w:t>
            </w:r>
          </w:p>
        </w:tc>
        <w:tc>
          <w:tcPr>
            <w:tcW w:w="3428" w:type="dxa"/>
            <w:shd w:val="clear" w:color="auto" w:fill="auto"/>
            <w:vAlign w:val="center"/>
          </w:tcPr>
          <w:p w14:paraId="128CEE1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深圳市龙岗区横岗街道信义路大运AI小镇B01栋小镇客厅一层</w:t>
            </w:r>
          </w:p>
        </w:tc>
        <w:tc>
          <w:tcPr>
            <w:tcW w:w="1176" w:type="dxa"/>
            <w:shd w:val="clear" w:color="auto" w:fill="auto"/>
            <w:vAlign w:val="center"/>
          </w:tcPr>
          <w:p w14:paraId="084B82D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89768806</w:t>
            </w:r>
          </w:p>
        </w:tc>
      </w:tr>
      <w:tr w14:paraId="4CB3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0" w:hRule="atLeast"/>
        </w:trPr>
        <w:tc>
          <w:tcPr>
            <w:tcW w:w="476" w:type="dxa"/>
            <w:shd w:val="clear" w:color="auto" w:fill="auto"/>
            <w:vAlign w:val="center"/>
          </w:tcPr>
          <w:p w14:paraId="048E191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val="en-US" w:eastAsia="zh-CN" w:bidi="ar"/>
              </w:rPr>
              <w:t>12</w:t>
            </w:r>
          </w:p>
        </w:tc>
        <w:tc>
          <w:tcPr>
            <w:tcW w:w="2917" w:type="dxa"/>
            <w:shd w:val="clear" w:color="auto" w:fill="auto"/>
            <w:vAlign w:val="center"/>
          </w:tcPr>
          <w:p w14:paraId="349FAF94">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深圳市龙岗区政务服务中心宝龙专精特新产业园分中心</w:t>
            </w:r>
          </w:p>
        </w:tc>
        <w:tc>
          <w:tcPr>
            <w:tcW w:w="3428" w:type="dxa"/>
            <w:shd w:val="clear" w:color="auto" w:fill="auto"/>
            <w:vAlign w:val="center"/>
          </w:tcPr>
          <w:p w14:paraId="41F2111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u w:val="none"/>
                <w:lang w:val="en-US" w:eastAsia="zh-CN" w:bidi="ar"/>
              </w:rPr>
              <w:tab/>
            </w:r>
          </w:p>
        </w:tc>
        <w:tc>
          <w:tcPr>
            <w:tcW w:w="1176" w:type="dxa"/>
            <w:shd w:val="clear" w:color="auto" w:fill="auto"/>
            <w:vAlign w:val="center"/>
          </w:tcPr>
          <w:p w14:paraId="277622D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28226779</w:t>
            </w:r>
          </w:p>
        </w:tc>
      </w:tr>
      <w:tr w14:paraId="3457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0" w:hRule="atLeast"/>
        </w:trPr>
        <w:tc>
          <w:tcPr>
            <w:tcW w:w="476" w:type="dxa"/>
            <w:shd w:val="clear" w:color="auto" w:fill="auto"/>
            <w:vAlign w:val="center"/>
          </w:tcPr>
          <w:p w14:paraId="51314FF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default" w:ascii="仿宋_GB2312" w:hAnsi="宋体" w:eastAsia="仿宋_GB2312" w:cs="仿宋_GB2312"/>
                <w:i w:val="0"/>
                <w:iCs w:val="0"/>
                <w:color w:val="auto"/>
                <w:kern w:val="0"/>
                <w:sz w:val="24"/>
                <w:szCs w:val="24"/>
                <w:u w:val="none"/>
                <w:lang w:val="en-US" w:eastAsia="zh-CN" w:bidi="ar"/>
              </w:rPr>
              <w:t>13</w:t>
            </w:r>
          </w:p>
        </w:tc>
        <w:tc>
          <w:tcPr>
            <w:tcW w:w="2917" w:type="dxa"/>
            <w:shd w:val="clear" w:color="auto" w:fill="auto"/>
            <w:vAlign w:val="center"/>
          </w:tcPr>
          <w:p w14:paraId="1C3A65A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深圳市龙岗区政务服务中心国际低碳城分中心</w:t>
            </w:r>
          </w:p>
          <w:p w14:paraId="4519911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p>
        </w:tc>
        <w:tc>
          <w:tcPr>
            <w:tcW w:w="3428" w:type="dxa"/>
            <w:shd w:val="clear" w:color="auto" w:fill="auto"/>
            <w:vAlign w:val="center"/>
          </w:tcPr>
          <w:p w14:paraId="45A01C5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深圳市龙岗区坪地街道教育北路68号高桥社区党群服务中心一楼</w:t>
            </w:r>
          </w:p>
        </w:tc>
        <w:tc>
          <w:tcPr>
            <w:tcW w:w="1176" w:type="dxa"/>
            <w:shd w:val="clear" w:color="auto" w:fill="auto"/>
            <w:vAlign w:val="center"/>
          </w:tcPr>
          <w:p w14:paraId="330DC76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28919635</w:t>
            </w:r>
          </w:p>
        </w:tc>
      </w:tr>
      <w:tr w14:paraId="3F48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476" w:type="dxa"/>
            <w:shd w:val="clear" w:color="auto" w:fill="auto"/>
            <w:vAlign w:val="center"/>
          </w:tcPr>
          <w:p w14:paraId="42BB9A3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14</w:t>
            </w:r>
          </w:p>
        </w:tc>
        <w:tc>
          <w:tcPr>
            <w:tcW w:w="2917" w:type="dxa"/>
            <w:shd w:val="clear" w:color="auto" w:fill="auto"/>
            <w:vAlign w:val="center"/>
          </w:tcPr>
          <w:p w14:paraId="4B112B4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深圳市龙岗区政务服务中心乐荟分中心</w:t>
            </w:r>
          </w:p>
        </w:tc>
        <w:tc>
          <w:tcPr>
            <w:tcW w:w="3428" w:type="dxa"/>
            <w:shd w:val="clear" w:color="auto" w:fill="auto"/>
            <w:vAlign w:val="center"/>
          </w:tcPr>
          <w:p w14:paraId="44227A4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深圳市龙岗区坂田街道吉华路489号乐荟科创中心12栋G层01C</w:t>
            </w:r>
          </w:p>
        </w:tc>
        <w:tc>
          <w:tcPr>
            <w:tcW w:w="1176" w:type="dxa"/>
            <w:shd w:val="clear" w:color="auto" w:fill="auto"/>
            <w:vAlign w:val="center"/>
          </w:tcPr>
          <w:p w14:paraId="2951C23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28896997</w:t>
            </w:r>
          </w:p>
        </w:tc>
      </w:tr>
      <w:tr w14:paraId="2E2B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3" w:hRule="atLeast"/>
        </w:trPr>
        <w:tc>
          <w:tcPr>
            <w:tcW w:w="476" w:type="dxa"/>
            <w:shd w:val="clear" w:color="auto" w:fill="auto"/>
            <w:vAlign w:val="center"/>
          </w:tcPr>
          <w:p w14:paraId="51CE45F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15</w:t>
            </w:r>
          </w:p>
        </w:tc>
        <w:tc>
          <w:tcPr>
            <w:tcW w:w="2917" w:type="dxa"/>
            <w:shd w:val="clear" w:color="auto" w:fill="auto"/>
            <w:vAlign w:val="center"/>
          </w:tcPr>
          <w:p w14:paraId="0E64162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深圳市龙岗区政务服务中心联创科技园分中心</w:t>
            </w:r>
          </w:p>
        </w:tc>
        <w:tc>
          <w:tcPr>
            <w:tcW w:w="3428" w:type="dxa"/>
            <w:shd w:val="clear" w:color="auto" w:fill="auto"/>
            <w:vAlign w:val="center"/>
          </w:tcPr>
          <w:p w14:paraId="729879E3">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深圳市龙岗区南湾街道下李朗社区布澜路21号联创科技园1栋厂房A、B区B101</w:t>
            </w:r>
          </w:p>
        </w:tc>
        <w:tc>
          <w:tcPr>
            <w:tcW w:w="1176" w:type="dxa"/>
            <w:shd w:val="clear" w:color="auto" w:fill="auto"/>
            <w:vAlign w:val="center"/>
          </w:tcPr>
          <w:p w14:paraId="4A6EA16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bidi="ar"/>
              </w:rPr>
            </w:pPr>
            <w:r>
              <w:rPr>
                <w:rFonts w:hint="eastAsia" w:ascii="仿宋_GB2312" w:hAnsi="宋体" w:eastAsia="仿宋_GB2312" w:cs="仿宋_GB2312"/>
                <w:i w:val="0"/>
                <w:iCs w:val="0"/>
                <w:color w:val="auto"/>
                <w:kern w:val="0"/>
                <w:sz w:val="24"/>
                <w:szCs w:val="24"/>
                <w:u w:val="none"/>
                <w:lang w:val="en-US" w:eastAsia="zh-CN" w:bidi="ar"/>
              </w:rPr>
              <w:t>28300338</w:t>
            </w:r>
          </w:p>
        </w:tc>
      </w:tr>
    </w:tbl>
    <w:p w14:paraId="0EF3BC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14:paraId="11D7613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受理时间：2026年8月31日-9月30日，逾期视作放弃申请。</w:t>
      </w:r>
    </w:p>
    <w:p w14:paraId="63F349B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14:paraId="3B2192B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14:paraId="492B77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2.业务咨询电话：0755-89559516；平台技术支持电话：0755-23602720，QQ：2972069207。因涉及企业较多，请企业按申报系统流程操作即可，业务高峰期电话繁忙请多试几次。</w:t>
      </w:r>
    </w:p>
    <w:p w14:paraId="3B93D7E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4E3AC56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4.申报期结束后，区人工智能（机器人）署将按照规定程序进行后续工作，拟资助的企业名单将在区人工智能（机器人）署网站上公示。</w:t>
      </w:r>
    </w:p>
    <w:p w14:paraId="5DDDFAE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5.申报单位须开通数字人民币对公钱包，相关资金将统一以数字人民币形式拨付。</w:t>
      </w:r>
    </w:p>
    <w:p w14:paraId="4BC76F5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14:paraId="5929D61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14:paraId="3249F325">
      <w:pPr>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br w:type="page"/>
      </w:r>
    </w:p>
    <w:p w14:paraId="22B6186E">
      <w:pPr>
        <w:keepNext w:val="0"/>
        <w:keepLines w:val="0"/>
        <w:pageBreakBefore w:val="0"/>
        <w:kinsoku/>
        <w:wordWrap/>
        <w:overflowPunct/>
        <w:topLinePunct w:val="0"/>
        <w:autoSpaceDE/>
        <w:autoSpaceDN/>
        <w:bidi w:val="0"/>
        <w:adjustRightInd/>
        <w:snapToGrid/>
        <w:spacing w:line="560" w:lineRule="exact"/>
        <w:textAlignment w:val="auto"/>
        <w:rPr>
          <w:rFonts w:hint="eastAsia" w:ascii="国标黑体-GB/T 2312" w:hAnsi="国标黑体-GB/T 2312" w:eastAsia="国标黑体-GB/T 2312" w:cs="国标黑体-GB/T 2312"/>
          <w:color w:val="auto"/>
          <w:sz w:val="32"/>
          <w:szCs w:val="32"/>
          <w:highlight w:val="none"/>
          <w:lang w:val="en-US" w:eastAsia="zh-CN"/>
        </w:rPr>
      </w:pPr>
      <w:r>
        <w:rPr>
          <w:rFonts w:hint="eastAsia" w:ascii="国标黑体-GB/T 2312" w:hAnsi="国标黑体-GB/T 2312" w:eastAsia="国标黑体-GB/T 2312" w:cs="国标黑体-GB/T 2312"/>
          <w:color w:val="auto"/>
          <w:sz w:val="32"/>
          <w:szCs w:val="32"/>
          <w:highlight w:val="none"/>
          <w:lang w:val="en-US" w:eastAsia="zh-CN"/>
        </w:rPr>
        <w:t>附录一</w:t>
      </w:r>
    </w:p>
    <w:p w14:paraId="3957AD1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深圳市龙岗区人工智能算力扶持项目申报书</w:t>
      </w:r>
    </w:p>
    <w:p w14:paraId="24BC96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81"/>
        <w:gridCol w:w="5638"/>
      </w:tblGrid>
      <w:tr w14:paraId="33D5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EF11B1">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项目</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B6218D">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填写内容</w:t>
            </w:r>
          </w:p>
        </w:tc>
      </w:tr>
      <w:tr w14:paraId="6EE2E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128958">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文书名称</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54F9A5">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2026年深圳市龙岗区人工智能</w:t>
            </w:r>
            <w:bookmarkStart w:id="1" w:name="_GoBack"/>
            <w:bookmarkEnd w:id="1"/>
            <w:r>
              <w:rPr>
                <w:rFonts w:hint="eastAsia" w:ascii="仿宋_GB2312" w:hAnsi="仿宋_GB2312" w:eastAsia="仿宋_GB2312" w:cs="仿宋_GB2312"/>
                <w:caps w:val="0"/>
                <w:spacing w:val="0"/>
                <w:kern w:val="0"/>
                <w:sz w:val="24"/>
                <w:szCs w:val="24"/>
                <w:lang w:val="en-US" w:eastAsia="zh-CN" w:bidi="ar"/>
              </w:rPr>
              <w:t>算力扶持项目申报书</w:t>
            </w:r>
          </w:p>
        </w:tc>
      </w:tr>
      <w:tr w14:paraId="1817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BADEE2">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申报年度</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5B533C">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2026年</w:t>
            </w:r>
          </w:p>
        </w:tc>
      </w:tr>
      <w:tr w14:paraId="4F75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45196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申报单位全称（加盖公章）</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DA38AF">
            <w:pPr>
              <w:jc w:val="left"/>
              <w:rPr>
                <w:rFonts w:hint="eastAsia" w:ascii="仿宋_GB2312" w:hAnsi="仿宋_GB2312" w:eastAsia="仿宋_GB2312" w:cs="仿宋_GB2312"/>
                <w:caps w:val="0"/>
                <w:spacing w:val="0"/>
                <w:sz w:val="24"/>
                <w:szCs w:val="24"/>
              </w:rPr>
            </w:pPr>
          </w:p>
        </w:tc>
      </w:tr>
      <w:tr w14:paraId="6D0CE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00B24D">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统一社会信用代码</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1FDDE">
            <w:pPr>
              <w:jc w:val="left"/>
              <w:rPr>
                <w:rFonts w:hint="eastAsia" w:ascii="仿宋_GB2312" w:hAnsi="仿宋_GB2312" w:eastAsia="仿宋_GB2312" w:cs="仿宋_GB2312"/>
                <w:caps w:val="0"/>
                <w:spacing w:val="0"/>
                <w:sz w:val="24"/>
                <w:szCs w:val="24"/>
              </w:rPr>
            </w:pPr>
          </w:p>
        </w:tc>
      </w:tr>
      <w:tr w14:paraId="72E86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7EC61">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法定代表人</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A55310">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联系电话：</w:t>
            </w:r>
          </w:p>
        </w:tc>
      </w:tr>
      <w:tr w14:paraId="3A52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010EC4">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项目负责人</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BE1689">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姓名： 手机号：</w:t>
            </w:r>
          </w:p>
        </w:tc>
      </w:tr>
      <w:tr w14:paraId="7A56F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F9A566">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企业经办人</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3BC6B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姓名： 手机： 办公电话：</w:t>
            </w:r>
          </w:p>
        </w:tc>
      </w:tr>
      <w:tr w14:paraId="2D04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1989C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申报算力投入周期</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EA319B">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年 月 — 年 月</w:t>
            </w:r>
          </w:p>
        </w:tc>
      </w:tr>
      <w:tr w14:paraId="5A81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6F665C">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申报算力投入总额（万元）</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958FAB">
            <w:pPr>
              <w:jc w:val="left"/>
              <w:rPr>
                <w:rFonts w:hint="eastAsia" w:ascii="仿宋_GB2312" w:hAnsi="仿宋_GB2312" w:eastAsia="仿宋_GB2312" w:cs="仿宋_GB2312"/>
                <w:caps w:val="0"/>
                <w:spacing w:val="0"/>
                <w:sz w:val="24"/>
                <w:szCs w:val="24"/>
              </w:rPr>
            </w:pPr>
          </w:p>
        </w:tc>
      </w:tr>
      <w:tr w14:paraId="7E53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36D904">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申报日期</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5B29A0">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年 月 日</w:t>
            </w:r>
          </w:p>
        </w:tc>
      </w:tr>
      <w:tr w14:paraId="11CC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0E0968">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受理单位</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26835F">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深圳市龙岗区人工智能（机器人）署</w:t>
            </w:r>
          </w:p>
        </w:tc>
      </w:tr>
      <w:tr w14:paraId="22A9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949E67">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业务咨询电话</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CDBF4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0755-89559516</w:t>
            </w:r>
          </w:p>
        </w:tc>
      </w:tr>
      <w:tr w14:paraId="09D63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5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1BF37F">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平台技术支持</w:t>
            </w:r>
          </w:p>
        </w:tc>
        <w:tc>
          <w:tcPr>
            <w:tcW w:w="347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057CBC">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0755-23602720</w:t>
            </w:r>
          </w:p>
        </w:tc>
      </w:tr>
    </w:tbl>
    <w:p w14:paraId="1710E2AA">
      <w:pP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br w:type="page"/>
      </w:r>
    </w:p>
    <w:p w14:paraId="54AABF84">
      <w:pPr>
        <w:keepNext w:val="0"/>
        <w:keepLines w:val="0"/>
        <w:widowControl/>
        <w:suppressLineNumbers w:val="0"/>
        <w:jc w:val="left"/>
        <w:rPr>
          <w:rFonts w:hint="eastAsia" w:ascii="国标黑体-GB/T 2312" w:hAnsi="国标黑体-GB/T 2312" w:eastAsia="国标黑体-GB/T 2312" w:cs="国标黑体-GB/T 2312"/>
          <w:sz w:val="32"/>
          <w:szCs w:val="32"/>
        </w:rPr>
      </w:pPr>
      <w:r>
        <w:rPr>
          <w:rFonts w:hint="eastAsia" w:ascii="国标黑体-GB/T 2312" w:hAnsi="国标黑体-GB/T 2312" w:eastAsia="国标黑体-GB/T 2312" w:cs="国标黑体-GB/T 2312"/>
          <w:kern w:val="0"/>
          <w:sz w:val="32"/>
          <w:szCs w:val="32"/>
          <w:lang w:val="en-US" w:eastAsia="zh-CN" w:bidi="ar"/>
        </w:rPr>
        <w:t>一、申报单位基础信息总表</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18"/>
        <w:gridCol w:w="5701"/>
      </w:tblGrid>
      <w:tr w14:paraId="406CA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662D6B">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填报类目</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211C6E">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填报内容</w:t>
            </w:r>
          </w:p>
        </w:tc>
      </w:tr>
      <w:tr w14:paraId="6B715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6B8315">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企业全称</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4A0CA1">
            <w:pPr>
              <w:jc w:val="left"/>
              <w:rPr>
                <w:rFonts w:hint="eastAsia" w:ascii="仿宋_GB2312" w:hAnsi="仿宋_GB2312" w:eastAsia="仿宋_GB2312" w:cs="仿宋_GB2312"/>
                <w:caps w:val="0"/>
                <w:spacing w:val="0"/>
                <w:sz w:val="24"/>
                <w:szCs w:val="24"/>
              </w:rPr>
            </w:pPr>
          </w:p>
        </w:tc>
      </w:tr>
      <w:tr w14:paraId="594E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F022A6">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统一社会信用代码</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540E34">
            <w:pPr>
              <w:jc w:val="left"/>
              <w:rPr>
                <w:rFonts w:hint="eastAsia" w:ascii="仿宋_GB2312" w:hAnsi="仿宋_GB2312" w:eastAsia="仿宋_GB2312" w:cs="仿宋_GB2312"/>
                <w:caps w:val="0"/>
                <w:spacing w:val="0"/>
                <w:sz w:val="24"/>
                <w:szCs w:val="24"/>
              </w:rPr>
            </w:pPr>
          </w:p>
        </w:tc>
      </w:tr>
      <w:tr w14:paraId="65238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D03DB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注册地址（营业执照地址）</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D65C5E">
            <w:pPr>
              <w:jc w:val="left"/>
              <w:rPr>
                <w:rFonts w:hint="eastAsia" w:ascii="仿宋_GB2312" w:hAnsi="仿宋_GB2312" w:eastAsia="仿宋_GB2312" w:cs="仿宋_GB2312"/>
                <w:caps w:val="0"/>
                <w:spacing w:val="0"/>
                <w:sz w:val="24"/>
                <w:szCs w:val="24"/>
              </w:rPr>
            </w:pPr>
          </w:p>
        </w:tc>
      </w:tr>
      <w:tr w14:paraId="5F81A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87A1D7">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龙岗实际经营详细地址</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C67471">
            <w:pPr>
              <w:jc w:val="left"/>
              <w:rPr>
                <w:rFonts w:hint="eastAsia" w:ascii="仿宋_GB2312" w:hAnsi="仿宋_GB2312" w:eastAsia="仿宋_GB2312" w:cs="仿宋_GB2312"/>
                <w:caps w:val="0"/>
                <w:spacing w:val="0"/>
                <w:sz w:val="24"/>
                <w:szCs w:val="24"/>
              </w:rPr>
            </w:pPr>
          </w:p>
        </w:tc>
      </w:tr>
      <w:tr w14:paraId="76B18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B9279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成立日期</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59A7F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年 月 日</w:t>
            </w:r>
          </w:p>
        </w:tc>
      </w:tr>
      <w:tr w14:paraId="51FE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38E54F">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法定代表人</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0B29FF">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身份证号： 联系电话：</w:t>
            </w:r>
          </w:p>
        </w:tc>
      </w:tr>
      <w:tr w14:paraId="77BD4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B0D8E4">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企业类型</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889E79">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□有限责任公司 □股份有限公司 □分支机构（须附总公司授权）</w:t>
            </w:r>
          </w:p>
        </w:tc>
      </w:tr>
      <w:tr w14:paraId="42C84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6397C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行业大类</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5A95C2">
            <w:pPr>
              <w:keepNext w:val="0"/>
              <w:keepLines w:val="0"/>
              <w:widowControl/>
              <w:suppressLineNumbers w:val="0"/>
              <w:jc w:val="left"/>
              <w:rPr>
                <w:rFonts w:hint="default" w:ascii="仿宋_GB2312" w:hAnsi="仿宋_GB2312" w:eastAsia="仿宋_GB2312" w:cs="仿宋_GB2312"/>
                <w:caps w:val="0"/>
                <w:spacing w:val="0"/>
                <w:lang w:val="en-US"/>
              </w:rPr>
            </w:pPr>
            <w:r>
              <w:rPr>
                <w:rFonts w:hint="eastAsia" w:ascii="仿宋_GB2312" w:hAnsi="仿宋_GB2312" w:eastAsia="仿宋_GB2312" w:cs="仿宋_GB2312"/>
                <w:caps w:val="0"/>
                <w:spacing w:val="0"/>
                <w:kern w:val="0"/>
                <w:sz w:val="24"/>
                <w:szCs w:val="24"/>
                <w:lang w:val="en-US" w:eastAsia="zh-CN" w:bidi="ar"/>
              </w:rPr>
              <w:t>□大模型研发 □AI应用开发 □工业智能 □机器人 □数据服务 □生产经营 □其他____</w:t>
            </w:r>
          </w:p>
        </w:tc>
      </w:tr>
      <w:tr w14:paraId="0DFF6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FBD59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主营业务简述（200 字内）</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631484">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主营AI产品/服务，核心算力使用场景：</w:t>
            </w:r>
          </w:p>
        </w:tc>
      </w:tr>
      <w:tr w14:paraId="7ADD3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4AFAB5">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员工总人数</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EBA7F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X人；其中AI研发人员X人</w:t>
            </w:r>
          </w:p>
        </w:tc>
      </w:tr>
      <w:tr w14:paraId="4C1E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21457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上年度营业收入（万元）</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2BD137">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XXXX（万元）；AI相关业务收入XXXX（万元）：</w:t>
            </w:r>
          </w:p>
        </w:tc>
      </w:tr>
      <w:tr w14:paraId="305B7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8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309F5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数字人民币对公钱包开户情况</w:t>
            </w:r>
          </w:p>
        </w:tc>
        <w:tc>
          <w:tcPr>
            <w:tcW w:w="351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45274B">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□已开通 □未开通（资金拨付前须完成开通）</w:t>
            </w:r>
          </w:p>
        </w:tc>
      </w:tr>
    </w:tbl>
    <w:p w14:paraId="5EE8DADC">
      <w:pP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br w:type="page"/>
      </w:r>
    </w:p>
    <w:p w14:paraId="2D11D2FB">
      <w:pPr>
        <w:keepNext w:val="0"/>
        <w:keepLines w:val="0"/>
        <w:widowControl/>
        <w:suppressLineNumbers w:val="0"/>
        <w:jc w:val="left"/>
        <w:rPr>
          <w:rFonts w:hint="eastAsia" w:ascii="国标黑体-GB/T 2312" w:hAnsi="国标黑体-GB/T 2312" w:eastAsia="国标黑体-GB/T 2312" w:cs="国标黑体-GB/T 2312"/>
          <w:sz w:val="32"/>
          <w:szCs w:val="32"/>
        </w:rPr>
      </w:pPr>
      <w:r>
        <w:rPr>
          <w:rFonts w:hint="eastAsia" w:ascii="国标黑体-GB/T 2312" w:hAnsi="国标黑体-GB/T 2312" w:eastAsia="国标黑体-GB/T 2312" w:cs="国标黑体-GB/T 2312"/>
          <w:kern w:val="0"/>
          <w:sz w:val="32"/>
          <w:szCs w:val="32"/>
          <w:lang w:val="en-US" w:eastAsia="zh-CN" w:bidi="ar"/>
        </w:rPr>
        <w:t>二、项目负责人及团队信息表</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78"/>
        <w:gridCol w:w="3215"/>
        <w:gridCol w:w="1464"/>
        <w:gridCol w:w="1464"/>
      </w:tblGrid>
      <w:tr w14:paraId="2B92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DF1C97">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信息项</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2CB3BD">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项目负责人</w:t>
            </w: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D77B2F">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核心研发成员 1</w:t>
            </w: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E74555">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核心研发成员 2</w:t>
            </w:r>
          </w:p>
        </w:tc>
      </w:tr>
      <w:tr w14:paraId="5B65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38924F">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姓名</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2E5DF8">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623456">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6788DF">
            <w:pPr>
              <w:jc w:val="left"/>
              <w:rPr>
                <w:rFonts w:hint="eastAsia" w:ascii="仿宋_GB2312" w:hAnsi="仿宋_GB2312" w:eastAsia="仿宋_GB2312" w:cs="仿宋_GB2312"/>
                <w:caps w:val="0"/>
                <w:spacing w:val="0"/>
                <w:sz w:val="24"/>
                <w:szCs w:val="24"/>
              </w:rPr>
            </w:pPr>
          </w:p>
        </w:tc>
      </w:tr>
      <w:tr w14:paraId="6D6A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BAC972">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证件号码</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4B35A6">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60D522">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C9B2C8">
            <w:pPr>
              <w:jc w:val="left"/>
              <w:rPr>
                <w:rFonts w:hint="eastAsia" w:ascii="仿宋_GB2312" w:hAnsi="仿宋_GB2312" w:eastAsia="仿宋_GB2312" w:cs="仿宋_GB2312"/>
                <w:caps w:val="0"/>
                <w:spacing w:val="0"/>
                <w:sz w:val="24"/>
                <w:szCs w:val="24"/>
              </w:rPr>
            </w:pPr>
          </w:p>
        </w:tc>
      </w:tr>
      <w:tr w14:paraId="5C2A2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04B53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现任岗位</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A920E5">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FA0FD8">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4727A7">
            <w:pPr>
              <w:jc w:val="left"/>
              <w:rPr>
                <w:rFonts w:hint="eastAsia" w:ascii="仿宋_GB2312" w:hAnsi="仿宋_GB2312" w:eastAsia="仿宋_GB2312" w:cs="仿宋_GB2312"/>
                <w:caps w:val="0"/>
                <w:spacing w:val="0"/>
                <w:sz w:val="24"/>
                <w:szCs w:val="24"/>
              </w:rPr>
            </w:pPr>
          </w:p>
        </w:tc>
      </w:tr>
      <w:tr w14:paraId="58C8C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02C9BD">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联系手机</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4244C0">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EF3F86">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356D51">
            <w:pPr>
              <w:jc w:val="left"/>
              <w:rPr>
                <w:rFonts w:hint="eastAsia" w:ascii="仿宋_GB2312" w:hAnsi="仿宋_GB2312" w:eastAsia="仿宋_GB2312" w:cs="仿宋_GB2312"/>
                <w:caps w:val="0"/>
                <w:spacing w:val="0"/>
                <w:sz w:val="24"/>
                <w:szCs w:val="24"/>
              </w:rPr>
            </w:pPr>
          </w:p>
        </w:tc>
      </w:tr>
      <w:tr w14:paraId="5AEE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FEEF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劳动合同期限</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8CB40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年 月 — 年 月</w:t>
            </w: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EE875D">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F60879">
            <w:pPr>
              <w:jc w:val="left"/>
              <w:rPr>
                <w:rFonts w:hint="eastAsia" w:ascii="仿宋_GB2312" w:hAnsi="仿宋_GB2312" w:eastAsia="仿宋_GB2312" w:cs="仿宋_GB2312"/>
                <w:caps w:val="0"/>
                <w:spacing w:val="0"/>
                <w:sz w:val="24"/>
                <w:szCs w:val="24"/>
              </w:rPr>
            </w:pPr>
          </w:p>
        </w:tc>
      </w:tr>
      <w:tr w14:paraId="06E4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563681">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近3个月社保缴纳单位</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840F25">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D9C1C1">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CA350C">
            <w:pPr>
              <w:jc w:val="left"/>
              <w:rPr>
                <w:rFonts w:hint="eastAsia" w:ascii="仿宋_GB2312" w:hAnsi="仿宋_GB2312" w:eastAsia="仿宋_GB2312" w:cs="仿宋_GB2312"/>
                <w:caps w:val="0"/>
                <w:spacing w:val="0"/>
                <w:sz w:val="24"/>
                <w:szCs w:val="24"/>
              </w:rPr>
            </w:pPr>
          </w:p>
        </w:tc>
      </w:tr>
      <w:tr w14:paraId="5066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316F1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主要工作职责</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CD233D">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算力项目统筹、模型训练、推理运维等</w:t>
            </w: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EF106F">
            <w:pPr>
              <w:jc w:val="left"/>
              <w:rPr>
                <w:rFonts w:hint="eastAsia" w:ascii="仿宋_GB2312" w:hAnsi="仿宋_GB2312" w:eastAsia="仿宋_GB2312" w:cs="仿宋_GB2312"/>
                <w:caps w:val="0"/>
                <w:spacing w:val="0"/>
                <w:sz w:val="24"/>
                <w:szCs w:val="24"/>
              </w:rPr>
            </w:pPr>
          </w:p>
        </w:tc>
        <w:tc>
          <w:tcPr>
            <w:tcW w:w="14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4C4A94">
            <w:pPr>
              <w:jc w:val="left"/>
              <w:rPr>
                <w:rFonts w:hint="eastAsia" w:ascii="仿宋_GB2312" w:hAnsi="仿宋_GB2312" w:eastAsia="仿宋_GB2312" w:cs="仿宋_GB2312"/>
                <w:caps w:val="0"/>
                <w:spacing w:val="0"/>
                <w:sz w:val="24"/>
                <w:szCs w:val="24"/>
              </w:rPr>
            </w:pPr>
          </w:p>
        </w:tc>
      </w:tr>
    </w:tbl>
    <w:p w14:paraId="5878716F">
      <w:pP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br w:type="page"/>
      </w:r>
    </w:p>
    <w:p w14:paraId="46ECC4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国标黑体-GB/T 2312" w:hAnsi="国标黑体-GB/T 2312" w:eastAsia="国标黑体-GB/T 2312" w:cs="国标黑体-GB/T 2312"/>
          <w:b w:val="0"/>
          <w:bCs w:val="0"/>
          <w:color w:val="000000"/>
          <w:sz w:val="32"/>
          <w:szCs w:val="32"/>
        </w:rPr>
      </w:pPr>
      <w:r>
        <w:rPr>
          <w:rFonts w:hint="eastAsia" w:ascii="国标黑体-GB/T 2312" w:hAnsi="国标黑体-GB/T 2312" w:eastAsia="国标黑体-GB/T 2312" w:cs="国标黑体-GB/T 2312"/>
          <w:b w:val="0"/>
          <w:bCs w:val="0"/>
          <w:color w:val="000000"/>
          <w:sz w:val="32"/>
          <w:szCs w:val="32"/>
        </w:rPr>
        <w:t>三、算力采购与投入明细表</w:t>
      </w:r>
    </w:p>
    <w:p w14:paraId="0EADB9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（按单笔合同分行填写，须与合同、发票、流水一一对应）</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44"/>
        <w:gridCol w:w="1318"/>
        <w:gridCol w:w="1035"/>
        <w:gridCol w:w="972"/>
        <w:gridCol w:w="1277"/>
        <w:gridCol w:w="1655"/>
        <w:gridCol w:w="1320"/>
      </w:tblGrid>
      <w:tr w14:paraId="1965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832CBD">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62D92C">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算力服务合同名称 / 编号</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C71CF0">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算力供给方全称</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2CA4FE">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合同签订日期</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212316">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合同总金额（元）</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B47F63">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申报周期内实际发生金额（元）</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91AED0">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算力类型（训练 / 推理）</w:t>
            </w:r>
          </w:p>
        </w:tc>
      </w:tr>
      <w:tr w14:paraId="26161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418787">
            <w:pPr>
              <w:keepNext w:val="0"/>
              <w:keepLines w:val="0"/>
              <w:widowControl/>
              <w:suppressLineNumbers w:val="0"/>
              <w:jc w:val="center"/>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3AE6C9">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BB6160">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3E4ABA">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C2FC77">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3078D8">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B72111">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□训练 □推理</w:t>
            </w:r>
          </w:p>
        </w:tc>
      </w:tr>
      <w:tr w14:paraId="37FB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C12A5">
            <w:pPr>
              <w:keepNext w:val="0"/>
              <w:keepLines w:val="0"/>
              <w:widowControl/>
              <w:suppressLineNumbers w:val="0"/>
              <w:jc w:val="center"/>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1A4988">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DB78FF">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25E73D">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E49FEF">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79FA55">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31A0A5">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□训练 □推理</w:t>
            </w:r>
          </w:p>
        </w:tc>
      </w:tr>
      <w:tr w14:paraId="7B892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9D4E94">
            <w:pPr>
              <w:keepNext w:val="0"/>
              <w:keepLines w:val="0"/>
              <w:widowControl/>
              <w:suppressLineNumbers w:val="0"/>
              <w:jc w:val="center"/>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19325B">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EEE97F">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5832E4">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9FB2C2">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441AFA">
            <w:pPr>
              <w:jc w:val="left"/>
              <w:rPr>
                <w:rFonts w:hint="eastAsia" w:ascii="仿宋_GB2312" w:hAnsi="仿宋_GB2312" w:eastAsia="仿宋_GB2312" w:cs="仿宋_GB2312"/>
                <w:caps w:val="0"/>
                <w:spacing w:val="0"/>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7C6C48">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□训练 □推理</w:t>
            </w:r>
          </w:p>
        </w:tc>
      </w:tr>
      <w:tr w14:paraId="0B75C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5FC52C">
            <w:pPr>
              <w:keepNext w:val="0"/>
              <w:keepLines w:val="0"/>
              <w:widowControl/>
              <w:suppressLineNumbers w:val="0"/>
              <w:jc w:val="center"/>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6E3102">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BBF872">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55DD69">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19DFE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3EDEA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元</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866E97">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w:t>
            </w:r>
          </w:p>
        </w:tc>
      </w:tr>
    </w:tbl>
    <w:p w14:paraId="482E485A">
      <w:pP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br w:type="page"/>
      </w:r>
    </w:p>
    <w:p w14:paraId="5186E274">
      <w:pPr>
        <w:keepNext w:val="0"/>
        <w:keepLines w:val="0"/>
        <w:widowControl/>
        <w:suppressLineNumbers w:val="0"/>
        <w:jc w:val="left"/>
        <w:rPr>
          <w:rFonts w:hint="eastAsia" w:ascii="国标黑体-GB/T 2312" w:hAnsi="国标黑体-GB/T 2312" w:eastAsia="国标黑体-GB/T 2312" w:cs="国标黑体-GB/T 2312"/>
          <w:sz w:val="32"/>
          <w:szCs w:val="32"/>
        </w:rPr>
      </w:pPr>
      <w:r>
        <w:rPr>
          <w:rFonts w:hint="eastAsia" w:ascii="国标黑体-GB/T 2312" w:hAnsi="国标黑体-GB/T 2312" w:eastAsia="国标黑体-GB/T 2312" w:cs="国标黑体-GB/T 2312"/>
          <w:kern w:val="0"/>
          <w:sz w:val="32"/>
          <w:szCs w:val="32"/>
          <w:lang w:val="en-US" w:eastAsia="zh-CN" w:bidi="ar"/>
        </w:rPr>
        <w:t>四、算力使用台账与用途说明表</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770"/>
        <w:gridCol w:w="5348"/>
      </w:tblGrid>
      <w:tr w14:paraId="26A67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B3FDF3">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核查项目</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C822C3">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企业填报内容</w:t>
            </w:r>
          </w:p>
        </w:tc>
      </w:tr>
      <w:tr w14:paraId="2D87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E260B6">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算力主要用途</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09AFD7">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□大模型预训练 □有监督微调SFT □强化学习RLHF □模型推理验证 □其他AI研发</w:t>
            </w:r>
          </w:p>
        </w:tc>
      </w:tr>
      <w:tr w14:paraId="06750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DCEFC3">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算力资源交付凭证</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A1A560">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□有完整交付日志/算力使用账单 □加盖供给方公章</w:t>
            </w:r>
          </w:p>
        </w:tc>
      </w:tr>
      <w:tr w14:paraId="518A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7DDD1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算力使用台账完整性</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5C34C6">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□完整记录调用时间、GPU卡时、任务名称、对应研发项目</w:t>
            </w:r>
          </w:p>
        </w:tc>
      </w:tr>
      <w:tr w14:paraId="3C3E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B51040">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算力是否对外转租倒卖</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5AFDA">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□否 □是（直接取消资格）</w:t>
            </w:r>
          </w:p>
        </w:tc>
      </w:tr>
      <w:tr w14:paraId="09890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2D2C29">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算力是否用于虚拟货币挖矿等禁止场景</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9A6E7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□否 □是（直接取消资格）</w:t>
            </w:r>
          </w:p>
        </w:tc>
      </w:tr>
      <w:tr w14:paraId="1D4A6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0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80F394">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是否存在财政资金支付的算力支出重复申报</w:t>
            </w:r>
          </w:p>
        </w:tc>
        <w:tc>
          <w:tcPr>
            <w:tcW w:w="329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C5733C">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□否 □是（须剔除对应金额）</w:t>
            </w:r>
          </w:p>
        </w:tc>
      </w:tr>
    </w:tbl>
    <w:p w14:paraId="3808BDDF">
      <w:pP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br w:type="page"/>
      </w:r>
    </w:p>
    <w:p w14:paraId="3A13061B">
      <w:pPr>
        <w:keepNext w:val="0"/>
        <w:keepLines w:val="0"/>
        <w:widowControl/>
        <w:suppressLineNumbers w:val="0"/>
        <w:jc w:val="left"/>
        <w:rPr>
          <w:rFonts w:hint="eastAsia" w:ascii="国标黑体-GB/T 2312" w:hAnsi="国标黑体-GB/T 2312" w:eastAsia="国标黑体-GB/T 2312" w:cs="国标黑体-GB/T 2312"/>
          <w:sz w:val="32"/>
          <w:szCs w:val="32"/>
        </w:rPr>
      </w:pPr>
      <w:r>
        <w:rPr>
          <w:rFonts w:hint="eastAsia" w:ascii="国标黑体-GB/T 2312" w:hAnsi="国标黑体-GB/T 2312" w:eastAsia="国标黑体-GB/T 2312" w:cs="国标黑体-GB/T 2312"/>
          <w:kern w:val="0"/>
          <w:sz w:val="32"/>
          <w:szCs w:val="32"/>
          <w:lang w:val="en-US" w:eastAsia="zh-CN" w:bidi="ar"/>
        </w:rPr>
        <w:t>五、企业诚信承诺与申报确认表</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036"/>
        <w:gridCol w:w="1083"/>
      </w:tblGrid>
      <w:tr w14:paraId="0F57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A25B2F">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承诺条款</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3C0F97">
            <w:pPr>
              <w:keepNext w:val="0"/>
              <w:keepLines w:val="0"/>
              <w:widowControl/>
              <w:suppressLineNumbers w:val="0"/>
              <w:jc w:val="center"/>
              <w:rPr>
                <w:rFonts w:hint="eastAsia" w:ascii="仿宋_GB2312" w:hAnsi="仿宋_GB2312" w:eastAsia="仿宋_GB2312" w:cs="仿宋_GB2312"/>
                <w:b/>
                <w:bCs/>
                <w:caps w:val="0"/>
                <w:spacing w:val="0"/>
              </w:rPr>
            </w:pPr>
            <w:r>
              <w:rPr>
                <w:rFonts w:hint="eastAsia" w:ascii="仿宋_GB2312" w:hAnsi="仿宋_GB2312" w:eastAsia="仿宋_GB2312" w:cs="仿宋_GB2312"/>
                <w:b/>
                <w:bCs/>
                <w:caps w:val="0"/>
                <w:spacing w:val="0"/>
                <w:kern w:val="0"/>
                <w:sz w:val="24"/>
                <w:szCs w:val="24"/>
                <w:lang w:val="en-US" w:eastAsia="zh-CN" w:bidi="ar"/>
              </w:rPr>
              <w:t>企业确认□完全认可</w:t>
            </w:r>
          </w:p>
        </w:tc>
      </w:tr>
      <w:tr w14:paraId="7EF7B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E4AD39">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1.本申报书及全部附件真实、合法、完整，算力合同、发票、流水、交付凭证一一对应，无虚增投入、拆分合同、拼凑账单、重复申报等行为</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E64554">
            <w:pPr>
              <w:jc w:val="left"/>
              <w:rPr>
                <w:rFonts w:hint="eastAsia" w:ascii="仿宋_GB2312" w:hAnsi="仿宋_GB2312" w:eastAsia="仿宋_GB2312" w:cs="仿宋_GB2312"/>
                <w:caps w:val="0"/>
                <w:spacing w:val="0"/>
                <w:sz w:val="24"/>
                <w:szCs w:val="24"/>
              </w:rPr>
            </w:pPr>
          </w:p>
        </w:tc>
      </w:tr>
      <w:tr w14:paraId="77078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5D459D">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2.所有算力均采购自非关联第三方，无关联交易虚列投入；算力全部用于本企业AI研发、训练、推理，未对外转租倒卖，未用于挖矿、境外违规数据处理等禁止场景</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1B1298">
            <w:pPr>
              <w:jc w:val="left"/>
              <w:rPr>
                <w:rFonts w:hint="eastAsia" w:ascii="仿宋_GB2312" w:hAnsi="仿宋_GB2312" w:eastAsia="仿宋_GB2312" w:cs="仿宋_GB2312"/>
                <w:caps w:val="0"/>
                <w:spacing w:val="0"/>
                <w:sz w:val="24"/>
                <w:szCs w:val="24"/>
              </w:rPr>
            </w:pPr>
          </w:p>
        </w:tc>
      </w:tr>
      <w:tr w14:paraId="0BF18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AE4FAF">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3.企业未被列入严重失信主体名单，无重大行政处罚、经营异常等不良记录</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36BC0C">
            <w:pPr>
              <w:jc w:val="left"/>
              <w:rPr>
                <w:rFonts w:hint="eastAsia" w:ascii="仿宋_GB2312" w:hAnsi="仿宋_GB2312" w:eastAsia="仿宋_GB2312" w:cs="仿宋_GB2312"/>
                <w:caps w:val="0"/>
                <w:spacing w:val="0"/>
                <w:sz w:val="24"/>
                <w:szCs w:val="24"/>
              </w:rPr>
            </w:pPr>
          </w:p>
        </w:tc>
      </w:tr>
      <w:tr w14:paraId="2D1D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F097DE">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4.不存在同一算力事项多头、重复申报区级其他专项资金；财政资金已支付的算力支出未纳入本次申报</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2D256B">
            <w:pPr>
              <w:jc w:val="left"/>
              <w:rPr>
                <w:rFonts w:hint="eastAsia" w:ascii="仿宋_GB2312" w:hAnsi="仿宋_GB2312" w:eastAsia="仿宋_GB2312" w:cs="仿宋_GB2312"/>
                <w:caps w:val="0"/>
                <w:spacing w:val="0"/>
                <w:sz w:val="24"/>
                <w:szCs w:val="24"/>
              </w:rPr>
            </w:pPr>
          </w:p>
        </w:tc>
      </w:tr>
      <w:tr w14:paraId="6B56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98016C">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5.自愿接受合规核验、专家评审、实地核查、绩效评价；弄虚作假自愿取消全部扶持资格，全额退回补贴资金，纳入黑名单，3年内不得申报本区同类扶持资金，并承担全部法律责任</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7C224A">
            <w:pPr>
              <w:jc w:val="left"/>
              <w:rPr>
                <w:rFonts w:hint="eastAsia" w:ascii="仿宋_GB2312" w:hAnsi="仿宋_GB2312" w:eastAsia="仿宋_GB2312" w:cs="仿宋_GB2312"/>
                <w:caps w:val="0"/>
                <w:spacing w:val="0"/>
                <w:sz w:val="24"/>
                <w:szCs w:val="24"/>
              </w:rPr>
            </w:pPr>
          </w:p>
        </w:tc>
      </w:tr>
      <w:tr w14:paraId="79A7F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40AF19">
            <w:pPr>
              <w:keepNext w:val="0"/>
              <w:keepLines w:val="0"/>
              <w:widowControl/>
              <w:suppressLineNumbers w:val="0"/>
              <w:jc w:val="left"/>
              <w:rPr>
                <w:rFonts w:hint="eastAsia" w:ascii="仿宋_GB2312" w:hAnsi="仿宋_GB2312" w:eastAsia="仿宋_GB2312" w:cs="仿宋_GB2312"/>
                <w:caps w:val="0"/>
                <w:spacing w:val="0"/>
              </w:rPr>
            </w:pPr>
            <w:r>
              <w:rPr>
                <w:rFonts w:hint="eastAsia" w:ascii="仿宋_GB2312" w:hAnsi="仿宋_GB2312" w:eastAsia="仿宋_GB2312" w:cs="仿宋_GB2312"/>
                <w:caps w:val="0"/>
                <w:spacing w:val="0"/>
                <w:kern w:val="0"/>
                <w:sz w:val="24"/>
                <w:szCs w:val="24"/>
                <w:lang w:val="en-US" w:eastAsia="zh-CN" w:bidi="ar"/>
              </w:rPr>
              <w:t>6.已开通数字人民币对公钱包，同意扶持资金以数字人民币形式拨付至本企业对公账户</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D53AAF">
            <w:pPr>
              <w:jc w:val="left"/>
              <w:rPr>
                <w:rFonts w:hint="eastAsia" w:ascii="仿宋_GB2312" w:hAnsi="仿宋_GB2312" w:eastAsia="仿宋_GB2312" w:cs="仿宋_GB2312"/>
                <w:caps w:val="0"/>
                <w:spacing w:val="0"/>
                <w:sz w:val="24"/>
                <w:szCs w:val="24"/>
              </w:rPr>
            </w:pPr>
          </w:p>
        </w:tc>
      </w:tr>
      <w:tr w14:paraId="5510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965409">
            <w:pPr>
              <w:keepNext w:val="0"/>
              <w:keepLines w:val="0"/>
              <w:widowControl/>
              <w:suppressLineNumbers w:val="0"/>
              <w:jc w:val="left"/>
              <w:rPr>
                <w:rFonts w:hint="eastAsia" w:ascii="仿宋_GB2312" w:hAnsi="仿宋_GB2312" w:eastAsia="仿宋_GB2312" w:cs="仿宋_GB2312"/>
                <w:caps w:val="0"/>
                <w:spacing w:val="0"/>
                <w:kern w:val="0"/>
                <w:sz w:val="24"/>
                <w:szCs w:val="24"/>
                <w:lang w:val="en-US" w:eastAsia="zh-CN" w:bidi="ar"/>
              </w:rPr>
            </w:pPr>
            <w:r>
              <w:rPr>
                <w:rFonts w:hint="eastAsia" w:ascii="仿宋_GB2312" w:hAnsi="仿宋_GB2312" w:eastAsia="仿宋_GB2312" w:cs="仿宋_GB2312"/>
                <w:kern w:val="0"/>
                <w:sz w:val="24"/>
                <w:szCs w:val="24"/>
                <w:lang w:val="en-US" w:eastAsia="zh-CN" w:bidi="ar"/>
              </w:rPr>
              <w:t>法定代表人签字</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E5F04E">
            <w:pPr>
              <w:keepNext w:val="0"/>
              <w:keepLines w:val="0"/>
              <w:widowControl/>
              <w:suppressLineNumbers w:val="0"/>
              <w:jc w:val="left"/>
              <w:rPr>
                <w:rFonts w:hint="eastAsia" w:ascii="仿宋_GB2312" w:hAnsi="仿宋_GB2312" w:eastAsia="仿宋_GB2312" w:cs="仿宋_GB2312"/>
                <w:caps w:val="0"/>
                <w:spacing w:val="0"/>
                <w:sz w:val="24"/>
                <w:szCs w:val="24"/>
              </w:rPr>
            </w:pPr>
          </w:p>
        </w:tc>
      </w:tr>
      <w:tr w14:paraId="2354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D3EAC5">
            <w:pPr>
              <w:keepNext w:val="0"/>
              <w:keepLines w:val="0"/>
              <w:widowControl/>
              <w:suppressLineNumbers w:val="0"/>
              <w:jc w:val="left"/>
              <w:rPr>
                <w:rFonts w:hint="eastAsia" w:ascii="仿宋_GB2312" w:hAnsi="仿宋_GB2312" w:eastAsia="仿宋_GB2312" w:cs="仿宋_GB2312"/>
                <w:caps w:val="0"/>
                <w:spacing w:val="0"/>
                <w:kern w:val="0"/>
                <w:sz w:val="24"/>
                <w:szCs w:val="24"/>
                <w:lang w:val="en-US" w:eastAsia="zh-CN" w:bidi="ar"/>
              </w:rPr>
            </w:pPr>
            <w:r>
              <w:rPr>
                <w:rFonts w:hint="eastAsia" w:ascii="仿宋_GB2312" w:hAnsi="仿宋_GB2312" w:eastAsia="仿宋_GB2312" w:cs="仿宋_GB2312"/>
                <w:kern w:val="0"/>
                <w:sz w:val="24"/>
                <w:szCs w:val="24"/>
                <w:lang w:val="en-US" w:eastAsia="zh-CN" w:bidi="ar"/>
              </w:rPr>
              <w:t>项目负责人签字</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E8D764">
            <w:pPr>
              <w:keepNext w:val="0"/>
              <w:keepLines w:val="0"/>
              <w:widowControl/>
              <w:suppressLineNumbers w:val="0"/>
              <w:jc w:val="left"/>
              <w:rPr>
                <w:rFonts w:hint="eastAsia" w:ascii="仿宋_GB2312" w:hAnsi="仿宋_GB2312" w:eastAsia="仿宋_GB2312" w:cs="仿宋_GB2312"/>
                <w:caps w:val="0"/>
                <w:spacing w:val="0"/>
                <w:sz w:val="24"/>
                <w:szCs w:val="24"/>
              </w:rPr>
            </w:pPr>
          </w:p>
        </w:tc>
      </w:tr>
      <w:tr w14:paraId="615A3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3C51DE">
            <w:pPr>
              <w:keepNext w:val="0"/>
              <w:keepLines w:val="0"/>
              <w:widowControl/>
              <w:suppressLineNumbers w:val="0"/>
              <w:jc w:val="left"/>
              <w:rPr>
                <w:rFonts w:hint="eastAsia" w:ascii="仿宋_GB2312" w:hAnsi="仿宋_GB2312" w:eastAsia="仿宋_GB2312" w:cs="仿宋_GB2312"/>
                <w:caps w:val="0"/>
                <w:spacing w:val="0"/>
                <w:kern w:val="0"/>
                <w:sz w:val="24"/>
                <w:szCs w:val="24"/>
                <w:lang w:val="en-US" w:eastAsia="zh-CN" w:bidi="ar"/>
              </w:rPr>
            </w:pPr>
            <w:r>
              <w:rPr>
                <w:rFonts w:hint="eastAsia" w:ascii="仿宋_GB2312" w:hAnsi="仿宋_GB2312" w:eastAsia="仿宋_GB2312" w:cs="仿宋_GB2312"/>
                <w:kern w:val="0"/>
                <w:sz w:val="24"/>
                <w:szCs w:val="24"/>
                <w:lang w:val="en-US" w:eastAsia="zh-CN" w:bidi="ar"/>
              </w:rPr>
              <w:t>企业公章</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4E5718">
            <w:pPr>
              <w:keepNext w:val="0"/>
              <w:keepLines w:val="0"/>
              <w:widowControl/>
              <w:suppressLineNumbers w:val="0"/>
              <w:jc w:val="left"/>
              <w:rPr>
                <w:rFonts w:hint="eastAsia" w:ascii="仿宋_GB2312" w:hAnsi="仿宋_GB2312" w:eastAsia="仿宋_GB2312" w:cs="仿宋_GB2312"/>
                <w:caps w:val="0"/>
                <w:spacing w:val="0"/>
                <w:sz w:val="24"/>
                <w:szCs w:val="24"/>
              </w:rPr>
            </w:pPr>
          </w:p>
        </w:tc>
      </w:tr>
      <w:tr w14:paraId="79E15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33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75D82D">
            <w:pPr>
              <w:keepNext w:val="0"/>
              <w:keepLines w:val="0"/>
              <w:widowControl/>
              <w:suppressLineNumbers w:val="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申报日期</w:t>
            </w:r>
          </w:p>
        </w:tc>
        <w:tc>
          <w:tcPr>
            <w:tcW w:w="667"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48F8F6">
            <w:pPr>
              <w:keepNext w:val="0"/>
              <w:keepLines w:val="0"/>
              <w:widowControl/>
              <w:suppressLineNumbers w:val="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年 月 日</w:t>
            </w:r>
          </w:p>
        </w:tc>
      </w:tr>
    </w:tbl>
    <w:p w14:paraId="52873573">
      <w:pP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br w:type="page"/>
      </w:r>
    </w:p>
    <w:p w14:paraId="5B39336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国标黑体-GB/T 2312" w:hAnsi="国标黑体-GB/T 2312" w:eastAsia="国标黑体-GB/T 2312" w:cs="国标黑体-GB/T 2312"/>
          <w:color w:val="auto"/>
          <w:kern w:val="2"/>
          <w:sz w:val="32"/>
          <w:szCs w:val="32"/>
          <w:highlight w:val="none"/>
          <w:lang w:val="en-US" w:eastAsia="zh-CN" w:bidi="ar-SA"/>
        </w:rPr>
      </w:pPr>
      <w:r>
        <w:rPr>
          <w:rFonts w:hint="eastAsia" w:ascii="国标黑体-GB/T 2312" w:hAnsi="国标黑体-GB/T 2312" w:eastAsia="国标黑体-GB/T 2312" w:cs="国标黑体-GB/T 2312"/>
          <w:color w:val="auto"/>
          <w:kern w:val="2"/>
          <w:sz w:val="32"/>
          <w:szCs w:val="32"/>
          <w:highlight w:val="none"/>
          <w:lang w:val="en-US" w:eastAsia="zh-CN" w:bidi="ar-SA"/>
        </w:rPr>
        <w:t>附录二</w:t>
      </w:r>
    </w:p>
    <w:p w14:paraId="62E208D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国标黑体-GB/T 2312" w:hAnsi="国标黑体-GB/T 2312" w:eastAsia="国标黑体-GB/T 2312" w:cs="国标黑体-GB/T 2312"/>
          <w:color w:val="auto"/>
          <w:kern w:val="2"/>
          <w:sz w:val="32"/>
          <w:szCs w:val="32"/>
          <w:highlight w:val="none"/>
          <w:lang w:val="en-US" w:eastAsia="zh-CN" w:bidi="ar-SA"/>
        </w:rPr>
      </w:pPr>
      <w:r>
        <w:rPr>
          <w:rFonts w:hint="eastAsia" w:ascii="国标黑体-GB/T 2312" w:hAnsi="国标黑体-GB/T 2312" w:eastAsia="国标黑体-GB/T 2312" w:cs="国标黑体-GB/T 2312"/>
          <w:color w:val="auto"/>
          <w:kern w:val="2"/>
          <w:sz w:val="32"/>
          <w:szCs w:val="32"/>
          <w:highlight w:val="none"/>
          <w:lang w:val="en-US" w:eastAsia="zh-CN" w:bidi="ar-SA"/>
        </w:rPr>
        <w:t>佐证材料提交要求</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3"/>
        <w:gridCol w:w="983"/>
        <w:gridCol w:w="2535"/>
        <w:gridCol w:w="3646"/>
      </w:tblGrid>
      <w:tr w14:paraId="4838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4595CF">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18"/>
                <w:szCs w:val="18"/>
                <w:highlight w:val="none"/>
                <w:u w:val="none"/>
              </w:rPr>
            </w:pPr>
            <w:r>
              <w:rPr>
                <w:rFonts w:hint="eastAsia" w:ascii="仿宋_GB2312" w:hAnsi="仿宋_GB2312" w:eastAsia="仿宋_GB2312" w:cs="仿宋_GB2312"/>
                <w:b/>
                <w:bCs/>
                <w:i w:val="0"/>
                <w:iCs w:val="0"/>
                <w:color w:val="auto"/>
                <w:kern w:val="0"/>
                <w:sz w:val="18"/>
                <w:szCs w:val="18"/>
                <w:highlight w:val="none"/>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528C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18"/>
                <w:szCs w:val="18"/>
                <w:highlight w:val="none"/>
                <w:u w:val="none"/>
              </w:rPr>
            </w:pPr>
            <w:r>
              <w:rPr>
                <w:rFonts w:hint="eastAsia" w:ascii="仿宋_GB2312" w:hAnsi="仿宋_GB2312" w:eastAsia="仿宋_GB2312" w:cs="仿宋_GB2312"/>
                <w:b/>
                <w:bCs/>
                <w:i w:val="0"/>
                <w:iCs w:val="0"/>
                <w:color w:val="auto"/>
                <w:kern w:val="0"/>
                <w:sz w:val="18"/>
                <w:szCs w:val="18"/>
                <w:highlight w:val="none"/>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DF0D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18"/>
                <w:szCs w:val="18"/>
                <w:highlight w:val="none"/>
                <w:u w:val="none"/>
              </w:rPr>
            </w:pPr>
            <w:r>
              <w:rPr>
                <w:rFonts w:hint="eastAsia" w:ascii="仿宋_GB2312" w:hAnsi="仿宋_GB2312" w:eastAsia="仿宋_GB2312" w:cs="仿宋_GB2312"/>
                <w:b/>
                <w:bCs/>
                <w:i w:val="0"/>
                <w:iCs w:val="0"/>
                <w:color w:val="auto"/>
                <w:kern w:val="0"/>
                <w:sz w:val="18"/>
                <w:szCs w:val="18"/>
                <w:highlight w:val="none"/>
                <w:u w:val="none"/>
                <w:lang w:val="en-US" w:eastAsia="zh-CN" w:bidi="ar"/>
              </w:rPr>
              <w:t>材料要求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B2C20D">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18"/>
                <w:szCs w:val="18"/>
                <w:highlight w:val="none"/>
                <w:u w:val="none"/>
              </w:rPr>
            </w:pPr>
            <w:r>
              <w:rPr>
                <w:rFonts w:hint="eastAsia" w:ascii="仿宋_GB2312" w:hAnsi="仿宋_GB2312" w:eastAsia="仿宋_GB2312" w:cs="仿宋_GB2312"/>
                <w:b/>
                <w:bCs/>
                <w:i w:val="0"/>
                <w:iCs w:val="0"/>
                <w:color w:val="auto"/>
                <w:kern w:val="0"/>
                <w:sz w:val="18"/>
                <w:szCs w:val="18"/>
                <w:highlight w:val="none"/>
                <w:u w:val="none"/>
                <w:lang w:val="en-US" w:eastAsia="zh-CN" w:bidi="ar"/>
              </w:rPr>
              <w:t>备注</w:t>
            </w:r>
          </w:p>
        </w:tc>
      </w:tr>
      <w:tr w14:paraId="6C459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401DC">
            <w:pPr>
              <w:keepNext w:val="0"/>
              <w:keepLines w:val="0"/>
              <w:widowControl/>
              <w:suppressLineNumbers w:val="0"/>
              <w:jc w:val="center"/>
              <w:textAlignment w:val="center"/>
              <w:rPr>
                <w:rFonts w:hint="eastAsia" w:ascii="仿宋_GB2312" w:hAnsi="仿宋_GB2312" w:eastAsia="仿宋_GB2312" w:cs="仿宋_GB2312"/>
                <w:b/>
                <w:bCs/>
                <w:i w:val="0"/>
                <w:iCs w:val="0"/>
                <w:color w:val="333333"/>
                <w:sz w:val="18"/>
                <w:szCs w:val="18"/>
                <w:highlight w:val="none"/>
                <w:u w:val="none"/>
              </w:rPr>
            </w:pPr>
            <w:r>
              <w:rPr>
                <w:rFonts w:hint="eastAsia" w:ascii="仿宋_GB2312" w:hAnsi="仿宋_GB2312" w:eastAsia="仿宋_GB2312" w:cs="仿宋_GB2312"/>
                <w:b/>
                <w:bCs/>
                <w:i w:val="0"/>
                <w:iCs w:val="0"/>
                <w:color w:val="333333"/>
                <w:kern w:val="0"/>
                <w:sz w:val="18"/>
                <w:szCs w:val="18"/>
                <w:highlight w:val="none"/>
                <w:u w:val="none"/>
                <w:lang w:val="en-US" w:eastAsia="zh-CN" w:bidi="ar"/>
              </w:rPr>
              <w:t>一、算力投入真实性、合规性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D8950">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1.1 申报材料完整性、规范性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3FF34">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全套申报材料齐全规范，合同、结算账单、增值税发票、银行流水、算力交付日志、权属</w:t>
            </w:r>
            <w:r>
              <w:rPr>
                <w:rStyle w:val="21"/>
                <w:rFonts w:hint="eastAsia" w:ascii="仿宋_GB2312" w:hAnsi="仿宋_GB2312" w:eastAsia="仿宋_GB2312" w:cs="仿宋_GB2312"/>
                <w:sz w:val="18"/>
                <w:szCs w:val="18"/>
                <w:highlight w:val="none"/>
                <w:lang w:val="en-US" w:eastAsia="zh-CN" w:bidi="ar"/>
              </w:rPr>
              <w:t>/</w:t>
            </w:r>
            <w:r>
              <w:rPr>
                <w:rStyle w:val="22"/>
                <w:rFonts w:hint="eastAsia" w:ascii="仿宋_GB2312" w:hAnsi="仿宋_GB2312" w:eastAsia="仿宋_GB2312" w:cs="仿宋_GB2312"/>
                <w:sz w:val="18"/>
                <w:szCs w:val="18"/>
                <w:highlight w:val="none"/>
                <w:lang w:val="en-US" w:eastAsia="zh-CN" w:bidi="ar"/>
              </w:rPr>
              <w:t>资质证明完整，要素齐全、信息一致、格式规范，无涂改、无缺失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BCA3F">
            <w:pPr>
              <w:keepNext w:val="0"/>
              <w:keepLines w:val="0"/>
              <w:widowControl/>
              <w:suppressLineNumbers w:val="0"/>
              <w:jc w:val="both"/>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存在以下情况直接取消申报资格：</w:t>
            </w:r>
            <w:r>
              <w:rPr>
                <w:rStyle w:val="22"/>
                <w:rFonts w:hint="eastAsia" w:ascii="仿宋_GB2312" w:hAnsi="仿宋_GB2312" w:eastAsia="仿宋_GB2312" w:cs="仿宋_GB2312"/>
                <w:sz w:val="18"/>
                <w:szCs w:val="18"/>
                <w:highlight w:val="none"/>
                <w:lang w:val="en-US" w:eastAsia="zh-CN" w:bidi="ar"/>
              </w:rPr>
              <w:br w:type="textWrapping"/>
            </w:r>
            <w:r>
              <w:rPr>
                <w:rStyle w:val="21"/>
                <w:rFonts w:hint="eastAsia" w:ascii="仿宋_GB2312" w:hAnsi="仿宋_GB2312" w:eastAsia="仿宋_GB2312" w:cs="仿宋_GB2312"/>
                <w:sz w:val="18"/>
                <w:szCs w:val="18"/>
                <w:highlight w:val="none"/>
                <w:lang w:val="en-US" w:eastAsia="zh-CN" w:bidi="ar"/>
              </w:rPr>
              <w:t>1.</w:t>
            </w:r>
            <w:r>
              <w:rPr>
                <w:rStyle w:val="22"/>
                <w:rFonts w:hint="eastAsia" w:ascii="仿宋_GB2312" w:hAnsi="仿宋_GB2312" w:eastAsia="仿宋_GB2312" w:cs="仿宋_GB2312"/>
                <w:sz w:val="18"/>
                <w:szCs w:val="18"/>
                <w:highlight w:val="none"/>
                <w:lang w:val="en-US" w:eastAsia="zh-CN" w:bidi="ar"/>
              </w:rPr>
              <w:t>申报材料造假、虚增算力投入、拆分合同、重复申报补贴；</w:t>
            </w:r>
            <w:r>
              <w:rPr>
                <w:rStyle w:val="22"/>
                <w:rFonts w:hint="eastAsia" w:ascii="仿宋_GB2312" w:hAnsi="仿宋_GB2312" w:eastAsia="仿宋_GB2312" w:cs="仿宋_GB2312"/>
                <w:sz w:val="18"/>
                <w:szCs w:val="18"/>
                <w:highlight w:val="none"/>
                <w:lang w:val="en-US" w:eastAsia="zh-CN" w:bidi="ar"/>
              </w:rPr>
              <w:br w:type="textWrapping"/>
            </w:r>
            <w:r>
              <w:rPr>
                <w:rStyle w:val="21"/>
                <w:rFonts w:hint="eastAsia" w:ascii="仿宋_GB2312" w:hAnsi="仿宋_GB2312" w:eastAsia="仿宋_GB2312" w:cs="仿宋_GB2312"/>
                <w:sz w:val="18"/>
                <w:szCs w:val="18"/>
                <w:highlight w:val="none"/>
                <w:lang w:val="en-US" w:eastAsia="zh-CN" w:bidi="ar"/>
              </w:rPr>
              <w:t>2.</w:t>
            </w:r>
            <w:r>
              <w:rPr>
                <w:rStyle w:val="22"/>
                <w:rFonts w:hint="eastAsia" w:ascii="仿宋_GB2312" w:hAnsi="仿宋_GB2312" w:eastAsia="仿宋_GB2312" w:cs="仿宋_GB2312"/>
                <w:sz w:val="18"/>
                <w:szCs w:val="18"/>
                <w:highlight w:val="none"/>
                <w:lang w:val="en-US" w:eastAsia="zh-CN" w:bidi="ar"/>
              </w:rPr>
              <w:t>存在关联交易虚列投入、虚构算力交易套取财政资金；</w:t>
            </w:r>
            <w:r>
              <w:rPr>
                <w:rStyle w:val="22"/>
                <w:rFonts w:hint="eastAsia" w:ascii="仿宋_GB2312" w:hAnsi="仿宋_GB2312" w:eastAsia="仿宋_GB2312" w:cs="仿宋_GB2312"/>
                <w:sz w:val="18"/>
                <w:szCs w:val="18"/>
                <w:highlight w:val="none"/>
                <w:lang w:val="en-US" w:eastAsia="zh-CN" w:bidi="ar"/>
              </w:rPr>
              <w:br w:type="textWrapping"/>
            </w:r>
            <w:r>
              <w:rPr>
                <w:rStyle w:val="21"/>
                <w:rFonts w:hint="eastAsia" w:ascii="仿宋_GB2312" w:hAnsi="仿宋_GB2312" w:eastAsia="仿宋_GB2312" w:cs="仿宋_GB2312"/>
                <w:sz w:val="18"/>
                <w:szCs w:val="18"/>
                <w:highlight w:val="none"/>
                <w:lang w:val="en-US" w:eastAsia="zh-CN" w:bidi="ar"/>
              </w:rPr>
              <w:t>3.</w:t>
            </w:r>
            <w:r>
              <w:rPr>
                <w:rStyle w:val="22"/>
                <w:rFonts w:hint="eastAsia" w:ascii="仿宋_GB2312" w:hAnsi="仿宋_GB2312" w:eastAsia="仿宋_GB2312" w:cs="仿宋_GB2312"/>
                <w:sz w:val="18"/>
                <w:szCs w:val="18"/>
                <w:highlight w:val="none"/>
                <w:lang w:val="en-US" w:eastAsia="zh-CN" w:bidi="ar"/>
              </w:rPr>
              <w:t>算力用于虚拟货币挖矿、转租倒卖、境外违规数据处理等禁止场景；</w:t>
            </w:r>
            <w:r>
              <w:rPr>
                <w:rStyle w:val="22"/>
                <w:rFonts w:hint="eastAsia" w:ascii="仿宋_GB2312" w:hAnsi="仿宋_GB2312" w:eastAsia="仿宋_GB2312" w:cs="仿宋_GB2312"/>
                <w:sz w:val="18"/>
                <w:szCs w:val="18"/>
                <w:highlight w:val="none"/>
                <w:lang w:val="en-US" w:eastAsia="zh-CN" w:bidi="ar"/>
              </w:rPr>
              <w:br w:type="textWrapping"/>
            </w:r>
            <w:r>
              <w:rPr>
                <w:rStyle w:val="21"/>
                <w:rFonts w:hint="eastAsia" w:ascii="仿宋_GB2312" w:hAnsi="仿宋_GB2312" w:eastAsia="仿宋_GB2312" w:cs="仿宋_GB2312"/>
                <w:sz w:val="18"/>
                <w:szCs w:val="18"/>
                <w:highlight w:val="none"/>
                <w:lang w:val="en-US" w:eastAsia="zh-CN" w:bidi="ar"/>
              </w:rPr>
              <w:t>4.</w:t>
            </w:r>
            <w:r>
              <w:rPr>
                <w:rStyle w:val="22"/>
                <w:rFonts w:hint="eastAsia" w:ascii="仿宋_GB2312" w:hAnsi="仿宋_GB2312" w:eastAsia="仿宋_GB2312" w:cs="仿宋_GB2312"/>
                <w:sz w:val="18"/>
                <w:szCs w:val="18"/>
                <w:highlight w:val="none"/>
                <w:lang w:val="en-US" w:eastAsia="zh-CN" w:bidi="ar"/>
              </w:rPr>
              <w:t>企业存在严重失信、重大行政处罚、违法经营等不良记录；</w:t>
            </w:r>
            <w:r>
              <w:rPr>
                <w:rStyle w:val="22"/>
                <w:rFonts w:hint="eastAsia" w:ascii="仿宋_GB2312" w:hAnsi="仿宋_GB2312" w:eastAsia="仿宋_GB2312" w:cs="仿宋_GB2312"/>
                <w:sz w:val="18"/>
                <w:szCs w:val="18"/>
                <w:highlight w:val="none"/>
                <w:lang w:val="en-US" w:eastAsia="zh-CN" w:bidi="ar"/>
              </w:rPr>
              <w:br w:type="textWrapping"/>
            </w:r>
            <w:r>
              <w:rPr>
                <w:rStyle w:val="21"/>
                <w:rFonts w:hint="eastAsia" w:ascii="仿宋_GB2312" w:hAnsi="仿宋_GB2312" w:eastAsia="仿宋_GB2312" w:cs="仿宋_GB2312"/>
                <w:sz w:val="18"/>
                <w:szCs w:val="18"/>
                <w:highlight w:val="none"/>
                <w:lang w:val="en-US" w:eastAsia="zh-CN" w:bidi="ar"/>
              </w:rPr>
              <w:t>5.</w:t>
            </w:r>
            <w:r>
              <w:rPr>
                <w:rStyle w:val="22"/>
                <w:rFonts w:hint="eastAsia" w:ascii="仿宋_GB2312" w:hAnsi="仿宋_GB2312" w:eastAsia="仿宋_GB2312" w:cs="仿宋_GB2312"/>
                <w:sz w:val="18"/>
                <w:szCs w:val="18"/>
                <w:highlight w:val="none"/>
                <w:lang w:val="en-US" w:eastAsia="zh-CN" w:bidi="ar"/>
              </w:rPr>
              <w:t>财政资金支付的算力支出违规申报补贴；</w:t>
            </w:r>
            <w:r>
              <w:rPr>
                <w:rStyle w:val="22"/>
                <w:rFonts w:hint="eastAsia" w:ascii="仿宋_GB2312" w:hAnsi="仿宋_GB2312" w:eastAsia="仿宋_GB2312" w:cs="仿宋_GB2312"/>
                <w:sz w:val="18"/>
                <w:szCs w:val="18"/>
                <w:highlight w:val="none"/>
                <w:lang w:val="en-US" w:eastAsia="zh-CN" w:bidi="ar"/>
              </w:rPr>
              <w:br w:type="textWrapping"/>
            </w:r>
            <w:r>
              <w:rPr>
                <w:rStyle w:val="21"/>
                <w:rFonts w:hint="eastAsia" w:ascii="仿宋_GB2312" w:hAnsi="仿宋_GB2312" w:eastAsia="仿宋_GB2312" w:cs="仿宋_GB2312"/>
                <w:sz w:val="18"/>
                <w:szCs w:val="18"/>
                <w:highlight w:val="none"/>
                <w:lang w:val="en-US" w:eastAsia="zh-CN" w:bidi="ar"/>
              </w:rPr>
              <w:t>6.</w:t>
            </w:r>
            <w:r>
              <w:rPr>
                <w:rStyle w:val="22"/>
                <w:rFonts w:hint="eastAsia" w:ascii="仿宋_GB2312" w:hAnsi="仿宋_GB2312" w:eastAsia="仿宋_GB2312" w:cs="仿宋_GB2312"/>
                <w:sz w:val="18"/>
                <w:szCs w:val="18"/>
                <w:highlight w:val="none"/>
                <w:lang w:val="en-US" w:eastAsia="zh-CN" w:bidi="ar"/>
              </w:rPr>
              <w:t>其他经认定的违法违规行为。</w:t>
            </w:r>
          </w:p>
        </w:tc>
      </w:tr>
      <w:tr w14:paraId="5F8D2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D46D2">
            <w:pPr>
              <w:jc w:val="center"/>
              <w:rPr>
                <w:rFonts w:hint="eastAsia" w:ascii="仿宋_GB2312" w:hAnsi="仿宋_GB2312" w:eastAsia="仿宋_GB2312" w:cs="仿宋_GB2312"/>
                <w:b/>
                <w:bCs/>
                <w:i w:val="0"/>
                <w:iCs w:val="0"/>
                <w:color w:val="333333"/>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08081">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1.2 算力投入真实性、公允性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DA57B">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算力投入</w:t>
            </w:r>
            <w:r>
              <w:rPr>
                <w:rStyle w:val="21"/>
                <w:rFonts w:hint="eastAsia" w:ascii="仿宋_GB2312" w:hAnsi="仿宋_GB2312" w:eastAsia="仿宋_GB2312" w:cs="仿宋_GB2312"/>
                <w:sz w:val="18"/>
                <w:szCs w:val="18"/>
                <w:highlight w:val="none"/>
                <w:lang w:val="en-US" w:eastAsia="zh-CN" w:bidi="ar"/>
              </w:rPr>
              <w:t>100%</w:t>
            </w:r>
            <w:r>
              <w:rPr>
                <w:rStyle w:val="22"/>
                <w:rFonts w:hint="eastAsia" w:ascii="仿宋_GB2312" w:hAnsi="仿宋_GB2312" w:eastAsia="仿宋_GB2312" w:cs="仿宋_GB2312"/>
                <w:sz w:val="18"/>
                <w:szCs w:val="18"/>
                <w:highlight w:val="none"/>
                <w:lang w:val="en-US" w:eastAsia="zh-CN" w:bidi="ar"/>
              </w:rPr>
              <w:t>真实，佐证材料完整有效，无虚增金额、无拆分申报、无预存未消耗金额、无重复申报；供需双方无关联交易，定价公允、符合市场行情</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4F673">
            <w:pPr>
              <w:jc w:val="both"/>
              <w:rPr>
                <w:rFonts w:hint="eastAsia" w:ascii="仿宋_GB2312" w:hAnsi="仿宋_GB2312" w:eastAsia="仿宋_GB2312" w:cs="仿宋_GB2312"/>
                <w:i w:val="0"/>
                <w:iCs w:val="0"/>
                <w:color w:val="333333"/>
                <w:sz w:val="18"/>
                <w:szCs w:val="18"/>
                <w:highlight w:val="none"/>
                <w:u w:val="none"/>
              </w:rPr>
            </w:pPr>
          </w:p>
        </w:tc>
      </w:tr>
      <w:tr w14:paraId="790A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1B435">
            <w:pPr>
              <w:jc w:val="center"/>
              <w:rPr>
                <w:rFonts w:hint="eastAsia" w:ascii="仿宋_GB2312" w:hAnsi="仿宋_GB2312" w:eastAsia="仿宋_GB2312" w:cs="仿宋_GB2312"/>
                <w:b/>
                <w:bCs/>
                <w:i w:val="0"/>
                <w:iCs w:val="0"/>
                <w:color w:val="333333"/>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2D766">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1.3 算力使用合规性与扶持导向匹配度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A1AD7D">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算力用途清晰、台账完整，全部用于企业自有</w:t>
            </w:r>
            <w:r>
              <w:rPr>
                <w:rStyle w:val="21"/>
                <w:rFonts w:hint="eastAsia" w:ascii="仿宋_GB2312" w:hAnsi="仿宋_GB2312" w:eastAsia="仿宋_GB2312" w:cs="仿宋_GB2312"/>
                <w:sz w:val="18"/>
                <w:szCs w:val="18"/>
                <w:highlight w:val="none"/>
                <w:lang w:val="en-US" w:eastAsia="zh-CN" w:bidi="ar"/>
              </w:rPr>
              <w:t>AI</w:t>
            </w:r>
            <w:r>
              <w:rPr>
                <w:rStyle w:val="22"/>
                <w:rFonts w:hint="eastAsia" w:ascii="仿宋_GB2312" w:hAnsi="仿宋_GB2312" w:eastAsia="仿宋_GB2312" w:cs="仿宋_GB2312"/>
                <w:sz w:val="18"/>
                <w:szCs w:val="18"/>
                <w:highlight w:val="none"/>
                <w:lang w:val="en-US" w:eastAsia="zh-CN" w:bidi="ar"/>
              </w:rPr>
              <w:t>研发、模型训练、智能推理、生产数字化、产业创新，完全符合属地算力产业扶持政策导向</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8DD88">
            <w:pPr>
              <w:jc w:val="both"/>
              <w:rPr>
                <w:rFonts w:hint="eastAsia" w:ascii="仿宋_GB2312" w:hAnsi="仿宋_GB2312" w:eastAsia="仿宋_GB2312" w:cs="仿宋_GB2312"/>
                <w:i w:val="0"/>
                <w:iCs w:val="0"/>
                <w:color w:val="333333"/>
                <w:sz w:val="18"/>
                <w:szCs w:val="18"/>
                <w:highlight w:val="none"/>
                <w:u w:val="none"/>
              </w:rPr>
            </w:pPr>
          </w:p>
        </w:tc>
      </w:tr>
      <w:tr w14:paraId="2222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16DB4">
            <w:pPr>
              <w:keepNext w:val="0"/>
              <w:keepLines w:val="0"/>
              <w:widowControl/>
              <w:suppressLineNumbers w:val="0"/>
              <w:jc w:val="center"/>
              <w:textAlignment w:val="center"/>
              <w:rPr>
                <w:rFonts w:hint="eastAsia" w:ascii="仿宋_GB2312" w:hAnsi="仿宋_GB2312" w:eastAsia="仿宋_GB2312" w:cs="仿宋_GB2312"/>
                <w:b/>
                <w:bCs/>
                <w:i w:val="0"/>
                <w:iCs w:val="0"/>
                <w:color w:val="333333"/>
                <w:sz w:val="18"/>
                <w:szCs w:val="18"/>
                <w:highlight w:val="none"/>
                <w:u w:val="none"/>
              </w:rPr>
            </w:pPr>
            <w:r>
              <w:rPr>
                <w:rFonts w:hint="eastAsia" w:ascii="仿宋_GB2312" w:hAnsi="仿宋_GB2312" w:eastAsia="仿宋_GB2312" w:cs="仿宋_GB2312"/>
                <w:b/>
                <w:bCs/>
                <w:i w:val="0"/>
                <w:iCs w:val="0"/>
                <w:color w:val="333333"/>
                <w:kern w:val="0"/>
                <w:sz w:val="18"/>
                <w:szCs w:val="18"/>
                <w:highlight w:val="none"/>
                <w:u w:val="none"/>
                <w:lang w:val="en-US" w:eastAsia="zh-CN" w:bidi="ar"/>
              </w:rPr>
              <w:t>二、算力应用价值与产业贡献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681B0">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2.1 应用场景成熟度与落地实效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DE613">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应用场景高度成熟，已规模化落地，用于大模型训练、行业智能推理、工业智能制造、数字产业升级等核心场景，有明确业务产出、运行记录、落地成果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8D72E">
            <w:pPr>
              <w:jc w:val="center"/>
              <w:rPr>
                <w:rFonts w:hint="eastAsia" w:ascii="仿宋_GB2312" w:hAnsi="仿宋_GB2312" w:eastAsia="仿宋_GB2312" w:cs="仿宋_GB2312"/>
                <w:i w:val="0"/>
                <w:iCs w:val="0"/>
                <w:color w:val="333333"/>
                <w:sz w:val="18"/>
                <w:szCs w:val="18"/>
                <w:highlight w:val="none"/>
                <w:u w:val="none"/>
              </w:rPr>
            </w:pPr>
          </w:p>
        </w:tc>
      </w:tr>
      <w:tr w14:paraId="20E6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DF1AE">
            <w:pPr>
              <w:jc w:val="center"/>
              <w:rPr>
                <w:rFonts w:hint="eastAsia" w:ascii="仿宋_GB2312" w:hAnsi="仿宋_GB2312" w:eastAsia="仿宋_GB2312" w:cs="仿宋_GB2312"/>
                <w:b/>
                <w:bCs/>
                <w:i w:val="0"/>
                <w:iCs w:val="0"/>
                <w:color w:val="333333"/>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8116F">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2.2 项目创新性与示范可复制性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EF4E0A">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项目具备明显技术创新、模式创新，适配行业数字化痛点，应用模式可复制、可推广，具备行业示范价值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57765">
            <w:pPr>
              <w:jc w:val="center"/>
              <w:rPr>
                <w:rFonts w:hint="eastAsia" w:ascii="仿宋_GB2312" w:hAnsi="仿宋_GB2312" w:eastAsia="仿宋_GB2312" w:cs="仿宋_GB2312"/>
                <w:i w:val="0"/>
                <w:iCs w:val="0"/>
                <w:color w:val="333333"/>
                <w:sz w:val="18"/>
                <w:szCs w:val="18"/>
                <w:highlight w:val="none"/>
                <w:u w:val="none"/>
              </w:rPr>
            </w:pPr>
          </w:p>
        </w:tc>
      </w:tr>
      <w:tr w14:paraId="01EFD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6541C">
            <w:pPr>
              <w:jc w:val="center"/>
              <w:rPr>
                <w:rFonts w:hint="eastAsia" w:ascii="仿宋_GB2312" w:hAnsi="仿宋_GB2312" w:eastAsia="仿宋_GB2312" w:cs="仿宋_GB2312"/>
                <w:b/>
                <w:bCs/>
                <w:i w:val="0"/>
                <w:iCs w:val="0"/>
                <w:color w:val="333333"/>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AB487">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2.3 属地产业带动与生态贡献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C31DF">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能够有效带动属地</w:t>
            </w:r>
            <w:r>
              <w:rPr>
                <w:rStyle w:val="21"/>
                <w:rFonts w:hint="eastAsia" w:ascii="仿宋_GB2312" w:hAnsi="仿宋_GB2312" w:eastAsia="仿宋_GB2312" w:cs="仿宋_GB2312"/>
                <w:sz w:val="18"/>
                <w:szCs w:val="18"/>
                <w:highlight w:val="none"/>
                <w:lang w:val="en-US" w:eastAsia="zh-CN" w:bidi="ar"/>
              </w:rPr>
              <w:t>AI</w:t>
            </w:r>
            <w:r>
              <w:rPr>
                <w:rStyle w:val="22"/>
                <w:rFonts w:hint="eastAsia" w:ascii="仿宋_GB2312" w:hAnsi="仿宋_GB2312" w:eastAsia="仿宋_GB2312" w:cs="仿宋_GB2312"/>
                <w:sz w:val="18"/>
                <w:szCs w:val="18"/>
                <w:highlight w:val="none"/>
                <w:lang w:val="en-US" w:eastAsia="zh-CN" w:bidi="ar"/>
              </w:rPr>
              <w:t>产业、算力产业链发展，助力产业集聚、人才集聚，完善本地算力应用生态，示范引领作用突出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D3EBC">
            <w:pPr>
              <w:jc w:val="center"/>
              <w:rPr>
                <w:rFonts w:hint="eastAsia" w:ascii="仿宋_GB2312" w:hAnsi="仿宋_GB2312" w:eastAsia="仿宋_GB2312" w:cs="仿宋_GB2312"/>
                <w:i w:val="0"/>
                <w:iCs w:val="0"/>
                <w:color w:val="333333"/>
                <w:sz w:val="18"/>
                <w:szCs w:val="18"/>
                <w:highlight w:val="none"/>
                <w:u w:val="none"/>
              </w:rPr>
            </w:pPr>
          </w:p>
        </w:tc>
      </w:tr>
      <w:tr w14:paraId="619AA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4B90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18"/>
                <w:szCs w:val="18"/>
                <w:highlight w:val="none"/>
                <w:u w:val="none"/>
              </w:rPr>
            </w:pPr>
            <w:r>
              <w:rPr>
                <w:rFonts w:hint="eastAsia" w:ascii="仿宋_GB2312" w:hAnsi="仿宋_GB2312" w:eastAsia="仿宋_GB2312" w:cs="仿宋_GB2312"/>
                <w:b/>
                <w:bCs/>
                <w:i w:val="0"/>
                <w:iCs w:val="0"/>
                <w:color w:val="auto"/>
                <w:kern w:val="0"/>
                <w:sz w:val="18"/>
                <w:szCs w:val="18"/>
                <w:highlight w:val="none"/>
                <w:u w:val="none"/>
                <w:lang w:val="en-US" w:eastAsia="zh-CN" w:bidi="ar"/>
              </w:rPr>
              <w:t>三、企业资质与项目实施能力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950A3">
            <w:pPr>
              <w:keepNext w:val="0"/>
              <w:keepLines w:val="0"/>
              <w:widowControl/>
              <w:suppressLineNumbers w:val="0"/>
              <w:jc w:val="left"/>
              <w:textAlignment w:val="center"/>
              <w:rPr>
                <w:rFonts w:hint="eastAsia" w:ascii="仿宋_GB2312" w:hAnsi="仿宋_GB2312" w:eastAsia="仿宋_GB2312" w:cs="仿宋_GB2312"/>
                <w:i w:val="0"/>
                <w:iCs w:val="0"/>
                <w:color w:val="auto"/>
                <w:sz w:val="18"/>
                <w:szCs w:val="18"/>
                <w:highlight w:val="none"/>
                <w:u w:val="none"/>
              </w:rPr>
            </w:pPr>
            <w:r>
              <w:rPr>
                <w:rFonts w:hint="eastAsia" w:ascii="仿宋_GB2312" w:hAnsi="仿宋_GB2312" w:eastAsia="仿宋_GB2312" w:cs="仿宋_GB2312"/>
                <w:i w:val="0"/>
                <w:iCs w:val="0"/>
                <w:color w:val="auto"/>
                <w:kern w:val="0"/>
                <w:sz w:val="18"/>
                <w:szCs w:val="18"/>
                <w:highlight w:val="none"/>
                <w:u w:val="none"/>
                <w:lang w:val="en-US" w:eastAsia="zh-CN" w:bidi="ar"/>
              </w:rPr>
              <w:t>3.1 企业经营状况与信用合规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F0973">
            <w:pPr>
              <w:keepNext w:val="0"/>
              <w:keepLines w:val="0"/>
              <w:widowControl/>
              <w:suppressLineNumbers w:val="0"/>
              <w:jc w:val="left"/>
              <w:textAlignment w:val="center"/>
              <w:rPr>
                <w:rFonts w:hint="eastAsia" w:ascii="仿宋_GB2312" w:hAnsi="仿宋_GB2312" w:eastAsia="仿宋_GB2312" w:cs="仿宋_GB2312"/>
                <w:i w:val="0"/>
                <w:iCs w:val="0"/>
                <w:color w:val="auto"/>
                <w:sz w:val="18"/>
                <w:szCs w:val="18"/>
                <w:highlight w:val="none"/>
                <w:u w:val="none"/>
              </w:rPr>
            </w:pPr>
            <w:r>
              <w:rPr>
                <w:rStyle w:val="22"/>
                <w:rFonts w:hint="eastAsia" w:ascii="仿宋_GB2312" w:hAnsi="仿宋_GB2312" w:eastAsia="仿宋_GB2312" w:cs="仿宋_GB2312"/>
                <w:color w:val="auto"/>
                <w:sz w:val="18"/>
                <w:szCs w:val="18"/>
                <w:highlight w:val="none"/>
                <w:lang w:val="en-US" w:eastAsia="zh-CN" w:bidi="ar"/>
              </w:rPr>
              <w:t>企业经营稳定、纳税正常，信用中国、国家企业信用信息公示系统无失信记录、无行政处罚、无经营异常、无违法违规记录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63781A">
            <w:pPr>
              <w:jc w:val="center"/>
              <w:rPr>
                <w:rFonts w:hint="eastAsia" w:ascii="仿宋_GB2312" w:hAnsi="仿宋_GB2312" w:eastAsia="仿宋_GB2312" w:cs="仿宋_GB2312"/>
                <w:i w:val="0"/>
                <w:iCs w:val="0"/>
                <w:color w:val="auto"/>
                <w:sz w:val="18"/>
                <w:szCs w:val="18"/>
                <w:highlight w:val="none"/>
                <w:u w:val="none"/>
              </w:rPr>
            </w:pPr>
          </w:p>
        </w:tc>
      </w:tr>
      <w:tr w14:paraId="0963C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91BAB">
            <w:pPr>
              <w:jc w:val="center"/>
              <w:rPr>
                <w:rFonts w:hint="eastAsia" w:ascii="仿宋_GB2312" w:hAnsi="仿宋_GB2312" w:eastAsia="仿宋_GB2312" w:cs="仿宋_GB2312"/>
                <w:b/>
                <w:bCs/>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FA059">
            <w:pPr>
              <w:keepNext w:val="0"/>
              <w:keepLines w:val="0"/>
              <w:widowControl/>
              <w:suppressLineNumbers w:val="0"/>
              <w:jc w:val="left"/>
              <w:textAlignment w:val="center"/>
              <w:rPr>
                <w:rFonts w:hint="eastAsia" w:ascii="仿宋_GB2312" w:hAnsi="仿宋_GB2312" w:eastAsia="仿宋_GB2312" w:cs="仿宋_GB2312"/>
                <w:i w:val="0"/>
                <w:iCs w:val="0"/>
                <w:color w:val="auto"/>
                <w:sz w:val="18"/>
                <w:szCs w:val="18"/>
                <w:highlight w:val="none"/>
                <w:u w:val="none"/>
              </w:rPr>
            </w:pPr>
            <w:r>
              <w:rPr>
                <w:rFonts w:hint="eastAsia" w:ascii="仿宋_GB2312" w:hAnsi="仿宋_GB2312" w:eastAsia="仿宋_GB2312" w:cs="仿宋_GB2312"/>
                <w:i w:val="0"/>
                <w:iCs w:val="0"/>
                <w:color w:val="auto"/>
                <w:kern w:val="0"/>
                <w:sz w:val="18"/>
                <w:szCs w:val="18"/>
                <w:highlight w:val="none"/>
                <w:u w:val="none"/>
                <w:lang w:val="en-US" w:eastAsia="zh-CN" w:bidi="ar"/>
              </w:rPr>
              <w:t>3.2 企业优质资质加持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43CEB">
            <w:pPr>
              <w:keepNext w:val="0"/>
              <w:keepLines w:val="0"/>
              <w:widowControl/>
              <w:suppressLineNumbers w:val="0"/>
              <w:jc w:val="left"/>
              <w:textAlignment w:val="center"/>
              <w:rPr>
                <w:rFonts w:hint="eastAsia" w:ascii="仿宋_GB2312" w:hAnsi="仿宋_GB2312" w:eastAsia="仿宋_GB2312" w:cs="仿宋_GB2312"/>
                <w:i w:val="0"/>
                <w:iCs w:val="0"/>
                <w:color w:val="auto"/>
                <w:sz w:val="18"/>
                <w:szCs w:val="18"/>
                <w:highlight w:val="none"/>
                <w:u w:val="none"/>
              </w:rPr>
            </w:pPr>
            <w:r>
              <w:rPr>
                <w:rStyle w:val="22"/>
                <w:rFonts w:hint="eastAsia" w:ascii="仿宋_GB2312" w:hAnsi="仿宋_GB2312" w:eastAsia="仿宋_GB2312" w:cs="仿宋_GB2312"/>
                <w:color w:val="auto"/>
                <w:sz w:val="18"/>
                <w:szCs w:val="18"/>
                <w:highlight w:val="none"/>
                <w:lang w:val="en-US" w:eastAsia="zh-CN" w:bidi="ar"/>
              </w:rPr>
              <w:t>拥有高新技术企业、专精特新（小巨人）、规上工业</w:t>
            </w:r>
            <w:r>
              <w:rPr>
                <w:rStyle w:val="21"/>
                <w:rFonts w:hint="eastAsia" w:ascii="仿宋_GB2312" w:hAnsi="仿宋_GB2312" w:eastAsia="仿宋_GB2312" w:cs="仿宋_GB2312"/>
                <w:color w:val="auto"/>
                <w:sz w:val="18"/>
                <w:szCs w:val="18"/>
                <w:highlight w:val="none"/>
                <w:lang w:val="en-US" w:eastAsia="zh-CN" w:bidi="ar"/>
              </w:rPr>
              <w:t>/</w:t>
            </w:r>
            <w:r>
              <w:rPr>
                <w:rStyle w:val="22"/>
                <w:rFonts w:hint="eastAsia" w:ascii="仿宋_GB2312" w:hAnsi="仿宋_GB2312" w:eastAsia="仿宋_GB2312" w:cs="仿宋_GB2312"/>
                <w:color w:val="auto"/>
                <w:sz w:val="18"/>
                <w:szCs w:val="18"/>
                <w:highlight w:val="none"/>
                <w:lang w:val="en-US" w:eastAsia="zh-CN" w:bidi="ar"/>
              </w:rPr>
              <w:t>服务业企业、算力</w:t>
            </w:r>
            <w:r>
              <w:rPr>
                <w:rStyle w:val="21"/>
                <w:rFonts w:hint="eastAsia" w:ascii="仿宋_GB2312" w:hAnsi="仿宋_GB2312" w:eastAsia="仿宋_GB2312" w:cs="仿宋_GB2312"/>
                <w:color w:val="auto"/>
                <w:sz w:val="18"/>
                <w:szCs w:val="18"/>
                <w:highlight w:val="none"/>
                <w:lang w:val="en-US" w:eastAsia="zh-CN" w:bidi="ar"/>
              </w:rPr>
              <w:t>/AI</w:t>
            </w:r>
            <w:r>
              <w:rPr>
                <w:rStyle w:val="22"/>
                <w:rFonts w:hint="eastAsia" w:ascii="仿宋_GB2312" w:hAnsi="仿宋_GB2312" w:eastAsia="仿宋_GB2312" w:cs="仿宋_GB2312"/>
                <w:color w:val="auto"/>
                <w:sz w:val="18"/>
                <w:szCs w:val="18"/>
                <w:highlight w:val="none"/>
                <w:lang w:val="en-US" w:eastAsia="zh-CN" w:bidi="ar"/>
              </w:rPr>
              <w:t>产业链重点企业、创新型企业等省级及以上优质资质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A6B72">
            <w:pPr>
              <w:jc w:val="center"/>
              <w:rPr>
                <w:rFonts w:hint="eastAsia" w:ascii="仿宋_GB2312" w:hAnsi="仿宋_GB2312" w:eastAsia="仿宋_GB2312" w:cs="仿宋_GB2312"/>
                <w:i w:val="0"/>
                <w:iCs w:val="0"/>
                <w:color w:val="auto"/>
                <w:sz w:val="18"/>
                <w:szCs w:val="18"/>
                <w:highlight w:val="none"/>
                <w:u w:val="none"/>
              </w:rPr>
            </w:pPr>
          </w:p>
        </w:tc>
      </w:tr>
      <w:tr w14:paraId="2E68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0BBC6">
            <w:pPr>
              <w:jc w:val="center"/>
              <w:rPr>
                <w:rFonts w:hint="eastAsia" w:ascii="仿宋_GB2312" w:hAnsi="仿宋_GB2312" w:eastAsia="仿宋_GB2312" w:cs="仿宋_GB2312"/>
                <w:b/>
                <w:bCs/>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46681">
            <w:pPr>
              <w:keepNext w:val="0"/>
              <w:keepLines w:val="0"/>
              <w:widowControl/>
              <w:suppressLineNumbers w:val="0"/>
              <w:jc w:val="left"/>
              <w:textAlignment w:val="center"/>
              <w:rPr>
                <w:rFonts w:hint="eastAsia" w:ascii="仿宋_GB2312" w:hAnsi="仿宋_GB2312" w:eastAsia="仿宋_GB2312" w:cs="仿宋_GB2312"/>
                <w:i w:val="0"/>
                <w:iCs w:val="0"/>
                <w:color w:val="auto"/>
                <w:sz w:val="18"/>
                <w:szCs w:val="18"/>
                <w:highlight w:val="none"/>
                <w:u w:val="none"/>
              </w:rPr>
            </w:pPr>
            <w:r>
              <w:rPr>
                <w:rFonts w:hint="eastAsia" w:ascii="仿宋_GB2312" w:hAnsi="仿宋_GB2312" w:eastAsia="仿宋_GB2312" w:cs="仿宋_GB2312"/>
                <w:i w:val="0"/>
                <w:iCs w:val="0"/>
                <w:color w:val="auto"/>
                <w:kern w:val="0"/>
                <w:sz w:val="18"/>
                <w:szCs w:val="18"/>
                <w:highlight w:val="none"/>
                <w:u w:val="none"/>
                <w:lang w:val="en-US" w:eastAsia="zh-CN" w:bidi="ar"/>
              </w:rPr>
              <w:t>3.3 研发团队与落地保障能力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6F964">
            <w:pPr>
              <w:keepNext w:val="0"/>
              <w:keepLines w:val="0"/>
              <w:widowControl/>
              <w:suppressLineNumbers w:val="0"/>
              <w:jc w:val="left"/>
              <w:textAlignment w:val="center"/>
              <w:rPr>
                <w:rFonts w:hint="eastAsia" w:ascii="仿宋_GB2312" w:hAnsi="仿宋_GB2312" w:eastAsia="仿宋_GB2312" w:cs="仿宋_GB2312"/>
                <w:i w:val="0"/>
                <w:iCs w:val="0"/>
                <w:color w:val="auto"/>
                <w:sz w:val="18"/>
                <w:szCs w:val="18"/>
                <w:highlight w:val="none"/>
                <w:u w:val="none"/>
              </w:rPr>
            </w:pPr>
            <w:r>
              <w:rPr>
                <w:rStyle w:val="22"/>
                <w:rFonts w:hint="eastAsia" w:ascii="仿宋_GB2312" w:hAnsi="仿宋_GB2312" w:eastAsia="仿宋_GB2312" w:cs="仿宋_GB2312"/>
                <w:color w:val="auto"/>
                <w:sz w:val="18"/>
                <w:szCs w:val="18"/>
                <w:highlight w:val="none"/>
                <w:lang w:val="en-US" w:eastAsia="zh-CN" w:bidi="ar"/>
              </w:rPr>
              <w:t>拥有稳定专职</w:t>
            </w:r>
            <w:r>
              <w:rPr>
                <w:rStyle w:val="21"/>
                <w:rFonts w:hint="eastAsia" w:ascii="仿宋_GB2312" w:hAnsi="仿宋_GB2312" w:eastAsia="仿宋_GB2312" w:cs="仿宋_GB2312"/>
                <w:color w:val="auto"/>
                <w:sz w:val="18"/>
                <w:szCs w:val="18"/>
                <w:highlight w:val="none"/>
                <w:lang w:val="en-US" w:eastAsia="zh-CN" w:bidi="ar"/>
              </w:rPr>
              <w:t>AI/</w:t>
            </w:r>
            <w:r>
              <w:rPr>
                <w:rStyle w:val="22"/>
                <w:rFonts w:hint="eastAsia" w:ascii="仿宋_GB2312" w:hAnsi="仿宋_GB2312" w:eastAsia="仿宋_GB2312" w:cs="仿宋_GB2312"/>
                <w:color w:val="auto"/>
                <w:sz w:val="18"/>
                <w:szCs w:val="18"/>
                <w:highlight w:val="none"/>
                <w:lang w:val="en-US" w:eastAsia="zh-CN" w:bidi="ar"/>
              </w:rPr>
              <w:t>数字化研发团队，人员配置充足，项目实施方案完善、进度清晰、保障措施到位，落地可行性极强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28312">
            <w:pPr>
              <w:jc w:val="center"/>
              <w:rPr>
                <w:rFonts w:hint="eastAsia" w:ascii="仿宋_GB2312" w:hAnsi="仿宋_GB2312" w:eastAsia="仿宋_GB2312" w:cs="仿宋_GB2312"/>
                <w:i w:val="0"/>
                <w:iCs w:val="0"/>
                <w:color w:val="auto"/>
                <w:sz w:val="18"/>
                <w:szCs w:val="18"/>
                <w:highlight w:val="none"/>
                <w:u w:val="none"/>
              </w:rPr>
            </w:pPr>
          </w:p>
        </w:tc>
      </w:tr>
      <w:tr w14:paraId="1CC6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CA123">
            <w:pPr>
              <w:keepNext w:val="0"/>
              <w:keepLines w:val="0"/>
              <w:widowControl/>
              <w:suppressLineNumbers w:val="0"/>
              <w:jc w:val="center"/>
              <w:textAlignment w:val="center"/>
              <w:rPr>
                <w:rFonts w:hint="eastAsia" w:ascii="仿宋_GB2312" w:hAnsi="仿宋_GB2312" w:eastAsia="仿宋_GB2312" w:cs="仿宋_GB2312"/>
                <w:b/>
                <w:bCs/>
                <w:i w:val="0"/>
                <w:iCs w:val="0"/>
                <w:color w:val="333333"/>
                <w:sz w:val="18"/>
                <w:szCs w:val="18"/>
                <w:highlight w:val="none"/>
                <w:u w:val="none"/>
              </w:rPr>
            </w:pPr>
            <w:r>
              <w:rPr>
                <w:rFonts w:hint="eastAsia" w:ascii="仿宋_GB2312" w:hAnsi="仿宋_GB2312" w:eastAsia="仿宋_GB2312" w:cs="仿宋_GB2312"/>
                <w:b/>
                <w:bCs/>
                <w:i w:val="0"/>
                <w:iCs w:val="0"/>
                <w:color w:val="333333"/>
                <w:kern w:val="0"/>
                <w:sz w:val="18"/>
                <w:szCs w:val="18"/>
                <w:highlight w:val="none"/>
                <w:u w:val="none"/>
                <w:lang w:val="en-US" w:eastAsia="zh-CN" w:bidi="ar"/>
              </w:rPr>
              <w:t>四、算力集约高效与绿色低碳水平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1C0D7">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4.1 算力调度合理性与资源利用率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C3D32D">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算力调度科学合理，</w:t>
            </w:r>
            <w:r>
              <w:rPr>
                <w:rStyle w:val="21"/>
                <w:rFonts w:hint="eastAsia" w:ascii="仿宋_GB2312" w:hAnsi="仿宋_GB2312" w:eastAsia="仿宋_GB2312" w:cs="仿宋_GB2312"/>
                <w:sz w:val="18"/>
                <w:szCs w:val="18"/>
                <w:highlight w:val="none"/>
                <w:lang w:val="en-US" w:eastAsia="zh-CN" w:bidi="ar"/>
              </w:rPr>
              <w:t>GPU/</w:t>
            </w:r>
            <w:r>
              <w:rPr>
                <w:rStyle w:val="22"/>
                <w:rFonts w:hint="eastAsia" w:ascii="仿宋_GB2312" w:hAnsi="仿宋_GB2312" w:eastAsia="仿宋_GB2312" w:cs="仿宋_GB2312"/>
                <w:sz w:val="18"/>
                <w:szCs w:val="18"/>
                <w:highlight w:val="none"/>
                <w:lang w:val="en-US" w:eastAsia="zh-CN" w:bidi="ar"/>
              </w:rPr>
              <w:t>智能算力利用率高，无长期闲置、空跑浪费情况，算力资源与业务需求精准匹配</w:t>
            </w:r>
            <w:r>
              <w:rPr>
                <w:rStyle w:val="22"/>
                <w:rFonts w:hint="eastAsia" w:ascii="仿宋_GB2312" w:hAnsi="仿宋_GB2312" w:eastAsia="仿宋_GB2312" w:cs="仿宋_GB2312"/>
                <w:sz w:val="18"/>
                <w:szCs w:val="18"/>
                <w:highlight w:val="none"/>
                <w:lang w:val="en-US" w:eastAsia="zh-CN" w:bidi="ar"/>
              </w:rPr>
              <w:br w:type="textWrapp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39112">
            <w:pPr>
              <w:keepNext w:val="0"/>
              <w:keepLines w:val="0"/>
              <w:widowControl/>
              <w:suppressLineNumbers w:val="0"/>
              <w:jc w:val="center"/>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重点考察申报方对不同架构下算力资源的适配和优化程度，优先支持在算子性能调优、训练推理速度、资源利用率和稳定性等方面技术积累扎实的项目；对于在同等算力规模下展现出更高资源利用效率、更低迁移成本及更强生态兼容能力的方案，予以分值倾斜。</w:t>
            </w:r>
          </w:p>
        </w:tc>
      </w:tr>
      <w:tr w14:paraId="6C21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54B0B">
            <w:pPr>
              <w:jc w:val="center"/>
              <w:rPr>
                <w:rFonts w:hint="eastAsia" w:ascii="仿宋_GB2312" w:hAnsi="仿宋_GB2312" w:eastAsia="仿宋_GB2312" w:cs="仿宋_GB2312"/>
                <w:b/>
                <w:bCs/>
                <w:i w:val="0"/>
                <w:iCs w:val="0"/>
                <w:color w:val="333333"/>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56687">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4.2 绿色集约与能效管控水平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E89F8">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Style w:val="22"/>
                <w:rFonts w:hint="eastAsia" w:ascii="仿宋_GB2312" w:hAnsi="仿宋_GB2312" w:eastAsia="仿宋_GB2312" w:cs="仿宋_GB2312"/>
                <w:sz w:val="18"/>
                <w:szCs w:val="18"/>
                <w:highlight w:val="none"/>
                <w:lang w:val="en-US" w:eastAsia="zh-CN" w:bidi="ar"/>
              </w:rPr>
              <w:t>严格遵循绿色算力、集约利用原则，接入政府算力调度平台，能效管控规范，资源可复用性强，</w:t>
            </w:r>
            <w:r>
              <w:rPr>
                <w:rStyle w:val="21"/>
                <w:rFonts w:hint="eastAsia" w:ascii="仿宋_GB2312" w:hAnsi="仿宋_GB2312" w:eastAsia="仿宋_GB2312" w:cs="仿宋_GB2312"/>
                <w:sz w:val="18"/>
                <w:szCs w:val="18"/>
                <w:highlight w:val="none"/>
                <w:lang w:val="en-US" w:eastAsia="zh-CN" w:bidi="ar"/>
              </w:rPr>
              <w:t>PUE</w:t>
            </w:r>
            <w:r>
              <w:rPr>
                <w:rStyle w:val="22"/>
                <w:rFonts w:hint="eastAsia" w:ascii="仿宋_GB2312" w:hAnsi="仿宋_GB2312" w:eastAsia="仿宋_GB2312" w:cs="仿宋_GB2312"/>
                <w:sz w:val="18"/>
                <w:szCs w:val="18"/>
                <w:highlight w:val="none"/>
                <w:lang w:val="en-US" w:eastAsia="zh-CN" w:bidi="ar"/>
              </w:rPr>
              <w:t>、能耗管控符合行业标准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1AF77">
            <w:pPr>
              <w:jc w:val="center"/>
              <w:rPr>
                <w:rFonts w:hint="eastAsia" w:ascii="仿宋_GB2312" w:hAnsi="仿宋_GB2312" w:eastAsia="仿宋_GB2312" w:cs="仿宋_GB2312"/>
                <w:i w:val="0"/>
                <w:iCs w:val="0"/>
                <w:color w:val="333333"/>
                <w:sz w:val="18"/>
                <w:szCs w:val="18"/>
                <w:highlight w:val="none"/>
                <w:u w:val="none"/>
              </w:rPr>
            </w:pPr>
          </w:p>
        </w:tc>
      </w:tr>
      <w:tr w14:paraId="41A8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F0561">
            <w:pPr>
              <w:keepNext w:val="0"/>
              <w:keepLines w:val="0"/>
              <w:widowControl/>
              <w:suppressLineNumbers w:val="0"/>
              <w:jc w:val="center"/>
              <w:textAlignment w:val="center"/>
              <w:rPr>
                <w:rFonts w:hint="eastAsia" w:ascii="仿宋_GB2312" w:hAnsi="仿宋_GB2312" w:eastAsia="仿宋_GB2312" w:cs="仿宋_GB2312"/>
                <w:b/>
                <w:bCs/>
                <w:i w:val="0"/>
                <w:iCs w:val="0"/>
                <w:color w:val="333333"/>
                <w:sz w:val="18"/>
                <w:szCs w:val="18"/>
                <w:highlight w:val="none"/>
                <w:u w:val="none"/>
              </w:rPr>
            </w:pPr>
            <w:r>
              <w:rPr>
                <w:rFonts w:hint="eastAsia" w:ascii="仿宋_GB2312" w:hAnsi="仿宋_GB2312" w:eastAsia="仿宋_GB2312" w:cs="仿宋_GB2312"/>
                <w:b/>
                <w:bCs/>
                <w:i w:val="0"/>
                <w:iCs w:val="0"/>
                <w:color w:val="333333"/>
                <w:kern w:val="0"/>
                <w:sz w:val="18"/>
                <w:szCs w:val="18"/>
                <w:highlight w:val="none"/>
                <w:u w:val="none"/>
                <w:lang w:val="en-US" w:eastAsia="zh-CN" w:bidi="ar"/>
              </w:rPr>
              <w:t>五、专项合议加分项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6DA27">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加分项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5F8D4">
            <w:pPr>
              <w:keepNext w:val="0"/>
              <w:keepLines w:val="0"/>
              <w:widowControl/>
              <w:suppressLineNumbers w:val="0"/>
              <w:jc w:val="left"/>
              <w:textAlignment w:val="center"/>
              <w:rPr>
                <w:rFonts w:hint="eastAsia" w:ascii="仿宋_GB2312" w:hAnsi="仿宋_GB2312" w:eastAsia="仿宋_GB2312" w:cs="仿宋_GB2312"/>
                <w:i w:val="0"/>
                <w:iCs w:val="0"/>
                <w:color w:val="333333"/>
                <w:sz w:val="18"/>
                <w:szCs w:val="18"/>
                <w:highlight w:val="none"/>
                <w:u w:val="none"/>
              </w:rPr>
            </w:pPr>
            <w:r>
              <w:rPr>
                <w:rFonts w:hint="eastAsia" w:ascii="仿宋_GB2312" w:hAnsi="仿宋_GB2312" w:eastAsia="仿宋_GB2312" w:cs="仿宋_GB2312"/>
                <w:i w:val="0"/>
                <w:iCs w:val="0"/>
                <w:color w:val="333333"/>
                <w:kern w:val="0"/>
                <w:sz w:val="18"/>
                <w:szCs w:val="18"/>
                <w:highlight w:val="none"/>
                <w:u w:val="none"/>
                <w:lang w:val="en-US" w:eastAsia="zh-CN" w:bidi="ar"/>
              </w:rPr>
              <w:t>1.纳入省市重点产业链项目、重大算力配套工程项目、政府重点培育AI项目</w:t>
            </w:r>
            <w:r>
              <w:rPr>
                <w:rFonts w:hint="eastAsia" w:ascii="仿宋_GB2312" w:hAnsi="仿宋_GB2312" w:eastAsia="仿宋_GB2312" w:cs="仿宋_GB2312"/>
                <w:i w:val="0"/>
                <w:iCs w:val="0"/>
                <w:color w:val="333333"/>
                <w:kern w:val="0"/>
                <w:sz w:val="18"/>
                <w:szCs w:val="18"/>
                <w:highlight w:val="none"/>
                <w:u w:val="none"/>
                <w:lang w:val="en-US" w:eastAsia="zh-CN" w:bidi="ar"/>
              </w:rPr>
              <w:br w:type="textWrapping"/>
            </w:r>
            <w:r>
              <w:rPr>
                <w:rFonts w:hint="eastAsia" w:ascii="仿宋_GB2312" w:hAnsi="仿宋_GB2312" w:eastAsia="仿宋_GB2312" w:cs="仿宋_GB2312"/>
                <w:i w:val="0"/>
                <w:iCs w:val="0"/>
                <w:color w:val="333333"/>
                <w:kern w:val="0"/>
                <w:sz w:val="18"/>
                <w:szCs w:val="18"/>
                <w:highlight w:val="none"/>
                <w:u w:val="none"/>
                <w:lang w:val="en-US" w:eastAsia="zh-CN" w:bidi="ar"/>
              </w:rPr>
              <w:t>2.获评各级数字化、算力产业标杆示范项目、优秀创新案例</w:t>
            </w:r>
            <w:r>
              <w:rPr>
                <w:rFonts w:hint="eastAsia" w:ascii="仿宋_GB2312" w:hAnsi="仿宋_GB2312" w:eastAsia="仿宋_GB2312" w:cs="仿宋_GB2312"/>
                <w:i w:val="0"/>
                <w:iCs w:val="0"/>
                <w:color w:val="333333"/>
                <w:kern w:val="0"/>
                <w:sz w:val="18"/>
                <w:szCs w:val="18"/>
                <w:highlight w:val="none"/>
                <w:u w:val="none"/>
                <w:lang w:val="en-US" w:eastAsia="zh-CN" w:bidi="ar"/>
              </w:rPr>
              <w:br w:type="textWrapping"/>
            </w:r>
            <w:r>
              <w:rPr>
                <w:rFonts w:hint="eastAsia" w:ascii="仿宋_GB2312" w:hAnsi="仿宋_GB2312" w:eastAsia="仿宋_GB2312" w:cs="仿宋_GB2312"/>
                <w:i w:val="0"/>
                <w:iCs w:val="0"/>
                <w:color w:val="333333"/>
                <w:kern w:val="0"/>
                <w:sz w:val="18"/>
                <w:szCs w:val="18"/>
                <w:highlight w:val="none"/>
                <w:u w:val="none"/>
                <w:lang w:val="en-US" w:eastAsia="zh-CN" w:bidi="ar"/>
              </w:rPr>
              <w:t>自研模型、核心算法、行业算力应用成果突出，具备高行业价值</w:t>
            </w:r>
            <w:r>
              <w:rPr>
                <w:rFonts w:hint="eastAsia" w:ascii="仿宋_GB2312" w:hAnsi="仿宋_GB2312" w:eastAsia="仿宋_GB2312" w:cs="仿宋_GB2312"/>
                <w:i w:val="0"/>
                <w:iCs w:val="0"/>
                <w:color w:val="333333"/>
                <w:kern w:val="0"/>
                <w:sz w:val="18"/>
                <w:szCs w:val="18"/>
                <w:highlight w:val="none"/>
                <w:u w:val="none"/>
                <w:lang w:val="en-US" w:eastAsia="zh-CN" w:bidi="ar"/>
              </w:rPr>
              <w:br w:type="textWrapping"/>
            </w:r>
            <w:r>
              <w:rPr>
                <w:rFonts w:hint="eastAsia" w:ascii="仿宋_GB2312" w:hAnsi="仿宋_GB2312" w:eastAsia="仿宋_GB2312" w:cs="仿宋_GB2312"/>
                <w:i w:val="0"/>
                <w:iCs w:val="0"/>
                <w:color w:val="333333"/>
                <w:kern w:val="0"/>
                <w:sz w:val="18"/>
                <w:szCs w:val="18"/>
                <w:highlight w:val="none"/>
                <w:u w:val="none"/>
                <w:lang w:val="en-US" w:eastAsia="zh-CN" w:bidi="ar"/>
              </w:rPr>
              <w:t>3.首次落地属地规模化算力应用、填补本地产业应用空白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6A3F8">
            <w:pPr>
              <w:keepNext w:val="0"/>
              <w:keepLines w:val="0"/>
              <w:widowControl/>
              <w:suppressLineNumbers w:val="0"/>
              <w:jc w:val="center"/>
              <w:textAlignment w:val="center"/>
              <w:rPr>
                <w:rFonts w:hint="eastAsia" w:ascii="仿宋_GB2312" w:hAnsi="仿宋_GB2312" w:eastAsia="仿宋_GB2312" w:cs="仿宋_GB2312"/>
                <w:i w:val="0"/>
                <w:iCs w:val="0"/>
                <w:color w:val="333333"/>
                <w:sz w:val="18"/>
                <w:szCs w:val="18"/>
                <w:highlight w:val="none"/>
                <w:u w:val="none"/>
              </w:rPr>
            </w:pPr>
          </w:p>
        </w:tc>
      </w:tr>
    </w:tbl>
    <w:p w14:paraId="3BB390D8">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国标黑体-GB/T 2312" w:hAnsi="国标黑体-GB/T 2312" w:eastAsia="国标黑体-GB/T 2312" w:cs="国标黑体-GB/T 2312"/>
          <w:color w:val="auto"/>
          <w:kern w:val="2"/>
          <w:sz w:val="32"/>
          <w:szCs w:val="32"/>
          <w:highlight w:val="none"/>
          <w:lang w:val="en-US" w:eastAsia="zh-CN" w:bidi="ar-SA"/>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modern"/>
    <w:pitch w:val="default"/>
    <w:sig w:usb0="00000001" w:usb1="080E0000" w:usb2="00000000" w:usb3="00000000" w:csb0="00040000" w:csb1="00000000"/>
  </w:font>
  <w:font w:name="微软雅黑">
    <w:altName w:val="Droid Sans Fallback"/>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CESI仿宋-GB2312">
    <w:panose1 w:val="02000500000000000000"/>
    <w:charset w:val="86"/>
    <w:family w:val="auto"/>
    <w:pitch w:val="default"/>
    <w:sig w:usb0="800002AF" w:usb1="084F6CF8" w:usb2="00000010" w:usb3="00000000" w:csb0="0004000F" w:csb1="00000000"/>
  </w:font>
  <w:font w:name="华文楷体">
    <w:panose1 w:val="02010600040101010101"/>
    <w:charset w:val="86"/>
    <w:family w:val="auto"/>
    <w:pitch w:val="default"/>
    <w:sig w:usb0="00000287" w:usb1="080F0000" w:usb2="00000000" w:usb3="00000000" w:csb0="0004009F" w:csb1="DFD70000"/>
  </w:font>
  <w:font w:name="仿宋">
    <w:altName w:val="仿宋_GB2312"/>
    <w:panose1 w:val="02010609060101010101"/>
    <w:charset w:val="86"/>
    <w:family w:val="auto"/>
    <w:pitch w:val="default"/>
    <w:sig w:usb0="00000000" w:usb1="00000000" w:usb2="00000016" w:usb3="00000000" w:csb0="00040001" w:csb1="00000000"/>
  </w:font>
  <w:font w:name="国标黑体-GB/T 2312">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2D7D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D115E">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BD115E">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84207"/>
    <w:rsid w:val="0455059A"/>
    <w:rsid w:val="0AB8556E"/>
    <w:rsid w:val="0C2E3359"/>
    <w:rsid w:val="19B6E7BF"/>
    <w:rsid w:val="1A7606F3"/>
    <w:rsid w:val="1B5FBF99"/>
    <w:rsid w:val="1BA79CDC"/>
    <w:rsid w:val="1D8965DF"/>
    <w:rsid w:val="1F6706ED"/>
    <w:rsid w:val="1FED819C"/>
    <w:rsid w:val="277D9957"/>
    <w:rsid w:val="27EE6D51"/>
    <w:rsid w:val="293C03A1"/>
    <w:rsid w:val="295F4AB9"/>
    <w:rsid w:val="2A2B5644"/>
    <w:rsid w:val="2BB94533"/>
    <w:rsid w:val="2F99C37D"/>
    <w:rsid w:val="367D4FF9"/>
    <w:rsid w:val="36D154B9"/>
    <w:rsid w:val="37DE3C9F"/>
    <w:rsid w:val="37FC7824"/>
    <w:rsid w:val="39E38617"/>
    <w:rsid w:val="39FD5F33"/>
    <w:rsid w:val="3A5402D2"/>
    <w:rsid w:val="3B7E465F"/>
    <w:rsid w:val="3B7F5941"/>
    <w:rsid w:val="3BDE13E8"/>
    <w:rsid w:val="3BEBC578"/>
    <w:rsid w:val="3D5FD812"/>
    <w:rsid w:val="3EBE72C0"/>
    <w:rsid w:val="3F3F54AD"/>
    <w:rsid w:val="3F8D54A2"/>
    <w:rsid w:val="3F9D8EE0"/>
    <w:rsid w:val="3FDEF73E"/>
    <w:rsid w:val="3FF7E75F"/>
    <w:rsid w:val="43E07956"/>
    <w:rsid w:val="46483E01"/>
    <w:rsid w:val="49B74D2D"/>
    <w:rsid w:val="49EF62D7"/>
    <w:rsid w:val="4E3C16B9"/>
    <w:rsid w:val="4E7C165B"/>
    <w:rsid w:val="4EEF3E79"/>
    <w:rsid w:val="4F7A8014"/>
    <w:rsid w:val="4FFFCEBB"/>
    <w:rsid w:val="508F6E38"/>
    <w:rsid w:val="52FFA69D"/>
    <w:rsid w:val="56D645BC"/>
    <w:rsid w:val="56F6563D"/>
    <w:rsid w:val="57F77D5E"/>
    <w:rsid w:val="5A2D03CA"/>
    <w:rsid w:val="5BF7EAB0"/>
    <w:rsid w:val="5CF43DA1"/>
    <w:rsid w:val="5D79399F"/>
    <w:rsid w:val="5DF748C4"/>
    <w:rsid w:val="5DFFFEB0"/>
    <w:rsid w:val="5E8CF660"/>
    <w:rsid w:val="5EA038B2"/>
    <w:rsid w:val="5EFF07BD"/>
    <w:rsid w:val="5F2526AD"/>
    <w:rsid w:val="5F78AAFB"/>
    <w:rsid w:val="5F942D12"/>
    <w:rsid w:val="5FBE9B08"/>
    <w:rsid w:val="5FDC2F30"/>
    <w:rsid w:val="5FF78B9E"/>
    <w:rsid w:val="5FFE2E6F"/>
    <w:rsid w:val="5FFE3534"/>
    <w:rsid w:val="5FFFF88F"/>
    <w:rsid w:val="631F74BC"/>
    <w:rsid w:val="63E9680E"/>
    <w:rsid w:val="67BC452E"/>
    <w:rsid w:val="67EFD2F1"/>
    <w:rsid w:val="683C02AC"/>
    <w:rsid w:val="6B2F9C3E"/>
    <w:rsid w:val="6E125199"/>
    <w:rsid w:val="6EB7CCBF"/>
    <w:rsid w:val="6FBE933B"/>
    <w:rsid w:val="6FBFDE40"/>
    <w:rsid w:val="6FF7E679"/>
    <w:rsid w:val="72992026"/>
    <w:rsid w:val="72F90170"/>
    <w:rsid w:val="72FE7215"/>
    <w:rsid w:val="736DC0EF"/>
    <w:rsid w:val="76BE9F9C"/>
    <w:rsid w:val="76F5AB6F"/>
    <w:rsid w:val="7775C95F"/>
    <w:rsid w:val="77872C35"/>
    <w:rsid w:val="77FE67C0"/>
    <w:rsid w:val="78FF21B6"/>
    <w:rsid w:val="79EE46B1"/>
    <w:rsid w:val="79EED6AF"/>
    <w:rsid w:val="7ABF9165"/>
    <w:rsid w:val="7AD85D51"/>
    <w:rsid w:val="7BDC49E7"/>
    <w:rsid w:val="7BDD9167"/>
    <w:rsid w:val="7BFD5E74"/>
    <w:rsid w:val="7C7EECF1"/>
    <w:rsid w:val="7C93E4F4"/>
    <w:rsid w:val="7D8EEADD"/>
    <w:rsid w:val="7DAF0189"/>
    <w:rsid w:val="7DBE72CD"/>
    <w:rsid w:val="7E2FC56A"/>
    <w:rsid w:val="7F5D406C"/>
    <w:rsid w:val="7F6892CD"/>
    <w:rsid w:val="7F6BBF37"/>
    <w:rsid w:val="7F75BF0B"/>
    <w:rsid w:val="7F7F5E58"/>
    <w:rsid w:val="7FCAE10B"/>
    <w:rsid w:val="7FDA1BEF"/>
    <w:rsid w:val="7FDF5309"/>
    <w:rsid w:val="7FF59BBD"/>
    <w:rsid w:val="7FF79A01"/>
    <w:rsid w:val="7FFD98BE"/>
    <w:rsid w:val="8FAFEFEF"/>
    <w:rsid w:val="A1FD947C"/>
    <w:rsid w:val="A3E7464E"/>
    <w:rsid w:val="A6EF399B"/>
    <w:rsid w:val="AF7B7952"/>
    <w:rsid w:val="AF9F8FCA"/>
    <w:rsid w:val="B7DF0942"/>
    <w:rsid w:val="B8EB41BC"/>
    <w:rsid w:val="BD7DC420"/>
    <w:rsid w:val="BDBF6396"/>
    <w:rsid w:val="BE489A38"/>
    <w:rsid w:val="BEFD7B84"/>
    <w:rsid w:val="BF5FDB2E"/>
    <w:rsid w:val="C2F50BC2"/>
    <w:rsid w:val="C4779D79"/>
    <w:rsid w:val="C6EF96BF"/>
    <w:rsid w:val="CDAFB7F2"/>
    <w:rsid w:val="CEF16418"/>
    <w:rsid w:val="CFC547A0"/>
    <w:rsid w:val="D97FD55E"/>
    <w:rsid w:val="DCFAAB5D"/>
    <w:rsid w:val="DD0F2569"/>
    <w:rsid w:val="DD9FEC49"/>
    <w:rsid w:val="DDBEE8D0"/>
    <w:rsid w:val="DDECA757"/>
    <w:rsid w:val="DEE76DF9"/>
    <w:rsid w:val="DEFDC46F"/>
    <w:rsid w:val="DF7F9847"/>
    <w:rsid w:val="DFB3786F"/>
    <w:rsid w:val="E2FFFB61"/>
    <w:rsid w:val="E3FF4463"/>
    <w:rsid w:val="E96F863A"/>
    <w:rsid w:val="EEC871C7"/>
    <w:rsid w:val="EF7F672B"/>
    <w:rsid w:val="EFCEDB15"/>
    <w:rsid w:val="EFFFA2D8"/>
    <w:rsid w:val="F1C97B8E"/>
    <w:rsid w:val="F297A4D4"/>
    <w:rsid w:val="F35F078F"/>
    <w:rsid w:val="F63FC22D"/>
    <w:rsid w:val="F6A18827"/>
    <w:rsid w:val="F73BC0E3"/>
    <w:rsid w:val="F74DA2EE"/>
    <w:rsid w:val="F76FB5D7"/>
    <w:rsid w:val="F7BFA59C"/>
    <w:rsid w:val="F7FBBD65"/>
    <w:rsid w:val="FB4ED248"/>
    <w:rsid w:val="FBB6C733"/>
    <w:rsid w:val="FBF7BB84"/>
    <w:rsid w:val="FBF87B06"/>
    <w:rsid w:val="FC6F236E"/>
    <w:rsid w:val="FD1752FB"/>
    <w:rsid w:val="FDFB112D"/>
    <w:rsid w:val="FDFE34C6"/>
    <w:rsid w:val="FEBF1651"/>
    <w:rsid w:val="FEE5CBF6"/>
    <w:rsid w:val="FEEFB4F8"/>
    <w:rsid w:val="FEFB4F67"/>
    <w:rsid w:val="FF1DD433"/>
    <w:rsid w:val="FF56486A"/>
    <w:rsid w:val="FF9FD0D8"/>
    <w:rsid w:val="FFB7806A"/>
    <w:rsid w:val="FFDDF856"/>
    <w:rsid w:val="FFDF18CF"/>
    <w:rsid w:val="FFF4C521"/>
    <w:rsid w:val="FFFD9611"/>
    <w:rsid w:val="FFFF4FF6"/>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rFonts w:ascii="Times New Roman" w:hAnsi="Times New Roman" w:eastAsia="宋体" w:cs="Times New Roman"/>
    </w:rPr>
  </w:style>
  <w:style w:type="paragraph" w:styleId="5">
    <w:name w:val="Body Text"/>
    <w:basedOn w:val="1"/>
    <w:next w:val="6"/>
    <w:qFormat/>
    <w:uiPriority w:val="1"/>
    <w:pPr>
      <w:ind w:left="138"/>
      <w:jc w:val="left"/>
    </w:pPr>
    <w:rPr>
      <w:rFonts w:ascii="宋体" w:hAnsi="宋体"/>
      <w:kern w:val="0"/>
      <w:sz w:val="24"/>
      <w:lang w:eastAsia="en-US"/>
    </w:rPr>
  </w:style>
  <w:style w:type="paragraph" w:styleId="6">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7">
    <w:name w:val="footer"/>
    <w:basedOn w:val="1"/>
    <w:next w:val="8"/>
    <w:qFormat/>
    <w:uiPriority w:val="0"/>
    <w:pPr>
      <w:snapToGrid w:val="0"/>
      <w:jc w:val="left"/>
    </w:pPr>
    <w:rPr>
      <w:sz w:val="18"/>
      <w:szCs w:val="18"/>
    </w:rPr>
  </w:style>
  <w:style w:type="paragraph" w:customStyle="1" w:styleId="8">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3">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4">
    <w:name w:val="纯文本1"/>
    <w:basedOn w:val="1"/>
    <w:qFormat/>
    <w:uiPriority w:val="0"/>
    <w:rPr>
      <w:rFonts w:ascii="宋体" w:hAnsi="Courier New" w:eastAsia="宋体" w:cs="Courier New"/>
    </w:rPr>
  </w:style>
  <w:style w:type="paragraph" w:customStyle="1" w:styleId="15">
    <w:name w:val="正文_0"/>
    <w:next w:val="5"/>
    <w:qFormat/>
    <w:uiPriority w:val="0"/>
    <w:pPr>
      <w:widowControl w:val="0"/>
      <w:jc w:val="both"/>
    </w:pPr>
    <w:rPr>
      <w:rFonts w:ascii="Calibri" w:hAnsi="Calibri" w:eastAsia="宋体" w:cs="Times New Roman"/>
      <w:kern w:val="2"/>
      <w:sz w:val="21"/>
      <w:szCs w:val="24"/>
      <w:lang w:val="en-US" w:eastAsia="zh-CN" w:bidi="ar-SA"/>
    </w:rPr>
  </w:style>
  <w:style w:type="table" w:customStyle="1" w:styleId="16">
    <w:name w:val="网格型1"/>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font11"/>
    <w:basedOn w:val="12"/>
    <w:qFormat/>
    <w:uiPriority w:val="0"/>
    <w:rPr>
      <w:rFonts w:hint="default" w:ascii="DejaVu Sans" w:hAnsi="DejaVu Sans" w:eastAsia="DejaVu Sans" w:cs="DejaVu Sans"/>
      <w:b/>
      <w:bCs/>
      <w:color w:val="FFFFFF"/>
      <w:sz w:val="28"/>
      <w:szCs w:val="28"/>
      <w:u w:val="none"/>
    </w:rPr>
  </w:style>
  <w:style w:type="character" w:customStyle="1" w:styleId="18">
    <w:name w:val="font81"/>
    <w:basedOn w:val="12"/>
    <w:qFormat/>
    <w:uiPriority w:val="0"/>
    <w:rPr>
      <w:rFonts w:ascii="微软雅黑" w:hAnsi="微软雅黑" w:eastAsia="微软雅黑" w:cs="微软雅黑"/>
      <w:b/>
      <w:bCs/>
      <w:color w:val="FFFFFF"/>
      <w:sz w:val="28"/>
      <w:szCs w:val="28"/>
      <w:u w:val="none"/>
    </w:rPr>
  </w:style>
  <w:style w:type="character" w:customStyle="1" w:styleId="19">
    <w:name w:val="font41"/>
    <w:basedOn w:val="12"/>
    <w:qFormat/>
    <w:uiPriority w:val="0"/>
    <w:rPr>
      <w:rFonts w:hint="default" w:ascii="DejaVu Sans" w:hAnsi="DejaVu Sans" w:eastAsia="DejaVu Sans" w:cs="DejaVu Sans"/>
      <w:b/>
      <w:bCs/>
      <w:color w:val="333333"/>
      <w:sz w:val="20"/>
      <w:szCs w:val="20"/>
      <w:u w:val="none"/>
    </w:rPr>
  </w:style>
  <w:style w:type="character" w:customStyle="1" w:styleId="20">
    <w:name w:val="font31"/>
    <w:basedOn w:val="12"/>
    <w:qFormat/>
    <w:uiPriority w:val="0"/>
    <w:rPr>
      <w:rFonts w:hint="default" w:ascii="微软雅黑" w:hAnsi="微软雅黑" w:eastAsia="微软雅黑" w:cs="微软雅黑"/>
      <w:b/>
      <w:bCs/>
      <w:color w:val="333333"/>
      <w:sz w:val="20"/>
      <w:szCs w:val="20"/>
      <w:u w:val="none"/>
    </w:rPr>
  </w:style>
  <w:style w:type="character" w:customStyle="1" w:styleId="21">
    <w:name w:val="font61"/>
    <w:basedOn w:val="12"/>
    <w:qFormat/>
    <w:uiPriority w:val="0"/>
    <w:rPr>
      <w:rFonts w:hint="default" w:ascii="DejaVu Sans" w:hAnsi="DejaVu Sans" w:eastAsia="DejaVu Sans" w:cs="DejaVu Sans"/>
      <w:color w:val="333333"/>
      <w:sz w:val="20"/>
      <w:szCs w:val="20"/>
      <w:u w:val="none"/>
    </w:rPr>
  </w:style>
  <w:style w:type="character" w:customStyle="1" w:styleId="22">
    <w:name w:val="font51"/>
    <w:basedOn w:val="12"/>
    <w:qFormat/>
    <w:uiPriority w:val="0"/>
    <w:rPr>
      <w:rFonts w:hint="default" w:ascii="微软雅黑" w:hAnsi="微软雅黑" w:eastAsia="微软雅黑" w:cs="微软雅黑"/>
      <w:color w:val="333333"/>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3223</Words>
  <Characters>3521</Characters>
  <Lines>0</Lines>
  <Paragraphs>0</Paragraphs>
  <TotalTime>0</TotalTime>
  <ScaleCrop>false</ScaleCrop>
  <LinksUpToDate>false</LinksUpToDate>
  <CharactersWithSpaces>3576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2025-06-17T01:45:00Z</dcterms:created>
  <dc:creator>PC</dc:creator>
  <cp:lastModifiedBy>XGQ</cp:lastModifiedBy>
  <dcterms:modified xsi:type="dcterms:W3CDTF">2026-08-31T17:11:12Z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87065DE6B65E4978A88401C85F6BF797_13</vt:lpwstr>
  </property>
  <property fmtid="{D5CDD505-2E9C-101B-9397-08002B2CF9AE}" pid="4" name="KSOTemplateDocerSaveRecord">
    <vt:lpwstr>eyJoZGlkIjoiY2MyMDg1ODgxY2E1ZTQ0ZmUwYWNiNWZjYWFmMjNjYmIiLCJ1c2VySWQiOiI4MjMyNzQ4NzgifQ==</vt:lpwstr>
  </property>
</Properties>
</file>