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9F5C1C">
      <w:pPr>
        <w:pStyle w:val="4"/>
        <w:keepNext w:val="0"/>
        <w:keepLines w:val="0"/>
        <w:pageBreakBefore w:val="0"/>
        <w:widowControl w:val="0"/>
        <w:kinsoku/>
        <w:wordWrap/>
        <w:overflowPunct/>
        <w:topLinePunct w:val="0"/>
        <w:autoSpaceDE/>
        <w:autoSpaceDN/>
        <w:bidi w:val="0"/>
        <w:adjustRightInd/>
        <w:snapToGrid/>
        <w:spacing w:line="396" w:lineRule="atLeast"/>
        <w:ind w:left="0" w:leftChars="0" w:firstLine="0" w:firstLineChars="0"/>
        <w:jc w:val="both"/>
        <w:textAlignment w:val="auto"/>
        <w:outlineLvl w:val="9"/>
        <w:rPr>
          <w:rFonts w:hint="eastAsia" w:ascii="宋体" w:hAnsi="宋体" w:eastAsia="宋体" w:cs="宋体"/>
          <w:b w:val="0"/>
          <w:bCs w:val="0"/>
          <w:kern w:val="21"/>
          <w:position w:val="0"/>
          <w:sz w:val="24"/>
          <w:szCs w:val="24"/>
        </w:rPr>
      </w:pPr>
      <w:r>
        <w:rPr>
          <w:rFonts w:hint="eastAsia" w:ascii="宋体" w:hAnsi="宋体" w:eastAsia="宋体" w:cs="宋体"/>
          <w:b w:val="0"/>
          <w:bCs w:val="0"/>
          <w:kern w:val="21"/>
          <w:position w:val="0"/>
          <w:sz w:val="24"/>
          <w:szCs w:val="24"/>
        </w:rPr>
        <w:t>附件</w:t>
      </w:r>
    </w:p>
    <w:p w14:paraId="150317EF">
      <w:pPr>
        <w:pStyle w:val="4"/>
        <w:keepNext w:val="0"/>
        <w:keepLines w:val="0"/>
        <w:pageBreakBefore w:val="0"/>
        <w:widowControl w:val="0"/>
        <w:kinsoku/>
        <w:wordWrap/>
        <w:overflowPunct/>
        <w:topLinePunct w:val="0"/>
        <w:autoSpaceDE/>
        <w:autoSpaceDN/>
        <w:bidi w:val="0"/>
        <w:adjustRightInd/>
        <w:snapToGrid/>
        <w:spacing w:line="0" w:lineRule="atLeast"/>
        <w:ind w:left="0" w:leftChars="0" w:firstLine="0" w:firstLineChars="0"/>
        <w:jc w:val="center"/>
        <w:textAlignment w:val="auto"/>
        <w:outlineLvl w:val="9"/>
        <w:rPr>
          <w:rFonts w:hint="eastAsia" w:ascii="宋体" w:hAnsi="宋体" w:eastAsia="宋体" w:cs="宋体"/>
          <w:b w:val="0"/>
          <w:bCs w:val="0"/>
          <w:kern w:val="21"/>
          <w:position w:val="0"/>
          <w:sz w:val="36"/>
          <w:szCs w:val="36"/>
        </w:rPr>
      </w:pPr>
      <w:r>
        <w:rPr>
          <w:rFonts w:hint="eastAsia" w:ascii="宋体" w:hAnsi="宋体" w:eastAsia="宋体" w:cs="宋体"/>
          <w:b w:val="0"/>
          <w:bCs w:val="0"/>
          <w:kern w:val="21"/>
          <w:position w:val="0"/>
          <w:sz w:val="36"/>
          <w:szCs w:val="36"/>
        </w:rPr>
        <w:t>留用土地规划建筑面积核算规则</w:t>
      </w:r>
    </w:p>
    <w:p w14:paraId="593AC965">
      <w:pPr>
        <w:pStyle w:val="4"/>
        <w:keepNext w:val="0"/>
        <w:keepLines w:val="0"/>
        <w:pageBreakBefore w:val="0"/>
        <w:widowControl w:val="0"/>
        <w:kinsoku/>
        <w:wordWrap/>
        <w:overflowPunct/>
        <w:topLinePunct w:val="0"/>
        <w:autoSpaceDE/>
        <w:autoSpaceDN/>
        <w:bidi w:val="0"/>
        <w:adjustRightInd/>
        <w:snapToGrid/>
        <w:spacing w:before="157" w:beforeLines="50" w:line="396" w:lineRule="atLeast"/>
        <w:ind w:left="0" w:leftChars="0" w:firstLine="480" w:firstLineChars="200"/>
        <w:jc w:val="both"/>
        <w:textAlignment w:val="auto"/>
        <w:outlineLvl w:val="9"/>
        <w:rPr>
          <w:rFonts w:hint="eastAsia" w:ascii="宋体" w:hAnsi="宋体" w:eastAsia="宋体" w:cs="宋体"/>
          <w:b w:val="0"/>
          <w:bCs w:val="0"/>
          <w:kern w:val="21"/>
          <w:position w:val="0"/>
          <w:sz w:val="24"/>
          <w:szCs w:val="24"/>
        </w:rPr>
      </w:pPr>
      <w:r>
        <w:rPr>
          <w:rFonts w:hint="eastAsia" w:ascii="宋体" w:hAnsi="宋体" w:eastAsia="宋体" w:cs="宋体"/>
          <w:b w:val="0"/>
          <w:bCs w:val="0"/>
          <w:kern w:val="21"/>
          <w:position w:val="0"/>
          <w:sz w:val="24"/>
          <w:szCs w:val="24"/>
        </w:rPr>
        <w:t>按照本办法安排的留用土地，其规划建筑面积的核算适用本规则。</w:t>
      </w:r>
    </w:p>
    <w:p w14:paraId="216AFDFA">
      <w:pPr>
        <w:pStyle w:val="4"/>
        <w:keepNext w:val="0"/>
        <w:keepLines w:val="0"/>
        <w:pageBreakBefore w:val="0"/>
        <w:widowControl w:val="0"/>
        <w:kinsoku/>
        <w:wordWrap/>
        <w:overflowPunct/>
        <w:topLinePunct w:val="0"/>
        <w:autoSpaceDE/>
        <w:autoSpaceDN/>
        <w:bidi w:val="0"/>
        <w:adjustRightInd/>
        <w:snapToGrid/>
        <w:spacing w:line="396" w:lineRule="atLeast"/>
        <w:ind w:left="0" w:leftChars="0" w:firstLine="480" w:firstLineChars="200"/>
        <w:jc w:val="both"/>
        <w:textAlignment w:val="auto"/>
        <w:outlineLvl w:val="9"/>
        <w:rPr>
          <w:rFonts w:hint="eastAsia" w:ascii="宋体" w:hAnsi="宋体" w:eastAsia="宋体" w:cs="宋体"/>
          <w:b w:val="0"/>
          <w:bCs w:val="0"/>
          <w:kern w:val="21"/>
          <w:position w:val="0"/>
          <w:sz w:val="24"/>
          <w:szCs w:val="24"/>
        </w:rPr>
      </w:pPr>
      <w:r>
        <w:rPr>
          <w:rFonts w:hint="eastAsia" w:ascii="宋体" w:hAnsi="宋体" w:eastAsia="宋体" w:cs="宋体"/>
          <w:b w:val="0"/>
          <w:bCs w:val="0"/>
          <w:kern w:val="21"/>
          <w:position w:val="0"/>
          <w:sz w:val="24"/>
          <w:szCs w:val="24"/>
        </w:rPr>
        <w:t>留用土地规划建筑面积由基础建筑面积、配套建筑面积和共享建筑面积三部分构成。</w:t>
      </w:r>
    </w:p>
    <w:p w14:paraId="097F3D70">
      <w:pPr>
        <w:pStyle w:val="4"/>
        <w:keepNext w:val="0"/>
        <w:keepLines w:val="0"/>
        <w:pageBreakBefore w:val="0"/>
        <w:widowControl w:val="0"/>
        <w:kinsoku/>
        <w:wordWrap/>
        <w:overflowPunct/>
        <w:topLinePunct w:val="0"/>
        <w:autoSpaceDE/>
        <w:autoSpaceDN/>
        <w:bidi w:val="0"/>
        <w:adjustRightInd/>
        <w:snapToGrid/>
        <w:spacing w:line="396" w:lineRule="atLeast"/>
        <w:ind w:left="0" w:leftChars="0" w:firstLine="480" w:firstLineChars="200"/>
        <w:jc w:val="both"/>
        <w:textAlignment w:val="auto"/>
        <w:outlineLvl w:val="9"/>
        <w:rPr>
          <w:rFonts w:hint="eastAsia" w:ascii="黑体" w:hAnsi="黑体" w:eastAsia="黑体" w:cs="黑体"/>
          <w:b w:val="0"/>
          <w:bCs w:val="0"/>
          <w:kern w:val="21"/>
          <w:position w:val="0"/>
          <w:sz w:val="24"/>
          <w:szCs w:val="24"/>
        </w:rPr>
      </w:pPr>
      <w:r>
        <w:rPr>
          <w:rFonts w:hint="eastAsia" w:ascii="黑体" w:hAnsi="黑体" w:eastAsia="黑体" w:cs="黑体"/>
          <w:b w:val="0"/>
          <w:bCs w:val="0"/>
          <w:kern w:val="21"/>
          <w:position w:val="0"/>
          <w:sz w:val="24"/>
          <w:szCs w:val="24"/>
        </w:rPr>
        <w:t>一、基础建筑面积</w:t>
      </w:r>
    </w:p>
    <w:p w14:paraId="09E8D6C6">
      <w:pPr>
        <w:pStyle w:val="4"/>
        <w:keepNext w:val="0"/>
        <w:keepLines w:val="0"/>
        <w:pageBreakBefore w:val="0"/>
        <w:widowControl w:val="0"/>
        <w:kinsoku/>
        <w:wordWrap/>
        <w:overflowPunct/>
        <w:topLinePunct w:val="0"/>
        <w:autoSpaceDE/>
        <w:autoSpaceDN/>
        <w:bidi w:val="0"/>
        <w:adjustRightInd/>
        <w:snapToGrid/>
        <w:spacing w:line="396" w:lineRule="atLeast"/>
        <w:ind w:left="0" w:leftChars="0" w:firstLine="480" w:firstLineChars="200"/>
        <w:jc w:val="both"/>
        <w:textAlignment w:val="auto"/>
        <w:outlineLvl w:val="9"/>
        <w:rPr>
          <w:rFonts w:hint="eastAsia" w:ascii="宋体" w:hAnsi="宋体" w:eastAsia="宋体" w:cs="宋体"/>
          <w:b w:val="0"/>
          <w:bCs w:val="0"/>
          <w:kern w:val="21"/>
          <w:position w:val="0"/>
          <w:sz w:val="24"/>
          <w:szCs w:val="24"/>
        </w:rPr>
      </w:pPr>
      <w:r>
        <w:rPr>
          <w:rFonts w:hint="eastAsia" w:ascii="宋体" w:hAnsi="宋体" w:eastAsia="宋体" w:cs="宋体"/>
          <w:b w:val="0"/>
          <w:bCs w:val="0"/>
          <w:kern w:val="21"/>
          <w:position w:val="0"/>
          <w:sz w:val="24"/>
          <w:szCs w:val="24"/>
        </w:rPr>
        <w:t>基础建筑面积是指留用土地按照《深圳市城市规划标准与准则》（以下简称《深标》）核算确定的建筑面积。基础建筑面积的计算公式如下：</w:t>
      </w:r>
    </w:p>
    <w:p w14:paraId="331193AC">
      <w:pPr>
        <w:pStyle w:val="4"/>
        <w:keepNext w:val="0"/>
        <w:keepLines w:val="0"/>
        <w:pageBreakBefore w:val="0"/>
        <w:widowControl w:val="0"/>
        <w:kinsoku/>
        <w:wordWrap/>
        <w:overflowPunct/>
        <w:topLinePunct w:val="0"/>
        <w:autoSpaceDE/>
        <w:autoSpaceDN/>
        <w:bidi w:val="0"/>
        <w:adjustRightInd/>
        <w:snapToGrid/>
        <w:spacing w:line="396" w:lineRule="atLeast"/>
        <w:ind w:left="0" w:leftChars="0" w:firstLine="480" w:firstLineChars="200"/>
        <w:jc w:val="both"/>
        <w:textAlignment w:val="auto"/>
        <w:outlineLvl w:val="9"/>
        <w:rPr>
          <w:rFonts w:hint="eastAsia" w:ascii="宋体" w:hAnsi="宋体" w:eastAsia="宋体" w:cs="宋体"/>
          <w:b w:val="0"/>
          <w:bCs w:val="0"/>
          <w:kern w:val="21"/>
          <w:position w:val="0"/>
          <w:sz w:val="24"/>
          <w:szCs w:val="24"/>
        </w:rPr>
      </w:pPr>
      <w:r>
        <w:rPr>
          <w:rFonts w:hint="eastAsia" w:ascii="宋体" w:hAnsi="宋体" w:eastAsia="宋体" w:cs="宋体"/>
          <w:b w:val="0"/>
          <w:bCs w:val="0"/>
          <w:kern w:val="21"/>
          <w:position w:val="0"/>
          <w:sz w:val="24"/>
          <w:szCs w:val="24"/>
        </w:rPr>
        <w:t>（一）留用土地在项目范围内安排的，按照以下公式计算基础建筑面积：</w:t>
      </w:r>
    </w:p>
    <w:p w14:paraId="6F5F44E2">
      <w:pPr>
        <w:pStyle w:val="4"/>
        <w:keepNext w:val="0"/>
        <w:keepLines w:val="0"/>
        <w:pageBreakBefore w:val="0"/>
        <w:widowControl w:val="0"/>
        <w:kinsoku/>
        <w:wordWrap/>
        <w:overflowPunct/>
        <w:topLinePunct w:val="0"/>
        <w:autoSpaceDE/>
        <w:autoSpaceDN/>
        <w:bidi w:val="0"/>
        <w:adjustRightInd/>
        <w:snapToGrid/>
        <w:spacing w:line="396" w:lineRule="atLeast"/>
        <w:ind w:left="0" w:leftChars="0" w:firstLine="480" w:firstLineChars="200"/>
        <w:jc w:val="both"/>
        <w:textAlignment w:val="auto"/>
        <w:outlineLvl w:val="9"/>
        <w:rPr>
          <w:rFonts w:hint="eastAsia" w:ascii="宋体" w:hAnsi="宋体" w:eastAsia="宋体" w:cs="宋体"/>
          <w:b w:val="0"/>
          <w:bCs w:val="0"/>
          <w:kern w:val="21"/>
          <w:position w:val="0"/>
          <w:sz w:val="24"/>
          <w:szCs w:val="24"/>
        </w:rPr>
      </w:pPr>
      <w:r>
        <w:rPr>
          <w:rFonts w:hint="eastAsia" w:ascii="宋体" w:hAnsi="宋体" w:eastAsia="宋体" w:cs="宋体"/>
          <w:b w:val="0"/>
          <w:bCs w:val="0"/>
          <w:kern w:val="21"/>
          <w:position w:val="0"/>
          <w:sz w:val="24"/>
          <w:szCs w:val="24"/>
        </w:rPr>
        <w:t>基础建筑面积</w:t>
      </w:r>
      <w:r>
        <w:rPr>
          <w:rFonts w:hint="eastAsia" w:eastAsia="宋体" w:cs="宋体"/>
          <w:b w:val="0"/>
          <w:bCs w:val="0"/>
          <w:kern w:val="21"/>
          <w:position w:val="0"/>
          <w:sz w:val="24"/>
          <w:szCs w:val="24"/>
          <w:lang w:eastAsia="zh-CN"/>
        </w:rPr>
        <w:t>＝</w:t>
      </w:r>
      <w:r>
        <w:rPr>
          <w:rFonts w:hint="eastAsia" w:ascii="宋体" w:hAnsi="宋体" w:eastAsia="宋体" w:cs="宋体"/>
          <w:b w:val="0"/>
          <w:bCs w:val="0"/>
          <w:kern w:val="21"/>
          <w:position w:val="0"/>
          <w:sz w:val="24"/>
          <w:szCs w:val="24"/>
        </w:rPr>
        <w:t>S项目内留用×地块容积率</w:t>
      </w:r>
    </w:p>
    <w:p w14:paraId="6357B4D8">
      <w:pPr>
        <w:pStyle w:val="4"/>
        <w:keepNext w:val="0"/>
        <w:keepLines w:val="0"/>
        <w:pageBreakBefore w:val="0"/>
        <w:widowControl w:val="0"/>
        <w:kinsoku/>
        <w:wordWrap/>
        <w:overflowPunct/>
        <w:topLinePunct w:val="0"/>
        <w:autoSpaceDE/>
        <w:autoSpaceDN/>
        <w:bidi w:val="0"/>
        <w:adjustRightInd/>
        <w:snapToGrid/>
        <w:spacing w:line="396" w:lineRule="atLeast"/>
        <w:ind w:left="0" w:leftChars="0" w:firstLine="480" w:firstLineChars="200"/>
        <w:jc w:val="both"/>
        <w:textAlignment w:val="auto"/>
        <w:outlineLvl w:val="9"/>
        <w:rPr>
          <w:rFonts w:hint="eastAsia" w:ascii="宋体" w:hAnsi="宋体" w:eastAsia="宋体" w:cs="宋体"/>
          <w:b w:val="0"/>
          <w:bCs w:val="0"/>
          <w:kern w:val="21"/>
          <w:position w:val="0"/>
          <w:sz w:val="24"/>
          <w:szCs w:val="24"/>
        </w:rPr>
      </w:pPr>
      <w:r>
        <w:rPr>
          <w:rFonts w:hint="eastAsia" w:ascii="宋体" w:hAnsi="宋体" w:eastAsia="宋体" w:cs="宋体"/>
          <w:b w:val="0"/>
          <w:bCs w:val="0"/>
          <w:kern w:val="21"/>
          <w:position w:val="0"/>
          <w:sz w:val="24"/>
          <w:szCs w:val="24"/>
        </w:rPr>
        <w:t>S项目内留用——按照本办法</w:t>
      </w:r>
      <w:r>
        <w:rPr>
          <w:rFonts w:hint="eastAsia" w:ascii="宋体" w:hAnsi="宋体" w:eastAsia="宋体" w:cs="宋体"/>
          <w:b w:val="0"/>
          <w:bCs w:val="0"/>
          <w:kern w:val="21"/>
          <w:position w:val="0"/>
          <w:sz w:val="24"/>
          <w:szCs w:val="24"/>
          <w:lang w:eastAsia="zh-CN"/>
        </w:rPr>
        <w:t>第六条和第七条</w:t>
      </w:r>
      <w:r>
        <w:rPr>
          <w:rFonts w:hint="eastAsia" w:ascii="宋体" w:hAnsi="宋体" w:eastAsia="宋体" w:cs="宋体"/>
          <w:b w:val="0"/>
          <w:bCs w:val="0"/>
          <w:kern w:val="21"/>
          <w:position w:val="0"/>
          <w:sz w:val="24"/>
          <w:szCs w:val="24"/>
        </w:rPr>
        <w:t>核算拟在项目范围内安排的留用土地面积。</w:t>
      </w:r>
    </w:p>
    <w:p w14:paraId="5CC7D1BF">
      <w:pPr>
        <w:pStyle w:val="4"/>
        <w:keepNext w:val="0"/>
        <w:keepLines w:val="0"/>
        <w:pageBreakBefore w:val="0"/>
        <w:widowControl w:val="0"/>
        <w:kinsoku/>
        <w:wordWrap/>
        <w:overflowPunct/>
        <w:topLinePunct w:val="0"/>
        <w:autoSpaceDE/>
        <w:autoSpaceDN/>
        <w:bidi w:val="0"/>
        <w:adjustRightInd/>
        <w:snapToGrid/>
        <w:spacing w:line="396" w:lineRule="atLeast"/>
        <w:ind w:left="0" w:leftChars="0" w:firstLine="480" w:firstLineChars="200"/>
        <w:jc w:val="both"/>
        <w:textAlignment w:val="auto"/>
        <w:outlineLvl w:val="9"/>
        <w:rPr>
          <w:rFonts w:hint="eastAsia" w:ascii="宋体" w:hAnsi="宋体" w:eastAsia="宋体" w:cs="宋体"/>
          <w:b w:val="0"/>
          <w:bCs w:val="0"/>
          <w:kern w:val="21"/>
          <w:position w:val="0"/>
          <w:sz w:val="24"/>
          <w:szCs w:val="24"/>
        </w:rPr>
      </w:pPr>
      <w:r>
        <w:rPr>
          <w:rFonts w:hint="eastAsia" w:ascii="宋体" w:hAnsi="宋体" w:eastAsia="宋体" w:cs="宋体"/>
          <w:b w:val="0"/>
          <w:bCs w:val="0"/>
          <w:kern w:val="21"/>
          <w:position w:val="0"/>
          <w:sz w:val="24"/>
          <w:szCs w:val="24"/>
        </w:rPr>
        <w:t>地块容积率——按照《深标》相关规定取值、计算。</w:t>
      </w:r>
    </w:p>
    <w:p w14:paraId="50066323">
      <w:pPr>
        <w:pStyle w:val="4"/>
        <w:keepNext w:val="0"/>
        <w:keepLines w:val="0"/>
        <w:pageBreakBefore w:val="0"/>
        <w:widowControl w:val="0"/>
        <w:kinsoku/>
        <w:wordWrap/>
        <w:overflowPunct/>
        <w:topLinePunct w:val="0"/>
        <w:autoSpaceDE/>
        <w:autoSpaceDN/>
        <w:bidi w:val="0"/>
        <w:adjustRightInd/>
        <w:snapToGrid/>
        <w:spacing w:line="396" w:lineRule="atLeast"/>
        <w:ind w:left="0" w:leftChars="0" w:firstLine="480" w:firstLineChars="200"/>
        <w:jc w:val="both"/>
        <w:textAlignment w:val="auto"/>
        <w:outlineLvl w:val="9"/>
        <w:rPr>
          <w:rFonts w:hint="eastAsia" w:ascii="宋体" w:hAnsi="宋体" w:eastAsia="宋体" w:cs="宋体"/>
          <w:b w:val="0"/>
          <w:bCs w:val="0"/>
          <w:kern w:val="21"/>
          <w:position w:val="0"/>
          <w:sz w:val="24"/>
          <w:szCs w:val="24"/>
        </w:rPr>
      </w:pPr>
      <w:r>
        <w:rPr>
          <w:rFonts w:hint="eastAsia" w:ascii="宋体" w:hAnsi="宋体" w:eastAsia="宋体" w:cs="宋体"/>
          <w:b w:val="0"/>
          <w:bCs w:val="0"/>
          <w:kern w:val="21"/>
          <w:position w:val="0"/>
          <w:sz w:val="24"/>
          <w:szCs w:val="24"/>
        </w:rPr>
        <w:t>（二）留用土地落在项目范围外经济关系未理顺的已建成区域并由原农村集体经济组织继受单位拆除重建的，按照以下公式计算基础建筑面积：</w:t>
      </w:r>
    </w:p>
    <w:p w14:paraId="33145DF6">
      <w:pPr>
        <w:pStyle w:val="4"/>
        <w:keepNext w:val="0"/>
        <w:keepLines w:val="0"/>
        <w:pageBreakBefore w:val="0"/>
        <w:widowControl w:val="0"/>
        <w:kinsoku/>
        <w:wordWrap/>
        <w:overflowPunct/>
        <w:topLinePunct w:val="0"/>
        <w:autoSpaceDE/>
        <w:autoSpaceDN/>
        <w:bidi w:val="0"/>
        <w:adjustRightInd/>
        <w:snapToGrid/>
        <w:spacing w:line="396" w:lineRule="atLeast"/>
        <w:ind w:left="0" w:leftChars="0" w:firstLine="480" w:firstLineChars="200"/>
        <w:jc w:val="both"/>
        <w:textAlignment w:val="auto"/>
        <w:outlineLvl w:val="9"/>
        <w:rPr>
          <w:rFonts w:hint="eastAsia" w:ascii="宋体" w:hAnsi="宋体" w:eastAsia="宋体" w:cs="宋体"/>
          <w:b w:val="0"/>
          <w:bCs w:val="0"/>
          <w:kern w:val="21"/>
          <w:position w:val="0"/>
          <w:sz w:val="24"/>
          <w:szCs w:val="24"/>
        </w:rPr>
      </w:pPr>
      <w:r>
        <w:rPr>
          <w:rFonts w:hint="eastAsia" w:ascii="宋体" w:hAnsi="宋体" w:eastAsia="宋体" w:cs="宋体"/>
          <w:b w:val="0"/>
          <w:bCs w:val="0"/>
          <w:kern w:val="21"/>
          <w:position w:val="0"/>
          <w:sz w:val="24"/>
          <w:szCs w:val="24"/>
        </w:rPr>
        <w:t>基础建筑面积</w:t>
      </w:r>
      <w:r>
        <w:rPr>
          <w:rFonts w:hint="eastAsia" w:eastAsia="宋体" w:cs="宋体"/>
          <w:b w:val="0"/>
          <w:bCs w:val="0"/>
          <w:kern w:val="21"/>
          <w:position w:val="0"/>
          <w:sz w:val="24"/>
          <w:szCs w:val="24"/>
          <w:lang w:eastAsia="zh-CN"/>
        </w:rPr>
        <w:t>＝</w:t>
      </w:r>
      <w:r>
        <w:rPr>
          <w:rFonts w:hint="eastAsia" w:ascii="宋体" w:hAnsi="宋体" w:eastAsia="宋体" w:cs="宋体"/>
          <w:b w:val="0"/>
          <w:bCs w:val="0"/>
          <w:kern w:val="21"/>
          <w:position w:val="0"/>
          <w:sz w:val="24"/>
          <w:szCs w:val="24"/>
        </w:rPr>
        <w:t>S拆除重建×地块容积率</w:t>
      </w:r>
      <w:r>
        <w:rPr>
          <w:rFonts w:hint="eastAsia" w:eastAsia="宋体" w:cs="宋体"/>
          <w:b w:val="0"/>
          <w:bCs w:val="0"/>
          <w:kern w:val="21"/>
          <w:position w:val="0"/>
          <w:sz w:val="24"/>
          <w:szCs w:val="24"/>
          <w:lang w:eastAsia="zh-CN"/>
        </w:rPr>
        <w:t>＋</w:t>
      </w:r>
      <w:r>
        <w:rPr>
          <w:rFonts w:hint="eastAsia" w:ascii="宋体" w:hAnsi="宋体" w:eastAsia="宋体" w:cs="宋体"/>
          <w:b w:val="0"/>
          <w:bCs w:val="0"/>
          <w:kern w:val="21"/>
          <w:position w:val="0"/>
          <w:sz w:val="24"/>
          <w:szCs w:val="24"/>
        </w:rPr>
        <w:t>FA利益统筹×1.5</w:t>
      </w:r>
    </w:p>
    <w:p w14:paraId="3C23DB23">
      <w:pPr>
        <w:pStyle w:val="4"/>
        <w:keepNext w:val="0"/>
        <w:keepLines w:val="0"/>
        <w:pageBreakBefore w:val="0"/>
        <w:widowControl w:val="0"/>
        <w:kinsoku/>
        <w:wordWrap/>
        <w:overflowPunct/>
        <w:topLinePunct w:val="0"/>
        <w:autoSpaceDE/>
        <w:autoSpaceDN/>
        <w:bidi w:val="0"/>
        <w:adjustRightInd/>
        <w:snapToGrid/>
        <w:spacing w:line="396" w:lineRule="atLeast"/>
        <w:ind w:left="0" w:leftChars="0" w:firstLine="480" w:firstLineChars="200"/>
        <w:jc w:val="both"/>
        <w:textAlignment w:val="auto"/>
        <w:outlineLvl w:val="9"/>
        <w:rPr>
          <w:rFonts w:hint="eastAsia" w:ascii="宋体" w:hAnsi="宋体" w:eastAsia="宋体" w:cs="宋体"/>
          <w:b w:val="0"/>
          <w:bCs w:val="0"/>
          <w:kern w:val="21"/>
          <w:position w:val="0"/>
          <w:sz w:val="24"/>
          <w:szCs w:val="24"/>
        </w:rPr>
      </w:pPr>
      <w:r>
        <w:rPr>
          <w:rFonts w:hint="eastAsia" w:ascii="宋体" w:hAnsi="宋体" w:eastAsia="宋体" w:cs="宋体"/>
          <w:b w:val="0"/>
          <w:bCs w:val="0"/>
          <w:kern w:val="21"/>
          <w:position w:val="0"/>
          <w:sz w:val="24"/>
          <w:szCs w:val="24"/>
        </w:rPr>
        <w:t>S拆除重建——由原农村集体经济组织继受单位拆除重建的土地面积。</w:t>
      </w:r>
    </w:p>
    <w:p w14:paraId="4A5526EA">
      <w:pPr>
        <w:pStyle w:val="4"/>
        <w:keepNext w:val="0"/>
        <w:keepLines w:val="0"/>
        <w:pageBreakBefore w:val="0"/>
        <w:widowControl w:val="0"/>
        <w:kinsoku/>
        <w:wordWrap/>
        <w:overflowPunct/>
        <w:topLinePunct w:val="0"/>
        <w:autoSpaceDE/>
        <w:autoSpaceDN/>
        <w:bidi w:val="0"/>
        <w:adjustRightInd/>
        <w:snapToGrid/>
        <w:spacing w:line="396" w:lineRule="atLeast"/>
        <w:ind w:left="0" w:leftChars="0" w:firstLine="480" w:firstLineChars="200"/>
        <w:jc w:val="both"/>
        <w:textAlignment w:val="auto"/>
        <w:outlineLvl w:val="9"/>
        <w:rPr>
          <w:rFonts w:hint="eastAsia" w:ascii="宋体" w:hAnsi="宋体" w:eastAsia="宋体" w:cs="宋体"/>
          <w:b w:val="0"/>
          <w:bCs w:val="0"/>
          <w:kern w:val="21"/>
          <w:position w:val="0"/>
          <w:sz w:val="24"/>
          <w:szCs w:val="24"/>
        </w:rPr>
      </w:pPr>
      <w:r>
        <w:rPr>
          <w:rFonts w:hint="eastAsia" w:ascii="宋体" w:hAnsi="宋体" w:eastAsia="宋体" w:cs="宋体"/>
          <w:b w:val="0"/>
          <w:bCs w:val="0"/>
          <w:kern w:val="21"/>
          <w:position w:val="0"/>
          <w:sz w:val="24"/>
          <w:szCs w:val="24"/>
        </w:rPr>
        <w:t>地块容积率——按照《深标》相关规定取值、计算。</w:t>
      </w:r>
    </w:p>
    <w:p w14:paraId="45219210">
      <w:pPr>
        <w:pStyle w:val="4"/>
        <w:keepNext w:val="0"/>
        <w:keepLines w:val="0"/>
        <w:pageBreakBefore w:val="0"/>
        <w:widowControl w:val="0"/>
        <w:kinsoku/>
        <w:wordWrap/>
        <w:overflowPunct/>
        <w:topLinePunct w:val="0"/>
        <w:autoSpaceDE/>
        <w:autoSpaceDN/>
        <w:bidi w:val="0"/>
        <w:adjustRightInd/>
        <w:snapToGrid/>
        <w:spacing w:line="390" w:lineRule="atLeast"/>
        <w:ind w:left="0" w:leftChars="0" w:firstLine="480" w:firstLineChars="200"/>
        <w:jc w:val="both"/>
        <w:textAlignment w:val="auto"/>
        <w:outlineLvl w:val="9"/>
        <w:rPr>
          <w:rFonts w:hint="eastAsia" w:ascii="宋体" w:hAnsi="宋体" w:eastAsia="宋体" w:cs="宋体"/>
          <w:b w:val="0"/>
          <w:bCs w:val="0"/>
          <w:kern w:val="21"/>
          <w:position w:val="0"/>
          <w:sz w:val="24"/>
          <w:szCs w:val="24"/>
        </w:rPr>
      </w:pPr>
      <w:r>
        <w:rPr>
          <w:rFonts w:hint="eastAsia" w:ascii="宋体" w:hAnsi="宋体" w:eastAsia="宋体" w:cs="宋体"/>
          <w:b w:val="0"/>
          <w:bCs w:val="0"/>
          <w:kern w:val="21"/>
          <w:position w:val="0"/>
          <w:sz w:val="24"/>
          <w:szCs w:val="24"/>
        </w:rPr>
        <w:t>FA利益统筹——利益统筹项目中现状建筑面积。</w:t>
      </w:r>
    </w:p>
    <w:p w14:paraId="37617B76">
      <w:pPr>
        <w:pStyle w:val="4"/>
        <w:keepNext w:val="0"/>
        <w:keepLines w:val="0"/>
        <w:pageBreakBefore w:val="0"/>
        <w:widowControl w:val="0"/>
        <w:kinsoku/>
        <w:wordWrap/>
        <w:overflowPunct/>
        <w:topLinePunct w:val="0"/>
        <w:autoSpaceDE/>
        <w:autoSpaceDN/>
        <w:bidi w:val="0"/>
        <w:adjustRightInd/>
        <w:snapToGrid/>
        <w:spacing w:line="390" w:lineRule="atLeast"/>
        <w:ind w:left="0" w:leftChars="0" w:firstLine="480" w:firstLineChars="200"/>
        <w:jc w:val="both"/>
        <w:textAlignment w:val="auto"/>
        <w:outlineLvl w:val="9"/>
        <w:rPr>
          <w:rFonts w:hint="eastAsia" w:ascii="黑体" w:hAnsi="黑体" w:eastAsia="黑体" w:cs="黑体"/>
          <w:b w:val="0"/>
          <w:bCs w:val="0"/>
          <w:kern w:val="21"/>
          <w:position w:val="0"/>
          <w:sz w:val="24"/>
          <w:szCs w:val="24"/>
        </w:rPr>
      </w:pPr>
      <w:r>
        <w:rPr>
          <w:rFonts w:hint="eastAsia" w:ascii="黑体" w:hAnsi="黑体" w:eastAsia="黑体" w:cs="黑体"/>
          <w:b w:val="0"/>
          <w:bCs w:val="0"/>
          <w:kern w:val="21"/>
          <w:position w:val="0"/>
          <w:sz w:val="24"/>
          <w:szCs w:val="24"/>
        </w:rPr>
        <w:t>二、配套建筑面积</w:t>
      </w:r>
    </w:p>
    <w:p w14:paraId="44022189">
      <w:pPr>
        <w:pStyle w:val="4"/>
        <w:keepNext w:val="0"/>
        <w:keepLines w:val="0"/>
        <w:pageBreakBefore w:val="0"/>
        <w:widowControl w:val="0"/>
        <w:kinsoku/>
        <w:wordWrap/>
        <w:overflowPunct/>
        <w:topLinePunct w:val="0"/>
        <w:autoSpaceDE/>
        <w:autoSpaceDN/>
        <w:bidi w:val="0"/>
        <w:adjustRightInd/>
        <w:snapToGrid/>
        <w:spacing w:line="390" w:lineRule="atLeast"/>
        <w:ind w:left="0" w:leftChars="0" w:firstLine="480" w:firstLineChars="200"/>
        <w:jc w:val="both"/>
        <w:textAlignment w:val="auto"/>
        <w:outlineLvl w:val="9"/>
        <w:rPr>
          <w:rFonts w:hint="eastAsia" w:ascii="宋体" w:hAnsi="宋体" w:eastAsia="宋体" w:cs="宋体"/>
          <w:b w:val="0"/>
          <w:bCs w:val="0"/>
          <w:kern w:val="21"/>
          <w:position w:val="0"/>
          <w:sz w:val="24"/>
          <w:szCs w:val="24"/>
        </w:rPr>
      </w:pPr>
      <w:r>
        <w:rPr>
          <w:rFonts w:hint="eastAsia" w:ascii="宋体" w:hAnsi="宋体" w:eastAsia="宋体" w:cs="宋体"/>
          <w:b w:val="0"/>
          <w:bCs w:val="0"/>
          <w:kern w:val="21"/>
          <w:position w:val="0"/>
          <w:sz w:val="24"/>
          <w:szCs w:val="24"/>
        </w:rPr>
        <w:t>留用土地应当按照《深标》、法定图则及相关专项规划的要求配建社区级公共设施。社区级公共设施的类别、规模在土地整备规划中确定。</w:t>
      </w:r>
    </w:p>
    <w:p w14:paraId="79BF8144">
      <w:pPr>
        <w:pStyle w:val="4"/>
        <w:keepNext w:val="0"/>
        <w:keepLines w:val="0"/>
        <w:pageBreakBefore w:val="0"/>
        <w:widowControl w:val="0"/>
        <w:kinsoku/>
        <w:wordWrap/>
        <w:overflowPunct/>
        <w:topLinePunct w:val="0"/>
        <w:autoSpaceDE/>
        <w:autoSpaceDN/>
        <w:bidi w:val="0"/>
        <w:adjustRightInd/>
        <w:snapToGrid/>
        <w:spacing w:line="390" w:lineRule="atLeast"/>
        <w:ind w:left="0" w:leftChars="0" w:firstLine="480" w:firstLineChars="200"/>
        <w:jc w:val="both"/>
        <w:textAlignment w:val="auto"/>
        <w:outlineLvl w:val="9"/>
        <w:rPr>
          <w:rFonts w:hint="eastAsia" w:ascii="黑体" w:hAnsi="黑体" w:eastAsia="黑体" w:cs="黑体"/>
          <w:b w:val="0"/>
          <w:bCs w:val="0"/>
          <w:kern w:val="21"/>
          <w:position w:val="0"/>
          <w:sz w:val="24"/>
          <w:szCs w:val="24"/>
        </w:rPr>
      </w:pPr>
      <w:r>
        <w:rPr>
          <w:rFonts w:hint="eastAsia" w:ascii="黑体" w:hAnsi="黑体" w:eastAsia="黑体" w:cs="黑体"/>
          <w:b w:val="0"/>
          <w:bCs w:val="0"/>
          <w:kern w:val="21"/>
          <w:position w:val="0"/>
          <w:sz w:val="24"/>
          <w:szCs w:val="24"/>
        </w:rPr>
        <w:t>三、共享建筑面积</w:t>
      </w:r>
    </w:p>
    <w:p w14:paraId="2F4BC37F">
      <w:pPr>
        <w:pStyle w:val="4"/>
        <w:keepNext w:val="0"/>
        <w:keepLines w:val="0"/>
        <w:pageBreakBefore w:val="0"/>
        <w:widowControl w:val="0"/>
        <w:kinsoku/>
        <w:wordWrap/>
        <w:overflowPunct/>
        <w:topLinePunct w:val="0"/>
        <w:autoSpaceDE/>
        <w:autoSpaceDN/>
        <w:bidi w:val="0"/>
        <w:adjustRightInd/>
        <w:snapToGrid/>
        <w:spacing w:line="390" w:lineRule="atLeast"/>
        <w:ind w:left="0" w:leftChars="0" w:firstLine="480" w:firstLineChars="200"/>
        <w:jc w:val="both"/>
        <w:textAlignment w:val="auto"/>
        <w:outlineLvl w:val="9"/>
        <w:rPr>
          <w:rFonts w:hint="eastAsia" w:ascii="宋体" w:hAnsi="宋体" w:eastAsia="宋体" w:cs="宋体"/>
          <w:b w:val="0"/>
          <w:bCs w:val="0"/>
          <w:kern w:val="21"/>
          <w:position w:val="0"/>
          <w:sz w:val="24"/>
          <w:szCs w:val="24"/>
        </w:rPr>
      </w:pPr>
      <w:r>
        <w:rPr>
          <w:rFonts w:hint="eastAsia" w:ascii="宋体" w:hAnsi="宋体" w:eastAsia="宋体" w:cs="宋体"/>
          <w:b w:val="0"/>
          <w:bCs w:val="0"/>
          <w:kern w:val="21"/>
          <w:position w:val="0"/>
          <w:sz w:val="24"/>
          <w:szCs w:val="24"/>
        </w:rPr>
        <w:t>共享建筑面积是指在规划允许条件下，可在基础建筑面积的基础上增加的建筑面积。共享建筑面积原则上不超过基础建筑面积的30%。</w:t>
      </w:r>
    </w:p>
    <w:p w14:paraId="26A87045">
      <w:pPr>
        <w:pStyle w:val="4"/>
        <w:keepNext w:val="0"/>
        <w:keepLines w:val="0"/>
        <w:pageBreakBefore w:val="0"/>
        <w:widowControl w:val="0"/>
        <w:kinsoku/>
        <w:wordWrap/>
        <w:overflowPunct/>
        <w:topLinePunct w:val="0"/>
        <w:autoSpaceDE/>
        <w:autoSpaceDN/>
        <w:bidi w:val="0"/>
        <w:adjustRightInd/>
        <w:snapToGrid/>
        <w:spacing w:line="390" w:lineRule="atLeast"/>
        <w:ind w:left="0" w:leftChars="0" w:firstLine="480" w:firstLineChars="200"/>
        <w:jc w:val="both"/>
        <w:textAlignment w:val="auto"/>
        <w:outlineLvl w:val="9"/>
        <w:rPr>
          <w:rFonts w:hint="eastAsia" w:ascii="宋体" w:hAnsi="宋体" w:eastAsia="宋体" w:cs="宋体"/>
          <w:b w:val="0"/>
          <w:bCs w:val="0"/>
          <w:kern w:val="21"/>
          <w:position w:val="0"/>
          <w:sz w:val="24"/>
          <w:szCs w:val="24"/>
        </w:rPr>
      </w:pPr>
      <w:r>
        <w:rPr>
          <w:rFonts w:hint="eastAsia" w:ascii="宋体" w:hAnsi="宋体" w:eastAsia="宋体" w:cs="宋体"/>
          <w:b w:val="0"/>
          <w:bCs w:val="0"/>
          <w:kern w:val="21"/>
          <w:position w:val="0"/>
          <w:sz w:val="24"/>
          <w:szCs w:val="24"/>
        </w:rPr>
        <w:t>共享建筑面积中政府或政府指定机构回购60%的建筑面积用于人才住房、公共租赁住房或创新型产业用房等，其余40%的建筑面积通过利益共享归属于原农村集体经济组织继受单位。</w:t>
      </w:r>
    </w:p>
    <w:p w14:paraId="14279593">
      <w:pPr>
        <w:pStyle w:val="4"/>
        <w:keepNext w:val="0"/>
        <w:keepLines w:val="0"/>
        <w:pageBreakBefore w:val="0"/>
        <w:widowControl w:val="0"/>
        <w:kinsoku/>
        <w:wordWrap/>
        <w:overflowPunct/>
        <w:topLinePunct w:val="0"/>
        <w:autoSpaceDE/>
        <w:autoSpaceDN/>
        <w:bidi w:val="0"/>
        <w:adjustRightInd/>
        <w:snapToGrid/>
        <w:spacing w:line="390" w:lineRule="atLeast"/>
        <w:ind w:left="0" w:leftChars="0" w:firstLine="480" w:firstLineChars="200"/>
        <w:jc w:val="both"/>
        <w:textAlignment w:val="auto"/>
        <w:outlineLvl w:val="9"/>
        <w:rPr>
          <w:rFonts w:hint="eastAsia" w:ascii="黑体" w:hAnsi="黑体" w:eastAsia="黑体" w:cs="黑体"/>
          <w:b w:val="0"/>
          <w:bCs w:val="0"/>
          <w:kern w:val="21"/>
          <w:position w:val="0"/>
          <w:sz w:val="24"/>
          <w:szCs w:val="24"/>
        </w:rPr>
      </w:pPr>
      <w:r>
        <w:rPr>
          <w:rFonts w:hint="eastAsia" w:ascii="黑体" w:hAnsi="黑体" w:eastAsia="黑体" w:cs="黑体"/>
          <w:b w:val="0"/>
          <w:bCs w:val="0"/>
          <w:kern w:val="21"/>
          <w:position w:val="0"/>
          <w:sz w:val="24"/>
          <w:szCs w:val="24"/>
        </w:rPr>
        <w:t>四、其他要求</w:t>
      </w:r>
    </w:p>
    <w:p w14:paraId="4E5C55EB">
      <w:pPr>
        <w:pStyle w:val="4"/>
        <w:keepNext w:val="0"/>
        <w:keepLines w:val="0"/>
        <w:pageBreakBefore w:val="0"/>
        <w:widowControl w:val="0"/>
        <w:kinsoku/>
        <w:wordWrap/>
        <w:overflowPunct/>
        <w:topLinePunct w:val="0"/>
        <w:autoSpaceDE/>
        <w:autoSpaceDN/>
        <w:bidi w:val="0"/>
        <w:adjustRightInd/>
        <w:snapToGrid/>
        <w:spacing w:line="390" w:lineRule="atLeast"/>
        <w:ind w:left="0" w:leftChars="0" w:firstLine="480" w:firstLineChars="200"/>
        <w:jc w:val="both"/>
        <w:textAlignment w:val="auto"/>
        <w:outlineLvl w:val="9"/>
        <w:rPr>
          <w:rFonts w:hint="eastAsia" w:ascii="宋体" w:hAnsi="宋体" w:eastAsia="宋体" w:cs="宋体"/>
          <w:b w:val="0"/>
          <w:bCs w:val="0"/>
          <w:kern w:val="21"/>
          <w:position w:val="0"/>
          <w:sz w:val="24"/>
          <w:szCs w:val="24"/>
        </w:rPr>
      </w:pPr>
      <w:r>
        <w:rPr>
          <w:rFonts w:hint="eastAsia" w:ascii="宋体" w:hAnsi="宋体" w:eastAsia="宋体" w:cs="宋体"/>
          <w:b w:val="0"/>
          <w:bCs w:val="0"/>
          <w:kern w:val="21"/>
          <w:position w:val="0"/>
          <w:sz w:val="24"/>
          <w:szCs w:val="24"/>
        </w:rPr>
        <w:t>依据本规则核算的留用土地规划建筑面积应满足周边公共服务设施和城市基础设施承载力的要求，并符合生态保护、城市设计等相关控制要求和《深标》容积率上限规定。</w:t>
      </w:r>
    </w:p>
    <w:p w14:paraId="5D085B7E">
      <w:r>
        <w:rPr>
          <w:rFonts w:hint="eastAsia" w:ascii="宋体" w:hAnsi="宋体" w:eastAsia="宋体" w:cs="宋体"/>
          <w:b w:val="0"/>
          <w:bCs w:val="0"/>
          <w:kern w:val="21"/>
          <w:position w:val="0"/>
          <w:sz w:val="24"/>
          <w:szCs w:val="24"/>
        </w:rPr>
        <w:t>按照2013版《深标》密度分区核算规划建筑面积的，留用土地位于密度三区、密度四区、密度五区的，基准容积率和容积率上限参照密度二区取值；《深标》密度分区修订并施行后，基准容积率和容积率上限按照经批准的密度分区取值。</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1A141A"/>
    <w:rsid w:val="7A1A14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_Style 1"/>
    <w:uiPriority w:val="0"/>
    <w:pPr>
      <w:widowControl w:val="0"/>
      <w:tabs>
        <w:tab w:val="left" w:pos="426"/>
      </w:tabs>
      <w:spacing w:line="560" w:lineRule="exact"/>
      <w:ind w:firstLine="420" w:firstLineChars="200"/>
      <w:jc w:val="both"/>
    </w:pPr>
    <w:rPr>
      <w:rFonts w:ascii="Times New Roman" w:hAnsi="Times New Roman" w:eastAsia="仿宋_GB2312" w:cs="Times New Roman"/>
      <w:kern w:val="2"/>
      <w:sz w:val="3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2026-08-26T07:52:00Z</dcterms:created>
  <dc:creator>朴灿灿1405689278</dc:creator>
  <cp:lastModifiedBy>朴灿灿1405689278</cp:lastModifiedBy>
  <dcterms:modified xsi:type="dcterms:W3CDTF">2026-08-26T07:53:20Z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57422CB667414E4E836EB25C11B76ABE_11</vt:lpwstr>
  </property>
  <property fmtid="{D5CDD505-2E9C-101B-9397-08002B2CF9AE}" pid="4" name="KSOTemplateDocerSaveRecord">
    <vt:lpwstr>eyJoZGlkIjoiNWY2NjY3ZTM1ODM5YTdiNGYyN2Y5YjdmOGEzYzBkZTIiLCJ1c2VySWQiOiIxODgwMTgwNiJ9</vt:lpwstr>
  </property>
</Properties>
</file>