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sz w:val="32"/>
        </w:rPr>
      </w:pPr>
      <w:r>
        <w:rPr>
          <w:rFonts w:hint="eastAsia" w:ascii="黑体" w:hAnsi="黑体" w:eastAsia="黑体"/>
          <w:sz w:val="32"/>
        </w:rPr>
        <w:t>附件：</w:t>
      </w:r>
    </w:p>
    <w:p>
      <w:pPr>
        <w:jc w:val="center"/>
        <w:rPr>
          <w:rFonts w:hint="eastAsia" w:ascii="黑体" w:hAnsi="黑体" w:eastAsia="黑体"/>
          <w:sz w:val="32"/>
        </w:rPr>
      </w:pPr>
      <w:r>
        <w:rPr>
          <w:rFonts w:hint="eastAsia" w:ascii="黑体" w:hAnsi="黑体" w:eastAsia="黑体"/>
          <w:sz w:val="32"/>
        </w:rPr>
        <w:t>深圳市南山区机器人场景应用“揭榜挂帅”</w:t>
      </w:r>
    </w:p>
    <w:p>
      <w:pPr>
        <w:jc w:val="center"/>
        <w:rPr>
          <w:rFonts w:hint="eastAsia" w:ascii="黑体" w:hAnsi="黑体" w:eastAsia="黑体"/>
          <w:sz w:val="32"/>
        </w:rPr>
      </w:pPr>
      <w:r>
        <w:rPr>
          <w:rFonts w:hint="eastAsia" w:ascii="黑体" w:hAnsi="黑体" w:eastAsia="黑体"/>
          <w:sz w:val="32"/>
        </w:rPr>
        <w:t>项目榜单征集表</w:t>
      </w:r>
    </w:p>
    <w:tbl>
      <w:tblPr>
        <w:tblStyle w:val="7"/>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7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面向医疗机构核医学科PET/CT检查的移动式放射性药物自动分装系统需求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1.当前场景</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在核医学科进行PET/CT检查时，需为患者注射特定剂量的放射性药物（如18F-FDG或18F-Na）。</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2.当前作业方式</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依赖药剂师人工操作注射器，将高浓度原液分装为单人次的小剂量，随后由护士手动完成患者注射。全流程需反复测量辐射剂量，以确保分装精度符合允许偏差范围。</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3.现有痛点</w:t>
            </w:r>
            <w:bookmarkStart w:id="0" w:name="_GoBack"/>
            <w:bookmarkEnd w:id="0"/>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人工操作存在辐射暴露风险、作业效率低、剂量误差较大等问题。</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4.引入必要性</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采用移动式放射性药物自动分装系统替代人工，实现药物分装、剂量测量全流程自动化与数据可追溯，有效降低医护人员在PET/CT检查过程中的辐射暴露剂量，同时提升患者检查的图像质量。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13" w:type="dxa"/>
            <w:tcBorders>
              <w:top w:val="single" w:color="auto" w:sz="4" w:space="0"/>
              <w:left w:val="single" w:color="auto" w:sz="4" w:space="0"/>
              <w:bottom w:val="single" w:color="auto" w:sz="4" w:space="0"/>
              <w:right w:val="single" w:color="auto" w:sz="4" w:space="0"/>
            </w:tcBorders>
          </w:tcPr>
          <w:p>
            <w:pPr>
              <w:pStyle w:val="16"/>
              <w:numPr>
                <w:numId w:val="0"/>
              </w:numPr>
              <w:spacing w:line="320" w:lineRule="exact"/>
              <w:ind w:left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1.</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机器人产品：研发移动式放射性药物自动分装系统。</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2.核心功能：自动原液分装、活度测量、药剂输出，数据记录与打印，全程无人工干预。</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3.性能参数：药物类型为</w:t>
            </w:r>
            <w:r>
              <w:rPr>
                <w:rFonts w:hint="eastAsia" w:ascii="Times New Roman" w:hAnsi="Times New Roman" w:eastAsia="仿宋_GB2312" w:cs="Times New Roman"/>
                <w:color w:val="000000" w:themeColor="text1"/>
                <w:kern w:val="0"/>
                <w:sz w:val="24"/>
                <w:szCs w:val="24"/>
                <w:vertAlign w:val="superscript"/>
                <w14:textFill>
                  <w14:solidFill>
                    <w14:schemeClr w14:val="tx1"/>
                  </w14:solidFill>
                </w14:textFill>
              </w:rPr>
              <w:t>18</w:t>
            </w:r>
            <w:r>
              <w:rPr>
                <w:rFonts w:hint="eastAsia" w:ascii="Times New Roman" w:hAnsi="Times New Roman" w:eastAsia="仿宋_GB2312" w:cs="Times New Roman"/>
                <w:color w:val="000000" w:themeColor="text1"/>
                <w:kern w:val="0"/>
                <w:sz w:val="24"/>
                <w:szCs w:val="24"/>
                <w14:textFill>
                  <w14:solidFill>
                    <w14:schemeClr w14:val="tx1"/>
                  </w14:solidFill>
                </w14:textFill>
              </w:rPr>
              <w:t>F-FDG（氟代脱氧葡萄糖）、</w:t>
            </w:r>
            <w:r>
              <w:rPr>
                <w:rFonts w:hint="eastAsia" w:ascii="Times New Roman" w:hAnsi="Times New Roman" w:eastAsia="仿宋_GB2312" w:cs="Times New Roman"/>
                <w:color w:val="000000" w:themeColor="text1"/>
                <w:kern w:val="0"/>
                <w:sz w:val="24"/>
                <w:szCs w:val="24"/>
                <w:vertAlign w:val="superscript"/>
                <w14:textFill>
                  <w14:solidFill>
                    <w14:schemeClr w14:val="tx1"/>
                  </w14:solidFill>
                </w14:textFill>
              </w:rPr>
              <w:t>18</w:t>
            </w:r>
            <w:r>
              <w:rPr>
                <w:rFonts w:hint="eastAsia" w:ascii="Times New Roman" w:hAnsi="Times New Roman" w:eastAsia="仿宋_GB2312" w:cs="Times New Roman"/>
                <w:color w:val="000000" w:themeColor="text1"/>
                <w:kern w:val="0"/>
                <w:sz w:val="24"/>
                <w:szCs w:val="24"/>
                <w14:textFill>
                  <w14:solidFill>
                    <w14:schemeClr w14:val="tx1"/>
                  </w14:solidFill>
                </w14:textFill>
              </w:rPr>
              <w:t>F-NaF（氟化钠）；分装精度为处方剂量±</w:t>
            </w:r>
            <w:r>
              <w:rPr>
                <w:rFonts w:ascii="Times New Roman" w:hAnsi="Times New Roman" w:eastAsia="仿宋_GB2312" w:cs="Times New Roman"/>
                <w:color w:val="000000" w:themeColor="text1"/>
                <w:kern w:val="0"/>
                <w:sz w:val="24"/>
                <w:szCs w:val="24"/>
                <w14:textFill>
                  <w14:solidFill>
                    <w14:schemeClr w14:val="tx1"/>
                  </w14:solidFill>
                </w14:textFill>
              </w:rPr>
              <w:t>10%</w:t>
            </w:r>
            <w:r>
              <w:rPr>
                <w:rFonts w:hint="eastAsia" w:ascii="Times New Roman" w:hAnsi="Times New Roman" w:eastAsia="仿宋_GB2312" w:cs="Times New Roman"/>
                <w:color w:val="000000" w:themeColor="text1"/>
                <w:kern w:val="0"/>
                <w:sz w:val="24"/>
                <w:szCs w:val="24"/>
                <w14:textFill>
                  <w14:solidFill>
                    <w14:schemeClr w14:val="tx1"/>
                  </w14:solidFill>
                </w14:textFill>
              </w:rPr>
              <w:t>；辐射防护符合GBZ 120-2020，屏蔽层外30cm处剂量率≤2.5μSv/h；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0"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240" w:firstLineChars="100"/>
              <w:rPr>
                <w:rFonts w:ascii="Times New Roman" w:hAnsi="Times New Roman" w:eastAsia="仿宋_GB2312" w:cs="Times New Roman"/>
                <w:sz w:val="24"/>
                <w:szCs w:val="20"/>
              </w:rPr>
            </w:pPr>
            <w:r>
              <w:rPr>
                <w:rFonts w:hint="eastAsia" w:ascii="Times New Roman" w:hAnsi="Times New Roman" w:eastAsia="仿宋_GB2312" w:cs="Times New Roman"/>
                <w:sz w:val="24"/>
                <w:szCs w:val="20"/>
              </w:rPr>
              <w:t>1.</w:t>
            </w:r>
            <w:r>
              <w:rPr>
                <w:rFonts w:ascii="Times New Roman" w:hAnsi="Times New Roman" w:eastAsia="仿宋_GB2312" w:cs="Times New Roman"/>
                <w:sz w:val="24"/>
                <w:szCs w:val="20"/>
              </w:rPr>
              <w:t>国内外应用情况：</w:t>
            </w:r>
          </w:p>
          <w:p>
            <w:pPr>
              <w:spacing w:line="320" w:lineRule="exact"/>
              <w:ind w:firstLine="240" w:firstLineChars="100"/>
              <w:rPr>
                <w:rFonts w:ascii="Times New Roman" w:hAnsi="Times New Roman" w:eastAsia="仿宋_GB2312" w:cs="Times New Roman"/>
                <w:sz w:val="24"/>
                <w:szCs w:val="20"/>
              </w:rPr>
            </w:pPr>
            <w:r>
              <w:rPr>
                <w:rFonts w:ascii="Times New Roman" w:hAnsi="Times New Roman" w:eastAsia="仿宋_GB2312" w:cs="Times New Roman"/>
                <w:sz w:val="24"/>
                <w:szCs w:val="20"/>
              </w:rPr>
              <w:t>国内应用尚处推广初期，主力品牌包括埃齐志达（FZY-Ⅱ型）、中核高能（TF-N01一体化系统）、吉蕊科技等。产品主要聚焦远程操作、精准分装与辐射防护，目前均未采用自研活度测量装置，且整机集成体积较大，防护设计面临较大挑战。</w:t>
            </w:r>
          </w:p>
          <w:p>
            <w:pPr>
              <w:numPr>
                <w:ilvl w:val="255"/>
                <w:numId w:val="0"/>
              </w:numPr>
              <w:spacing w:line="320" w:lineRule="exact"/>
              <w:ind w:firstLine="240" w:firstLineChars="100"/>
              <w:rPr>
                <w:rFonts w:ascii="Times New Roman" w:hAnsi="Times New Roman" w:eastAsia="仿宋_GB2312" w:cs="Times New Roman"/>
                <w:sz w:val="24"/>
                <w:szCs w:val="20"/>
              </w:rPr>
            </w:pPr>
            <w:r>
              <w:rPr>
                <w:rFonts w:hint="eastAsia" w:ascii="Times New Roman" w:hAnsi="Times New Roman" w:eastAsia="仿宋_GB2312" w:cs="Times New Roman"/>
                <w:sz w:val="24"/>
                <w:szCs w:val="20"/>
              </w:rPr>
              <w:t>2.</w:t>
            </w:r>
            <w:r>
              <w:rPr>
                <w:rFonts w:ascii="Times New Roman" w:hAnsi="Times New Roman" w:eastAsia="仿宋_GB2312" w:cs="Times New Roman"/>
                <w:sz w:val="24"/>
                <w:szCs w:val="20"/>
              </w:rPr>
              <w:t>技术难点：</w:t>
            </w:r>
          </w:p>
          <w:p>
            <w:pPr>
              <w:numPr>
                <w:ilvl w:val="255"/>
                <w:numId w:val="0"/>
              </w:numPr>
              <w:spacing w:line="320" w:lineRule="exact"/>
              <w:ind w:firstLine="240" w:firstLineChars="100"/>
              <w:rPr>
                <w:rFonts w:ascii="Times New Roman" w:hAnsi="Times New Roman" w:eastAsia="仿宋_GB2312" w:cs="Times New Roman"/>
                <w:sz w:val="24"/>
                <w:szCs w:val="20"/>
              </w:rPr>
            </w:pPr>
            <w:r>
              <w:rPr>
                <w:rFonts w:ascii="Times New Roman" w:hAnsi="Times New Roman" w:eastAsia="仿宋_GB2312" w:cs="Times New Roman"/>
                <w:sz w:val="24"/>
                <w:szCs w:val="20"/>
              </w:rPr>
              <w:t>核心难点在于确保高辐射环境下精密机构的长期可靠性、实现±10%以内的超高剂量精度，以及移动式设备的小型化高效屏蔽技术。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潜在规模</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240" w:firstLineChars="100"/>
              <w:rPr>
                <w:rFonts w:ascii="Times New Roman" w:hAnsi="Times New Roman" w:eastAsia="仿宋_GB2312" w:cs="Times New Roman"/>
                <w:sz w:val="24"/>
                <w:szCs w:val="20"/>
              </w:rPr>
            </w:pPr>
            <w:r>
              <w:rPr>
                <w:rFonts w:ascii="Times New Roman" w:hAnsi="Times New Roman" w:eastAsia="仿宋_GB2312" w:cs="Times New Roman"/>
                <w:sz w:val="24"/>
                <w:szCs w:val="20"/>
              </w:rPr>
              <w:t>该产品市场规模潜力巨大。当前全国存量PET/CT约1000台，逐年新增，均需配套，存量升级与增量需求明确。同时，国家推动高端设备下沉基层及放射性治疗药物发展，将进一步打开市场。预估总需求达数千套，属高成长性蓝海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10"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13" w:type="dxa"/>
            <w:tcBorders>
              <w:top w:val="single" w:color="auto" w:sz="4" w:space="0"/>
              <w:left w:val="single" w:color="auto" w:sz="4" w:space="0"/>
              <w:bottom w:val="single" w:color="auto" w:sz="4" w:space="0"/>
              <w:right w:val="single" w:color="auto" w:sz="4" w:space="0"/>
            </w:tcBorders>
          </w:tcPr>
          <w:p>
            <w:pPr>
              <w:numPr>
                <w:ilvl w:val="255"/>
                <w:numId w:val="0"/>
              </w:numPr>
              <w:spacing w:line="320" w:lineRule="exact"/>
              <w:ind w:firstLine="240" w:firstLineChars="100"/>
              <w:rPr>
                <w:rFonts w:ascii="Times New Roman" w:hAnsi="Times New Roman" w:eastAsia="仿宋_GB2312" w:cs="Times New Roman"/>
                <w:sz w:val="24"/>
                <w:szCs w:val="20"/>
              </w:rPr>
            </w:pPr>
            <w:r>
              <w:rPr>
                <w:rFonts w:hint="eastAsia" w:ascii="Times New Roman" w:hAnsi="Times New Roman" w:eastAsia="仿宋_GB2312" w:cs="Times New Roman"/>
                <w:sz w:val="24"/>
                <w:szCs w:val="20"/>
              </w:rPr>
              <w:t>1.</w:t>
            </w:r>
            <w:r>
              <w:rPr>
                <w:rFonts w:ascii="Times New Roman" w:hAnsi="Times New Roman" w:eastAsia="仿宋_GB2312" w:cs="Times New Roman"/>
                <w:sz w:val="24"/>
                <w:szCs w:val="20"/>
              </w:rPr>
              <w:t>技术储备：</w:t>
            </w:r>
            <w:r>
              <w:rPr>
                <w:rFonts w:hint="eastAsia" w:ascii="Times New Roman" w:hAnsi="Times New Roman" w:eastAsia="仿宋_GB2312" w:cs="Times New Roman"/>
                <w:sz w:val="24"/>
                <w:szCs w:val="20"/>
                <w:shd w:val="clear" w:color="auto" w:fill="auto"/>
              </w:rPr>
              <w:t>北京大学深圳医院核医学科为深圳市政府医疗卫生的“三名工程”，引进了以安锐教授为带头人的华中科技大学同济医学院附属协和医院核医学分子影像精准诊疗团队，得到了张永学、兰晓莉及江大卫教授的科研指导。团队研究方向涵盖分子核医学、多模态影像、肿瘤分子影像及纳米医学等研究方向，主要研究内容多种分子探针PET/CT或PET/MR显像在肿瘤的精准诊断和疗效评估的应用、框架核酸材料的核医学影像及生物医学应用开发等。</w:t>
            </w:r>
          </w:p>
          <w:p>
            <w:pPr>
              <w:spacing w:line="320" w:lineRule="exact"/>
              <w:ind w:firstLine="240" w:firstLineChars="100"/>
              <w:rPr>
                <w:rFonts w:ascii="Times New Roman" w:hAnsi="Times New Roman" w:eastAsia="仿宋_GB2312" w:cs="Times New Roman"/>
                <w:sz w:val="24"/>
                <w:szCs w:val="20"/>
              </w:rPr>
            </w:pPr>
          </w:p>
          <w:p>
            <w:pPr>
              <w:spacing w:line="320" w:lineRule="exact"/>
              <w:ind w:firstLine="240" w:firstLineChars="100"/>
              <w:rPr>
                <w:rFonts w:ascii="Times New Roman" w:hAnsi="Times New Roman" w:eastAsia="仿宋_GB2312" w:cs="Times New Roman"/>
                <w:sz w:val="24"/>
                <w:szCs w:val="20"/>
              </w:rPr>
            </w:pPr>
            <w:r>
              <w:rPr>
                <w:rFonts w:hint="eastAsia" w:ascii="Times New Roman" w:hAnsi="Times New Roman" w:eastAsia="仿宋_GB2312" w:cs="Times New Roman"/>
                <w:sz w:val="24"/>
                <w:szCs w:val="20"/>
              </w:rPr>
              <w:t>2.</w:t>
            </w:r>
            <w:r>
              <w:rPr>
                <w:rFonts w:ascii="Times New Roman" w:hAnsi="Times New Roman" w:eastAsia="仿宋_GB2312" w:cs="Times New Roman"/>
                <w:sz w:val="24"/>
                <w:szCs w:val="20"/>
              </w:rPr>
              <w:t>平台资质及合作资源：北京大学深圳医院核医学科集医、教、研于一体，在2023年获中国医院科技量值(STEM)专科排行榜全国第60名，复旦大学华南区核医学专科声誉排行榜中提名，担任了中国医师协会核医学医师分会常委单位，广东省医师协会核医学医师分会副主任委员单位，广东省核医学质量控制中心副主任单位，广东省医学会核医学分会常委单位，深圳市医师协会核医学医师分会会长单位，深圳市医学会核医学分会副主任委员单位。本科室还作为北京大学、深圳大学、汕头大学、广东医科大学等高校的研究生培养点，依托自身的临床和科研工作培养了大批的核医学临床科研两用人才。拥有一系列核医学特色鲜明的仪器设备和实验设施，包括Discovery MI PET/CT、NM 670 SPECT/CT、小动物PET/CT、伽玛计数仪、放射性核素标记实验室、Radio-HPLC、Radio-TLC。目前已形成以PET/CT、micro PET/CT、医用回旋加速器及18F、68Ga多种正电子药物为基础的核医学分子影像学药物研发平台，能够一体化地承担核医学和相关领域的实验室理论研究、临床转化研究和临床测试等工作，承担有国家、省、市、院级科研课题共计13项，在研经费总额超900万元。</w:t>
            </w:r>
          </w:p>
          <w:p>
            <w:pPr>
              <w:spacing w:line="320" w:lineRule="exact"/>
              <w:ind w:firstLine="240" w:firstLineChars="100"/>
              <w:rPr>
                <w:rFonts w:ascii="Times New Roman" w:hAnsi="Times New Roman" w:eastAsia="仿宋_GB2312" w:cs="Times New Roman"/>
                <w:sz w:val="24"/>
                <w:szCs w:val="20"/>
              </w:rPr>
            </w:pP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sz w:val="24"/>
                <w:szCs w:val="20"/>
              </w:rPr>
              <w:t>3</w:t>
            </w:r>
            <w:r>
              <w:rPr>
                <w:rFonts w:hint="eastAsia" w:ascii="Times New Roman" w:hAnsi="Times New Roman" w:eastAsia="仿宋_GB2312" w:cs="Times New Roman"/>
                <w:sz w:val="24"/>
                <w:szCs w:val="20"/>
                <w:lang w:val="en-US" w:eastAsia="zh-CN"/>
              </w:rPr>
              <w:t>.</w:t>
            </w:r>
            <w:r>
              <w:rPr>
                <w:rFonts w:ascii="Times New Roman" w:hAnsi="Times New Roman" w:eastAsia="仿宋_GB2312" w:cs="Times New Roman"/>
                <w:sz w:val="24"/>
                <w:szCs w:val="20"/>
              </w:rPr>
              <w:t>人员情况：医院核医学科科拥有一支临床经验丰富、对专业精益求精、对病人热情服务的专业技术队伍，共有医、物、技、护、研和辅助人员55人，其中博士12名、硕士12名。现有临床医生15名（主任医师2名、副主任医师3名、主治医师8名、住院医师2名），物理师7名，放射治疗师16名，临床护理人员12名，高研助1名，博士后人员1名，医辅人员3名。团队成员均</w:t>
            </w:r>
            <w:r>
              <w:rPr>
                <w:rFonts w:hint="eastAsia" w:ascii="Times New Roman" w:hAnsi="Times New Roman" w:eastAsia="仿宋_GB2312" w:cs="Times New Roman"/>
                <w:sz w:val="24"/>
                <w:szCs w:val="20"/>
              </w:rPr>
              <w:t>来自</w:t>
            </w:r>
            <w:r>
              <w:rPr>
                <w:rFonts w:ascii="Times New Roman" w:hAnsi="Times New Roman" w:eastAsia="仿宋_GB2312" w:cs="Times New Roman"/>
                <w:sz w:val="24"/>
                <w:szCs w:val="20"/>
              </w:rPr>
              <w:t>国内外知名院校和大型放射治疗中心，具备较高的临床诊疗和科学研究水平。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8"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实施成效</w:t>
            </w:r>
          </w:p>
        </w:tc>
        <w:tc>
          <w:tcPr>
            <w:tcW w:w="7413" w:type="dxa"/>
            <w:tcBorders>
              <w:top w:val="single" w:color="auto" w:sz="4" w:space="0"/>
              <w:left w:val="single" w:color="auto" w:sz="4" w:space="0"/>
              <w:bottom w:val="single" w:color="auto" w:sz="4" w:space="0"/>
              <w:right w:val="single" w:color="auto" w:sz="4" w:space="0"/>
            </w:tcBorders>
          </w:tcPr>
          <w:p>
            <w:pPr>
              <w:ind w:firstLine="240" w:firstLineChars="100"/>
              <w:rPr>
                <w:rFonts w:ascii="Times New Roman" w:hAnsi="Times New Roman" w:eastAsia="仿宋_GB2312" w:cs="Times New Roman"/>
                <w:sz w:val="24"/>
                <w:szCs w:val="20"/>
              </w:rPr>
            </w:pPr>
            <w:r>
              <w:rPr>
                <w:rFonts w:hint="eastAsia" w:ascii="Times New Roman" w:hAnsi="Times New Roman" w:eastAsia="仿宋_GB2312" w:cs="Times New Roman"/>
                <w:sz w:val="24"/>
                <w:szCs w:val="20"/>
              </w:rPr>
              <w:t>1.</w:t>
            </w:r>
            <w:r>
              <w:rPr>
                <w:rFonts w:ascii="Times New Roman" w:hAnsi="Times New Roman" w:eastAsia="仿宋_GB2312" w:cs="Times New Roman"/>
                <w:sz w:val="24"/>
                <w:szCs w:val="20"/>
              </w:rPr>
              <w:t>经济效益：直接节省放射性药物采购成本</w:t>
            </w:r>
            <w:r>
              <w:rPr>
                <w:rFonts w:hint="eastAsia" w:ascii="Times New Roman" w:hAnsi="Times New Roman" w:eastAsia="仿宋_GB2312" w:cs="Times New Roman"/>
                <w:sz w:val="24"/>
                <w:szCs w:val="20"/>
              </w:rPr>
              <w:t>10%—15%</w:t>
            </w:r>
            <w:r>
              <w:rPr>
                <w:rFonts w:ascii="Times New Roman" w:hAnsi="Times New Roman" w:eastAsia="仿宋_GB2312" w:cs="Times New Roman"/>
                <w:sz w:val="24"/>
                <w:szCs w:val="20"/>
              </w:rPr>
              <w:t>并优化人力；通过提升分装效率，使科室每日检查容量增加</w:t>
            </w:r>
            <w:r>
              <w:rPr>
                <w:rFonts w:hint="eastAsia" w:ascii="Times New Roman" w:hAnsi="Times New Roman" w:eastAsia="仿宋_GB2312" w:cs="Times New Roman"/>
                <w:sz w:val="24"/>
                <w:szCs w:val="20"/>
              </w:rPr>
              <w:t>20%—30%</w:t>
            </w:r>
            <w:r>
              <w:rPr>
                <w:rFonts w:ascii="Times New Roman" w:hAnsi="Times New Roman" w:eastAsia="仿宋_GB2312" w:cs="Times New Roman"/>
                <w:sz w:val="24"/>
                <w:szCs w:val="20"/>
              </w:rPr>
              <w:t>，直接创收。其高精度与安全性可规避重大医疗风险与纠纷成本。投资回报期短，是兼具显著短期收益与长期竞争力的高效资产。</w:t>
            </w:r>
          </w:p>
          <w:p>
            <w:pPr>
              <w:pStyle w:val="16"/>
              <w:numPr>
                <w:ilvl w:val="255"/>
                <w:numId w:val="0"/>
              </w:numPr>
              <w:spacing w:line="320" w:lineRule="exact"/>
              <w:ind w:firstLine="240" w:firstLineChars="100"/>
              <w:rPr>
                <w:rFonts w:ascii="Times New Roman" w:hAnsi="Times New Roman" w:eastAsia="仿宋_GB2312" w:cs="Times New Roman"/>
                <w:sz w:val="24"/>
                <w:szCs w:val="20"/>
              </w:rPr>
            </w:pPr>
            <w:r>
              <w:rPr>
                <w:rFonts w:hint="eastAsia" w:ascii="Times New Roman" w:hAnsi="Times New Roman" w:eastAsia="仿宋_GB2312" w:cs="Times New Roman"/>
                <w:sz w:val="24"/>
                <w:szCs w:val="20"/>
              </w:rPr>
              <w:t>2.</w:t>
            </w:r>
            <w:r>
              <w:rPr>
                <w:rFonts w:ascii="Times New Roman" w:hAnsi="Times New Roman" w:eastAsia="仿宋_GB2312" w:cs="Times New Roman"/>
                <w:sz w:val="24"/>
                <w:szCs w:val="20"/>
              </w:rPr>
              <w:t>社会效益：保障患者用药剂量精准，提升诊疗质量；大幅降低医护辐射暴露，守护职业健康；助力优质医疗资源下沉基层，促进公平可及；从源头减少放射性废物，践行绿色安全理念。是推动精准医疗普惠的关键基础设施。</w:t>
            </w:r>
          </w:p>
        </w:tc>
      </w:tr>
    </w:tbl>
    <w:p>
      <w:pPr>
        <w:rPr>
          <w:rFonts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revisionView w:markup="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3B"/>
    <w:rsid w:val="000417A8"/>
    <w:rsid w:val="00072F77"/>
    <w:rsid w:val="00096FCC"/>
    <w:rsid w:val="000A3374"/>
    <w:rsid w:val="000A3922"/>
    <w:rsid w:val="000A4A4B"/>
    <w:rsid w:val="000F4454"/>
    <w:rsid w:val="000F4C66"/>
    <w:rsid w:val="00104FD7"/>
    <w:rsid w:val="001242F7"/>
    <w:rsid w:val="001408CB"/>
    <w:rsid w:val="00144F08"/>
    <w:rsid w:val="00185040"/>
    <w:rsid w:val="001E5EAA"/>
    <w:rsid w:val="00205DBC"/>
    <w:rsid w:val="00222ADC"/>
    <w:rsid w:val="002265FE"/>
    <w:rsid w:val="00231A23"/>
    <w:rsid w:val="00292980"/>
    <w:rsid w:val="002F78B7"/>
    <w:rsid w:val="00311965"/>
    <w:rsid w:val="003415CB"/>
    <w:rsid w:val="00372057"/>
    <w:rsid w:val="0038487E"/>
    <w:rsid w:val="003A31F3"/>
    <w:rsid w:val="004063FD"/>
    <w:rsid w:val="00442370"/>
    <w:rsid w:val="00452DDD"/>
    <w:rsid w:val="00457E50"/>
    <w:rsid w:val="004613E0"/>
    <w:rsid w:val="004814C2"/>
    <w:rsid w:val="004A7B00"/>
    <w:rsid w:val="004C6B4F"/>
    <w:rsid w:val="004C7EB3"/>
    <w:rsid w:val="004E0182"/>
    <w:rsid w:val="004E0553"/>
    <w:rsid w:val="004E58EF"/>
    <w:rsid w:val="004F1C87"/>
    <w:rsid w:val="005001F4"/>
    <w:rsid w:val="005009CD"/>
    <w:rsid w:val="00503207"/>
    <w:rsid w:val="00512D71"/>
    <w:rsid w:val="005153B7"/>
    <w:rsid w:val="00551454"/>
    <w:rsid w:val="00552DA0"/>
    <w:rsid w:val="0056248C"/>
    <w:rsid w:val="0057428C"/>
    <w:rsid w:val="005A32C2"/>
    <w:rsid w:val="005A38BE"/>
    <w:rsid w:val="005A4F57"/>
    <w:rsid w:val="005B7FBF"/>
    <w:rsid w:val="005F1C89"/>
    <w:rsid w:val="005F7413"/>
    <w:rsid w:val="006310E2"/>
    <w:rsid w:val="00637876"/>
    <w:rsid w:val="00665FDC"/>
    <w:rsid w:val="00684032"/>
    <w:rsid w:val="006C343B"/>
    <w:rsid w:val="006D112F"/>
    <w:rsid w:val="006E062B"/>
    <w:rsid w:val="006F610C"/>
    <w:rsid w:val="007342D5"/>
    <w:rsid w:val="00751207"/>
    <w:rsid w:val="00771E85"/>
    <w:rsid w:val="00774D99"/>
    <w:rsid w:val="007807BE"/>
    <w:rsid w:val="007830CB"/>
    <w:rsid w:val="00784694"/>
    <w:rsid w:val="007A54B2"/>
    <w:rsid w:val="007B1D80"/>
    <w:rsid w:val="007B6657"/>
    <w:rsid w:val="007D3ADA"/>
    <w:rsid w:val="008572C1"/>
    <w:rsid w:val="00893BD5"/>
    <w:rsid w:val="008952C3"/>
    <w:rsid w:val="008B120C"/>
    <w:rsid w:val="008B7AAB"/>
    <w:rsid w:val="008C25DF"/>
    <w:rsid w:val="008D6FE9"/>
    <w:rsid w:val="00912E38"/>
    <w:rsid w:val="00921E44"/>
    <w:rsid w:val="009355EF"/>
    <w:rsid w:val="00936F90"/>
    <w:rsid w:val="00992325"/>
    <w:rsid w:val="009A4411"/>
    <w:rsid w:val="009A6F5D"/>
    <w:rsid w:val="009C26FA"/>
    <w:rsid w:val="009D072E"/>
    <w:rsid w:val="009E7641"/>
    <w:rsid w:val="00A00B41"/>
    <w:rsid w:val="00A07B12"/>
    <w:rsid w:val="00A3168A"/>
    <w:rsid w:val="00A321DC"/>
    <w:rsid w:val="00A413AF"/>
    <w:rsid w:val="00A464B4"/>
    <w:rsid w:val="00A55A96"/>
    <w:rsid w:val="00A95634"/>
    <w:rsid w:val="00AA2C6A"/>
    <w:rsid w:val="00AB4A50"/>
    <w:rsid w:val="00AB7744"/>
    <w:rsid w:val="00AC666D"/>
    <w:rsid w:val="00AD5859"/>
    <w:rsid w:val="00B1112F"/>
    <w:rsid w:val="00B17A10"/>
    <w:rsid w:val="00B40814"/>
    <w:rsid w:val="00B76C08"/>
    <w:rsid w:val="00B86D87"/>
    <w:rsid w:val="00C15A05"/>
    <w:rsid w:val="00C418C9"/>
    <w:rsid w:val="00C53D1F"/>
    <w:rsid w:val="00C869A8"/>
    <w:rsid w:val="00C950F2"/>
    <w:rsid w:val="00CA13CA"/>
    <w:rsid w:val="00CA1A59"/>
    <w:rsid w:val="00CA333D"/>
    <w:rsid w:val="00CB269D"/>
    <w:rsid w:val="00D07A4C"/>
    <w:rsid w:val="00D15730"/>
    <w:rsid w:val="00D57E8E"/>
    <w:rsid w:val="00D85099"/>
    <w:rsid w:val="00DF63D5"/>
    <w:rsid w:val="00E22C3C"/>
    <w:rsid w:val="00E25184"/>
    <w:rsid w:val="00E33726"/>
    <w:rsid w:val="00E75083"/>
    <w:rsid w:val="00F1302A"/>
    <w:rsid w:val="00F57A7F"/>
    <w:rsid w:val="00F601B2"/>
    <w:rsid w:val="00F837FF"/>
    <w:rsid w:val="00F934E7"/>
    <w:rsid w:val="00FB445C"/>
    <w:rsid w:val="00FE290B"/>
    <w:rsid w:val="01F0403A"/>
    <w:rsid w:val="06C8202F"/>
    <w:rsid w:val="09003D55"/>
    <w:rsid w:val="0EE5457E"/>
    <w:rsid w:val="17D23921"/>
    <w:rsid w:val="19921729"/>
    <w:rsid w:val="1DD06378"/>
    <w:rsid w:val="1E8C2D66"/>
    <w:rsid w:val="2ACC3484"/>
    <w:rsid w:val="2CC76418"/>
    <w:rsid w:val="2E117847"/>
    <w:rsid w:val="391836AA"/>
    <w:rsid w:val="3FB93A98"/>
    <w:rsid w:val="4DDFF696"/>
    <w:rsid w:val="4F151527"/>
    <w:rsid w:val="55567D45"/>
    <w:rsid w:val="567F7805"/>
    <w:rsid w:val="5A7124C4"/>
    <w:rsid w:val="5C915296"/>
    <w:rsid w:val="5E776CE7"/>
    <w:rsid w:val="61EA1DE0"/>
    <w:rsid w:val="67495B4D"/>
    <w:rsid w:val="67E46732"/>
    <w:rsid w:val="69161668"/>
    <w:rsid w:val="6ABDB91F"/>
    <w:rsid w:val="73CE4A02"/>
    <w:rsid w:val="7B39F76B"/>
    <w:rsid w:val="7F7C2D89"/>
    <w:rsid w:val="9EDB286F"/>
    <w:rsid w:val="BBDF3A71"/>
    <w:rsid w:val="BBFF5265"/>
    <w:rsid w:val="FF7FA4B0"/>
    <w:rsid w:val="FFAD5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link w:val="14"/>
    <w:semiHidden/>
    <w:unhideWhenUsed/>
    <w:qFormat/>
    <w:uiPriority w:val="99"/>
    <w:pPr>
      <w:spacing w:after="120"/>
    </w:pPr>
  </w:style>
  <w:style w:type="paragraph" w:styleId="4">
    <w:name w:val="Body Text Indent 2"/>
    <w:basedOn w:val="1"/>
    <w:link w:val="15"/>
    <w:unhideWhenUsed/>
    <w:qFormat/>
    <w:uiPriority w:val="99"/>
    <w:pPr>
      <w:spacing w:after="120" w:line="480" w:lineRule="auto"/>
      <w:ind w:left="420" w:leftChars="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themeColor="hyperlink"/>
      <w:u w:val="single"/>
      <w14:textFill>
        <w14:solidFill>
          <w14:schemeClr w14:val="hlink"/>
        </w14:solidFill>
      </w14:textFill>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customStyle="1" w:styleId="13">
    <w:name w:val="样式1"/>
    <w:basedOn w:val="3"/>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4">
    <w:name w:val="正文文本 字符"/>
    <w:basedOn w:val="9"/>
    <w:link w:val="3"/>
    <w:semiHidden/>
    <w:qFormat/>
    <w:uiPriority w:val="99"/>
  </w:style>
  <w:style w:type="character" w:customStyle="1" w:styleId="15">
    <w:name w:val="正文文本缩进 2 字符"/>
    <w:basedOn w:val="9"/>
    <w:link w:val="4"/>
    <w:qFormat/>
    <w:uiPriority w:val="99"/>
  </w:style>
  <w:style w:type="paragraph" w:styleId="16">
    <w:name w:val="List Paragraph"/>
    <w:basedOn w:val="1"/>
    <w:qFormat/>
    <w:uiPriority w:val="99"/>
    <w:pPr>
      <w:ind w:firstLine="420" w:firstLineChars="200"/>
    </w:pPr>
  </w:style>
  <w:style w:type="paragraph" w:customStyle="1" w:styleId="17">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970</Words>
  <Characters>1069</Characters>
  <Lines>53</Lines>
  <Paragraphs>47</Paragraphs>
  <TotalTime>8</TotalTime>
  <ScaleCrop>false</ScaleCrop>
  <LinksUpToDate>false</LinksUpToDate>
  <CharactersWithSpaces>1992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2024-06-19T17:15:00Z</dcterms:created>
  <dc:creator>张平</dc:creator>
  <cp:lastModifiedBy>工信局李悦</cp:lastModifiedBy>
  <cp:lastPrinted>2025-07-24T12:28:00Z</cp:lastPrinted>
  <dcterms:modified xsi:type="dcterms:W3CDTF">2026-08-14T15:51:41Z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2794EBEE029F4C818DB34C50F3938293_13</vt:lpwstr>
  </property>
  <property fmtid="{D5CDD505-2E9C-101B-9397-08002B2CF9AE}" pid="4" name="KSOTemplateDocerSaveRecord">
    <vt:lpwstr>eyJoZGlkIjoiMTgyY2Y5Y2UxZjkwY2NiYzg1MTM4ZmQzOTFhYWJhY2IiLCJ1c2VySWQiOiI0NTQ2MTExNTgifQ==</vt:lpwstr>
  </property>
</Properties>
</file>