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10"/>
        </w:tabs>
        <w:ind w:firstLine="640"/>
        <w:jc w:val="left"/>
        <w:rPr>
          <w:rFonts w:hint="eastAsia" w:ascii="黑体" w:hAnsi="黑体" w:eastAsia="黑体"/>
          <w:sz w:val="32"/>
        </w:rPr>
      </w:pPr>
      <w:r>
        <w:rPr>
          <w:rFonts w:hint="eastAsia" w:ascii="黑体" w:hAnsi="黑体" w:eastAsia="黑体"/>
          <w:sz w:val="32"/>
        </w:rPr>
        <w:t>附件：</w:t>
      </w:r>
    </w:p>
    <w:p>
      <w:pPr>
        <w:ind w:firstLine="640"/>
        <w:jc w:val="center"/>
        <w:rPr>
          <w:rFonts w:ascii="黑体" w:hAnsi="黑体" w:eastAsia="黑体"/>
          <w:sz w:val="32"/>
        </w:rPr>
      </w:pPr>
      <w:r>
        <w:rPr>
          <w:rFonts w:ascii="黑体" w:hAnsi="黑体" w:eastAsia="黑体"/>
          <w:sz w:val="32"/>
        </w:rPr>
        <w:t>深圳市南山区机器人场景应用“揭榜挂帅”</w:t>
      </w:r>
    </w:p>
    <w:p>
      <w:pPr>
        <w:ind w:firstLine="640"/>
        <w:jc w:val="center"/>
        <w:rPr>
          <w:rFonts w:hint="eastAsia" w:ascii="黑体" w:hAnsi="黑体" w:eastAsia="黑体"/>
          <w:sz w:val="32"/>
        </w:rPr>
      </w:pPr>
      <w:r>
        <w:rPr>
          <w:rFonts w:ascii="黑体" w:hAnsi="黑体" w:eastAsia="黑体"/>
          <w:sz w:val="32"/>
        </w:rPr>
        <w:t>项目榜单征集表</w:t>
      </w:r>
    </w:p>
    <w:tbl>
      <w:tblPr>
        <w:tblStyle w:val="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7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firstLine="0" w:firstLineChars="0"/>
              <w:jc w:val="center"/>
              <w:rPr>
                <w:rFonts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80"/>
              <w:jc w:val="both"/>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基于模块化建筑世界模型的重载工业具身装配机器人需求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firstLine="0" w:firstLineChars="0"/>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tcBorders>
              <w:top w:val="single" w:color="auto" w:sz="4" w:space="0"/>
              <w:left w:val="single" w:color="auto" w:sz="4" w:space="0"/>
              <w:bottom w:val="single" w:color="auto" w:sz="4" w:space="0"/>
              <w:right w:val="single" w:color="auto" w:sz="4" w:space="0"/>
            </w:tcBorders>
          </w:tcPr>
          <w:p>
            <w:pPr>
              <w:snapToGrid w:val="0"/>
              <w:spacing w:line="320" w:lineRule="exact"/>
              <w:ind w:firstLine="48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①现有场景基本情况：拟建设国内首条双皮墙混凝土模块（CF-MiC）脉动智能工厂，这是一条覆盖"PC构件预制—模块结构组拼—装饰装修（含机电）—成品封装"全工序的脉动式生产线。其中模块结构组拼焊接工序是将双皮墙、底板、ALC板等预制构件拼合成完整模块箱体的核心环节，单个模块最大尺寸达12m×4m×3.8m、最大重量约40吨，须兼容宽度2.4m-4.0m、长度6m-12m、高度3m-3.8m等多种规格。</w:t>
            </w:r>
          </w:p>
          <w:p>
            <w:pPr>
              <w:snapToGrid w:val="0"/>
              <w:spacing w:line="320" w:lineRule="exact"/>
              <w:ind w:firstLine="48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②现有作业方式：模块组拼工位目前由6名工人协作完成构件预吊装固定与点焊，AGV将墙板从存储区运至拼装位；焊接工位采用人工焊接执行，多品种混流生产能力严重不足，整体节拍约8小时/模块。</w:t>
            </w:r>
          </w:p>
          <w:p>
            <w:pPr>
              <w:snapToGrid w:val="0"/>
              <w:spacing w:line="320" w:lineRule="exact"/>
              <w:ind w:firstLine="48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③现有场景痛点：一是柔性不足，现有生产线为"一型一线"刚性布局，难以兼容三种以上规格模块的混流生产；二是关键工序自动化率低，模块结构组拼、焊接等核心工序自动化率低于60%，质量一致性依赖人工经验，焊缝一次合格率约85%，返修率高；三是协同管控缺失，各生产设备接口异构独立运行，缺乏统一的数字化管控平台，工序衔接依赖人工调度，异常响应滞后；四是安全风险突出，焊接工位弧光、烟尘及重型构件吊装存在显著职业健康与安全隐患，人机混行区域风险高。</w:t>
            </w:r>
          </w:p>
          <w:p>
            <w:pPr>
              <w:snapToGrid w:val="0"/>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④引入机器人的必要性：CF-MiC模块"多品种、重型、非标定制"的核心特性决定传统固定自动化方案无法适配，必须引入具备视觉识别与自适应能力的工业机器人系统。同时政府已明确2026年起新出让居住用地100%实施装配式建筑、年度模块化占比不低于10%，市场需求将呈爆发式增长，亟需通过工业机器人替代人工实现质量标准化与产能倍增，以满足规模化订单的高效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firstLine="0" w:firstLineChars="0"/>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①</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模块化建筑世界模型：</w:t>
            </w:r>
            <w:r>
              <w:rPr>
                <w:rFonts w:hint="eastAsia" w:ascii="Times New Roman" w:hAnsi="Times New Roman" w:eastAsia="仿宋_GB2312" w:cs="Times New Roman"/>
                <w:color w:val="000000" w:themeColor="text1"/>
                <w:kern w:val="0"/>
                <w:sz w:val="24"/>
                <w:szCs w:val="24"/>
                <w14:textFill>
                  <w14:solidFill>
                    <w14:schemeClr w14:val="tx1"/>
                  </w14:solidFill>
                </w14:textFill>
              </w:rPr>
              <w:t>基于模块化建筑垂域模型构建虚拟仿真环境，使具身智能装备能够理解真实生产环境、预测未来生产状态并进行规划、决策。需构建三类关键模块：a、视觉模块：采集高维观测数据进行清洗、训练，提取对决策最重要的特征。b、记忆模块：构建AI物理引擎，可在内部模拟环境中预测未来状态，能够理解因果关系和物理规律。c、控制模块：在世界模型中学习和优化行动策略，减少在真实环境中的试错成本</w:t>
            </w:r>
          </w:p>
          <w:p>
            <w:pPr>
              <w:spacing w:line="320" w:lineRule="exact"/>
              <w:ind w:firstLine="482"/>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②工业具身智能装配</w:t>
            </w:r>
            <w:r>
              <w:rPr>
                <w:rFonts w:ascii="Times New Roman" w:hAnsi="Times New Roman" w:eastAsia="仿宋_GB2312" w:cs="Times New Roman"/>
                <w:b/>
                <w:bCs/>
                <w:color w:val="000000" w:themeColor="text1"/>
                <w:kern w:val="0"/>
                <w:sz w:val="24"/>
                <w:szCs w:val="24"/>
                <w14:textFill>
                  <w14:solidFill>
                    <w14:schemeClr w14:val="tx1"/>
                  </w14:solidFill>
                </w14:textFill>
              </w:rPr>
              <w:t>系统与设备构成</w:t>
            </w:r>
            <w:r>
              <w:rPr>
                <w:rFonts w:ascii="Times New Roman" w:hAnsi="Times New Roman" w:eastAsia="仿宋_GB2312" w:cs="Times New Roman"/>
                <w:color w:val="000000" w:themeColor="text1"/>
                <w:kern w:val="0"/>
                <w:sz w:val="24"/>
                <w:szCs w:val="24"/>
                <w14:textFill>
                  <w14:solidFill>
                    <w14:schemeClr w14:val="tx1"/>
                  </w14:solidFill>
                </w14:textFill>
              </w:rPr>
              <w:t>：建设拼装工站（尺寸约20m×15m×15.5m），配置一体化承载基体、墙板吊装上料机构、吊装定位相机、吊装自动吊钩、中间定位模组、侧面压紧装置、内尺寸检查装置、3D激光投影模块、焊接机器人及焊接机器人移动轴等核心设备。</w:t>
            </w:r>
          </w:p>
          <w:p>
            <w:pPr>
              <w:spacing w:line="320" w:lineRule="exact"/>
              <w:ind w:firstLine="482"/>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③工业具身智能装配</w:t>
            </w:r>
            <w:r>
              <w:rPr>
                <w:rFonts w:ascii="Times New Roman" w:hAnsi="Times New Roman" w:eastAsia="仿宋_GB2312" w:cs="Times New Roman"/>
                <w:b/>
                <w:bCs/>
                <w:color w:val="000000" w:themeColor="text1"/>
                <w:kern w:val="0"/>
                <w:sz w:val="24"/>
                <w:szCs w:val="24"/>
                <w14:textFill>
                  <w14:solidFill>
                    <w14:schemeClr w14:val="tx1"/>
                  </w14:solidFill>
                </w14:textFill>
              </w:rPr>
              <w:t>流程</w:t>
            </w:r>
            <w:r>
              <w:rPr>
                <w:rFonts w:ascii="Times New Roman" w:hAnsi="Times New Roman" w:eastAsia="仿宋_GB2312" w:cs="Times New Roman"/>
                <w:color w:val="000000" w:themeColor="text1"/>
                <w:kern w:val="0"/>
                <w:sz w:val="24"/>
                <w:szCs w:val="24"/>
                <w14:textFill>
                  <w14:solidFill>
                    <w14:schemeClr w14:val="tx1"/>
                  </w14:solidFill>
                </w14:textFill>
              </w:rPr>
              <w:t>：</w:t>
            </w:r>
            <w:r>
              <w:rPr>
                <w:rFonts w:hint="eastAsia" w:ascii="Times New Roman" w:hAnsi="Times New Roman" w:eastAsia="仿宋_GB2312" w:cs="Times New Roman"/>
                <w:color w:val="000000" w:themeColor="text1"/>
                <w:kern w:val="0"/>
                <w:sz w:val="24"/>
                <w:szCs w:val="24"/>
                <w14:textFill>
                  <w14:solidFill>
                    <w14:schemeClr w14:val="tx1"/>
                  </w14:solidFill>
                </w14:textFill>
              </w:rPr>
              <w:t>与</w:t>
            </w:r>
            <w:r>
              <w:rPr>
                <w:rFonts w:ascii="Times New Roman" w:hAnsi="Times New Roman" w:eastAsia="仿宋_GB2312" w:cs="Times New Roman"/>
                <w:color w:val="000000" w:themeColor="text1"/>
                <w:kern w:val="0"/>
                <w:sz w:val="24"/>
                <w:szCs w:val="24"/>
                <w14:textFill>
                  <w14:solidFill>
                    <w14:schemeClr w14:val="tx1"/>
                  </w14:solidFill>
                </w14:textFill>
              </w:rPr>
              <w:t>AGV</w:t>
            </w:r>
            <w:r>
              <w:rPr>
                <w:rFonts w:hint="eastAsia" w:ascii="Times New Roman" w:hAnsi="Times New Roman" w:eastAsia="仿宋_GB2312" w:cs="Times New Roman"/>
                <w:color w:val="000000" w:themeColor="text1"/>
                <w:kern w:val="0"/>
                <w:sz w:val="24"/>
                <w:szCs w:val="24"/>
                <w14:textFill>
                  <w14:solidFill>
                    <w14:schemeClr w14:val="tx1"/>
                  </w14:solidFill>
                </w14:textFill>
              </w:rPr>
              <w:t>协同完成墙板</w:t>
            </w:r>
            <w:r>
              <w:rPr>
                <w:rFonts w:ascii="Times New Roman" w:hAnsi="Times New Roman" w:eastAsia="仿宋_GB2312" w:cs="Times New Roman"/>
                <w:color w:val="000000" w:themeColor="text1"/>
                <w:kern w:val="0"/>
                <w:sz w:val="24"/>
                <w:szCs w:val="24"/>
                <w14:textFill>
                  <w14:solidFill>
                    <w14:schemeClr w14:val="tx1"/>
                  </w14:solidFill>
                </w14:textFill>
              </w:rPr>
              <w:t>输送来料；吊装机构自动识别并钩取墙板，上升脱离料架后快速靠近内基准粗定位；四面墙板吊装完成后同步向内基准移动，外侧推压机构将墙板贴合内基准面，内尺寸检查装置实时反馈精调至指定尺寸，整体下降落到模台后执行自动点焊，合格后流出。</w:t>
            </w:r>
          </w:p>
          <w:p>
            <w:pPr>
              <w:spacing w:line="320" w:lineRule="exact"/>
              <w:ind w:firstLine="482"/>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④</w:t>
            </w:r>
            <w:r>
              <w:rPr>
                <w:rFonts w:ascii="Times New Roman" w:hAnsi="Times New Roman" w:eastAsia="仿宋_GB2312" w:cs="Times New Roman"/>
                <w:b/>
                <w:bCs/>
                <w:color w:val="000000" w:themeColor="text1"/>
                <w:kern w:val="0"/>
                <w:sz w:val="24"/>
                <w:szCs w:val="24"/>
                <w14:textFill>
                  <w14:solidFill>
                    <w14:schemeClr w14:val="tx1"/>
                  </w14:solidFill>
                </w14:textFill>
              </w:rPr>
              <w:t>精调与定位技术</w:t>
            </w:r>
            <w:r>
              <w:rPr>
                <w:rFonts w:ascii="Times New Roman" w:hAnsi="Times New Roman" w:eastAsia="仿宋_GB2312" w:cs="Times New Roman"/>
                <w:color w:val="000000" w:themeColor="text1"/>
                <w:kern w:val="0"/>
                <w:sz w:val="24"/>
                <w:szCs w:val="24"/>
                <w14:textFill>
                  <w14:solidFill>
                    <w14:schemeClr w14:val="tx1"/>
                  </w14:solidFill>
                </w14:textFill>
              </w:rPr>
              <w:t>：内基准定位模组采用</w:t>
            </w:r>
            <w:r>
              <w:rPr>
                <w:rFonts w:hint="eastAsia" w:ascii="Times New Roman" w:hAnsi="Times New Roman" w:eastAsia="仿宋_GB2312" w:cs="Times New Roman"/>
                <w:color w:val="000000" w:themeColor="text1"/>
                <w:kern w:val="0"/>
                <w:sz w:val="24"/>
                <w:szCs w:val="24"/>
                <w14:textFill>
                  <w14:solidFill>
                    <w14:schemeClr w14:val="tx1"/>
                  </w14:solidFill>
                </w14:textFill>
              </w:rPr>
              <w:t>重载私服</w:t>
            </w:r>
            <w:r>
              <w:rPr>
                <w:rFonts w:ascii="Times New Roman" w:hAnsi="Times New Roman" w:eastAsia="仿宋_GB2312" w:cs="Times New Roman"/>
                <w:color w:val="000000" w:themeColor="text1"/>
                <w:kern w:val="0"/>
                <w:sz w:val="24"/>
                <w:szCs w:val="24"/>
                <w14:textFill>
                  <w14:solidFill>
                    <w14:schemeClr w14:val="tx1"/>
                  </w14:solidFill>
                </w14:textFill>
              </w:rPr>
              <w:t>机构与闭环控制</w:t>
            </w:r>
            <w:r>
              <w:rPr>
                <w:rFonts w:hint="eastAsia" w:ascii="Times New Roman" w:hAnsi="Times New Roman" w:eastAsia="仿宋_GB2312" w:cs="Times New Roman"/>
                <w:color w:val="000000" w:themeColor="text1"/>
                <w:kern w:val="0"/>
                <w:sz w:val="24"/>
                <w:szCs w:val="24"/>
                <w14:textFill>
                  <w14:solidFill>
                    <w14:schemeClr w14:val="tx1"/>
                  </w14:solidFill>
                </w14:textFill>
              </w:rPr>
              <w:t>系统</w:t>
            </w:r>
            <w:r>
              <w:rPr>
                <w:rFonts w:ascii="Times New Roman" w:hAnsi="Times New Roman" w:eastAsia="仿宋_GB2312" w:cs="Times New Roman"/>
                <w:color w:val="000000" w:themeColor="text1"/>
                <w:kern w:val="0"/>
                <w:sz w:val="24"/>
                <w:szCs w:val="24"/>
                <w14:textFill>
                  <w14:solidFill>
                    <w14:schemeClr w14:val="tx1"/>
                  </w14:solidFill>
                </w14:textFill>
              </w:rPr>
              <w:t>，行程调节精度达±0.</w:t>
            </w:r>
            <w:r>
              <w:rPr>
                <w:rFonts w:hint="eastAsia" w:ascii="Times New Roman" w:hAnsi="Times New Roman" w:eastAsia="仿宋_GB2312" w:cs="Times New Roman"/>
                <w:color w:val="000000" w:themeColor="text1"/>
                <w:kern w:val="0"/>
                <w:sz w:val="24"/>
                <w:szCs w:val="24"/>
                <w14:textFill>
                  <w14:solidFill>
                    <w14:schemeClr w14:val="tx1"/>
                  </w14:solidFill>
                </w14:textFill>
              </w:rPr>
              <w:t>1</w:t>
            </w:r>
            <w:r>
              <w:rPr>
                <w:rFonts w:ascii="Times New Roman" w:hAnsi="Times New Roman" w:eastAsia="仿宋_GB2312" w:cs="Times New Roman"/>
                <w:color w:val="000000" w:themeColor="text1"/>
                <w:kern w:val="0"/>
                <w:sz w:val="24"/>
                <w:szCs w:val="24"/>
                <w14:textFill>
                  <w14:solidFill>
                    <w14:schemeClr w14:val="tx1"/>
                  </w14:solidFill>
                </w14:textFill>
              </w:rPr>
              <w:t>mm；顶部配备2个3D激光激光投影定位系统，全范围覆盖多款模块，并具备语音与字幕提示功能；外侧推压模组每个推块需单独动力控制并配激光位移传感器精确检测墙板位置；底部采用强力电控磁铁吸盘固定（单个吸力达2500kg）。</w:t>
            </w:r>
          </w:p>
          <w:p>
            <w:pPr>
              <w:spacing w:line="320" w:lineRule="exact"/>
              <w:ind w:firstLine="482"/>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⑤</w:t>
            </w:r>
            <w:r>
              <w:rPr>
                <w:rFonts w:ascii="Times New Roman" w:hAnsi="Times New Roman" w:eastAsia="仿宋_GB2312" w:cs="Times New Roman"/>
                <w:b/>
                <w:bCs/>
                <w:color w:val="000000" w:themeColor="text1"/>
                <w:kern w:val="0"/>
                <w:sz w:val="24"/>
                <w:szCs w:val="24"/>
                <w14:textFill>
                  <w14:solidFill>
                    <w14:schemeClr w14:val="tx1"/>
                  </w14:solidFill>
                </w14:textFill>
              </w:rPr>
              <w:t>视觉与焊接要求</w:t>
            </w:r>
            <w:r>
              <w:rPr>
                <w:rFonts w:ascii="Times New Roman" w:hAnsi="Times New Roman" w:eastAsia="仿宋_GB2312" w:cs="Times New Roman"/>
                <w:color w:val="000000" w:themeColor="text1"/>
                <w:kern w:val="0"/>
                <w:sz w:val="24"/>
                <w:szCs w:val="24"/>
                <w14:textFill>
                  <w14:solidFill>
                    <w14:schemeClr w14:val="tx1"/>
                  </w14:solidFill>
                </w14:textFill>
              </w:rPr>
              <w:t>：压块前端需安装视觉识别系统且Z向单独可调，推压时准确避开钢筋网；焊接机器人需满足模块墙板上端约300-500mm的自动焊接需求，且支持长宽6m×4m及以上尺寸模块的自动焊接作业。</w:t>
            </w:r>
          </w:p>
          <w:p>
            <w:pPr>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⑥</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性能参数要求：</w:t>
            </w:r>
            <w:r>
              <w:rPr>
                <w:rFonts w:hint="eastAsia" w:ascii="Times New Roman" w:hAnsi="Times New Roman" w:eastAsia="仿宋_GB2312" w:cs="Times New Roman"/>
                <w:color w:val="000000" w:themeColor="text1"/>
                <w:kern w:val="0"/>
                <w:sz w:val="24"/>
                <w:szCs w:val="24"/>
                <w14:textFill>
                  <w14:solidFill>
                    <w14:schemeClr w14:val="tx1"/>
                  </w14:solidFill>
                </w14:textFill>
              </w:rPr>
              <w:t>视觉识别构件类型及位置准确率≥98%；焊接定位精度≤±0.5mm；焊缝一次合格率≥95%；兼容模块宽度2.4m-4.0m、长度6m-12m、高度3m-3.8m全规格范围；设备综合稼动率（OEE）≥85%；支持7×24小时连续稳定作业；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3"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firstLine="0" w:firstLineChars="0"/>
              <w:jc w:val="center"/>
              <w:rPr>
                <w:rFonts w:ascii="Times New Roman" w:hAnsi="Times New Roman" w:eastAsia="仿宋_GB2312" w:cs="Times New Roman"/>
                <w:color w:val="000000" w:themeColor="text1"/>
                <w:kern w:val="0"/>
                <w:sz w:val="24"/>
                <w:szCs w:val="24"/>
                <w14:textFill>
                  <w14:solidFill>
                    <w14:schemeClr w14:val="tx1"/>
                  </w14:solidFill>
                </w14:textFill>
              </w:rPr>
            </w:pPr>
            <w:bookmarkStart w:id="0" w:name="_GoBack"/>
            <w:bookmarkEnd w:id="0"/>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①当前国内外应用情况：国外模块化建筑工业机器人应用起步较早，欧美、日本龙头企业已将工业机器人深度集成于钢筋加工、预埋件安装等关键工序，自动化率可达90%以上，并配合激光定位、力控传感等高精度检测技术，模块尺寸误差控制在±1mm以内；德国企业参数化模具技术可实现2-5种规格模块快速换型（2小时以内）。国内模块化建筑产线仍处于"规模化起步、智能化升级"阶段，部分龙头企业已在钢筋加工、智能布料等工序试点机器人，但核心工序（模块组拼焊接）自动化率普遍低于60%，且大多为单一模块专用线，"一型一线"现象突出。集团旗下7家二级单位共建有15条模块产品生产线，按集团评级标准目前仅2条达Ⅳ级，6条达Ⅲ级，7条仍为Ⅱ级，整体产业仍处由"制造"迈向"智造"的攻坚转型期。</w:t>
            </w:r>
          </w:p>
          <w:p>
            <w:pPr>
              <w:spacing w:line="320" w:lineRule="exact"/>
              <w:ind w:firstLine="48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②现有应用不足与技术难点：现有国内方案普遍针对单一规格构件开发，难以适应CF-MiC体系多品种柔性生产需求；视觉识别系统对混凝土构件表面纹理、预埋件定位精度不足；尚无针对重型模块箱体（单件达40吨）全流程自动化组拼焊接的成熟集成方案。核心技术难点：重型异形构件高精度视觉定位、多规格自适应焊接路径规划、焊接机器人与AGV及脉动产线管控平台的协同调度，以及多设备跨专业实时通讯与时序互锁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firstLine="0" w:firstLineChars="0"/>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潜在规模</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广州市已明确2030年形成5000亿级装配式建筑产业集群，模块化建筑（MiC）为核心增长极，保守估算广州MiC工厂产线智能化系统投资规模约10-30亿元。深圳市依托《住宅建筑智能建造技术应用规程》（2025年深圳市地方标准）及装配式强制推广政策，MiC智能工厂建设需求加速释放，预估深圳市相关市场规模约5-15亿元。向华南地区整体辐射，广东省MiC智能焊接机器人系统市场总规模预估超50亿元。拟攻坚CF-MiC工艺数据与设备集成技术，所形成的解决方案同步面向深圳及华南市场对外输出，预计在该细分赛道可占据30%以上市场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firstLine="0" w:firstLineChars="0"/>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已展开厂区设计规划：在仓储区（53.96亩）新建二层、局部三层模块化工厂，新建厂房总建筑面积超过45,287㎡（A1#新建模块厂房35,663㎡），设计容纳脉动制造产线，工厂一层平面已完成详细设计规划。</w:t>
            </w:r>
          </w:p>
          <w:p>
            <w:pPr>
              <w:spacing w:line="320" w:lineRule="exact"/>
              <w:ind w:firstLine="48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项目参与公司已获国家专利88项，工法20项，发表论文32篇，参与国家十三五、十四五重点研发计划课题各两项。拥有11名核心成员曾供职于多家老牌供港企业，熟悉模块化建造的技术要求、生产流程与港澳标准规范。</w:t>
            </w:r>
          </w:p>
          <w:p>
            <w:pPr>
              <w:spacing w:line="32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仿宋_GB2312" w:hAnsi="Times New Roman" w:eastAsia="仿宋_GB2312" w:cs="方正仿宋简体"/>
                <w:sz w:val="24"/>
                <w:szCs w:val="20"/>
              </w:rPr>
              <w:t>本项目联合中国建筑西南设计研究院有限公司（自主研发Easy BIM软件平台，已通过中国信通院评测，代码自主率满分）、中建工程产业技术研究院有限公司、中建四局共同承担，形成了设计、研发、生产、施工全链条协同团队。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ind w:firstLine="0" w:firstLineChars="0"/>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实施成效</w:t>
            </w:r>
          </w:p>
        </w:tc>
        <w:tc>
          <w:tcPr>
            <w:tcW w:w="7413" w:type="dxa"/>
            <w:tcBorders>
              <w:top w:val="single" w:color="auto" w:sz="4" w:space="0"/>
              <w:left w:val="single" w:color="auto" w:sz="4" w:space="0"/>
              <w:bottom w:val="single" w:color="auto" w:sz="4" w:space="0"/>
              <w:right w:val="single" w:color="auto" w:sz="4" w:space="0"/>
            </w:tcBorders>
          </w:tcPr>
          <w:p>
            <w:pPr>
              <w:spacing w:line="320" w:lineRule="exact"/>
              <w:ind w:firstLine="48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经济效益：①降本：模块组拼焊接工位人员从3人/班降至1人/班，按双班制年节省人工成本约60-80万元；②提质：焊缝一次合格率从约85%提升至95%以上，返工损耗降低80%；③提效：模块产出节拍从8小时/模块优化至2小时/模块；④柔性增值：多规格混流能力大幅扩展可接订单范围，换型成本降低90%；综合测算年降本增效超千万元/条产线。</w:t>
            </w:r>
          </w:p>
          <w:p>
            <w:pPr>
              <w:spacing w:line="320" w:lineRule="exact"/>
              <w:ind w:firstLine="48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社会效益：①为CF-MiC体系模块组拼焊接工序提供可复制工业机器人应用范本，推动建筑模块化生产从"制造"向"智造"升级；②助力"机器换人"，改善弧光、烟尘、重载等恶劣劳动条件，保障工人职业健康安全；③支撑广州市2030年5000亿装配式建筑产业集群目标所需的规模化产能；④契合"双碳"目标，脉动式生产降低单位产品能耗与碳排放。</w:t>
            </w:r>
          </w:p>
        </w:tc>
      </w:tr>
    </w:tbl>
    <w:p>
      <w:pPr>
        <w:ind w:firstLine="640"/>
        <w:rPr>
          <w:rFonts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3B"/>
    <w:rsid w:val="000A3374"/>
    <w:rsid w:val="000A3922"/>
    <w:rsid w:val="000A4A4B"/>
    <w:rsid w:val="000F4C66"/>
    <w:rsid w:val="00120173"/>
    <w:rsid w:val="001242F7"/>
    <w:rsid w:val="00145C5D"/>
    <w:rsid w:val="00185040"/>
    <w:rsid w:val="00192F9D"/>
    <w:rsid w:val="001E5EAA"/>
    <w:rsid w:val="00205DBC"/>
    <w:rsid w:val="00222ADC"/>
    <w:rsid w:val="002265FE"/>
    <w:rsid w:val="00287988"/>
    <w:rsid w:val="00292980"/>
    <w:rsid w:val="002F78B7"/>
    <w:rsid w:val="00311965"/>
    <w:rsid w:val="003271EB"/>
    <w:rsid w:val="003502E7"/>
    <w:rsid w:val="00372057"/>
    <w:rsid w:val="003E5174"/>
    <w:rsid w:val="004063FD"/>
    <w:rsid w:val="00452DDD"/>
    <w:rsid w:val="00457E50"/>
    <w:rsid w:val="004814C2"/>
    <w:rsid w:val="004C7EB3"/>
    <w:rsid w:val="004E0182"/>
    <w:rsid w:val="004E0553"/>
    <w:rsid w:val="004E48E0"/>
    <w:rsid w:val="00512D71"/>
    <w:rsid w:val="005153B7"/>
    <w:rsid w:val="00552DA0"/>
    <w:rsid w:val="0056248C"/>
    <w:rsid w:val="005A32C2"/>
    <w:rsid w:val="005A38BE"/>
    <w:rsid w:val="005B7FBF"/>
    <w:rsid w:val="005F1C89"/>
    <w:rsid w:val="005F7413"/>
    <w:rsid w:val="00665FDC"/>
    <w:rsid w:val="00684032"/>
    <w:rsid w:val="006C343B"/>
    <w:rsid w:val="006D112F"/>
    <w:rsid w:val="006F5DC6"/>
    <w:rsid w:val="00751207"/>
    <w:rsid w:val="007807BE"/>
    <w:rsid w:val="007830CB"/>
    <w:rsid w:val="007B6657"/>
    <w:rsid w:val="007D3ADA"/>
    <w:rsid w:val="008554C6"/>
    <w:rsid w:val="00893BD5"/>
    <w:rsid w:val="008B7AAB"/>
    <w:rsid w:val="008D6FE9"/>
    <w:rsid w:val="009123C2"/>
    <w:rsid w:val="00936F90"/>
    <w:rsid w:val="009A4411"/>
    <w:rsid w:val="009A633A"/>
    <w:rsid w:val="009E7641"/>
    <w:rsid w:val="00A00B41"/>
    <w:rsid w:val="00A07B12"/>
    <w:rsid w:val="00A321DC"/>
    <w:rsid w:val="00A413AF"/>
    <w:rsid w:val="00A464B4"/>
    <w:rsid w:val="00A95634"/>
    <w:rsid w:val="00AD5859"/>
    <w:rsid w:val="00AD7138"/>
    <w:rsid w:val="00B1112F"/>
    <w:rsid w:val="00B17A10"/>
    <w:rsid w:val="00B40814"/>
    <w:rsid w:val="00B637EA"/>
    <w:rsid w:val="00B76C08"/>
    <w:rsid w:val="00C15A05"/>
    <w:rsid w:val="00C418C9"/>
    <w:rsid w:val="00C53D1F"/>
    <w:rsid w:val="00C950F2"/>
    <w:rsid w:val="00CA1A59"/>
    <w:rsid w:val="00CA333D"/>
    <w:rsid w:val="00CB269D"/>
    <w:rsid w:val="00D15730"/>
    <w:rsid w:val="00D57E8E"/>
    <w:rsid w:val="00D85099"/>
    <w:rsid w:val="00DD5DC0"/>
    <w:rsid w:val="00DF63D5"/>
    <w:rsid w:val="00E33726"/>
    <w:rsid w:val="00E75083"/>
    <w:rsid w:val="00E75342"/>
    <w:rsid w:val="00EF2D1D"/>
    <w:rsid w:val="00F57A7F"/>
    <w:rsid w:val="00F601B2"/>
    <w:rsid w:val="00F934E7"/>
    <w:rsid w:val="00FE290B"/>
    <w:rsid w:val="019D1AB1"/>
    <w:rsid w:val="01F0403A"/>
    <w:rsid w:val="06C8202F"/>
    <w:rsid w:val="1350269D"/>
    <w:rsid w:val="15822875"/>
    <w:rsid w:val="17D23921"/>
    <w:rsid w:val="19921729"/>
    <w:rsid w:val="1A8273DB"/>
    <w:rsid w:val="1DD06378"/>
    <w:rsid w:val="1E8C2D66"/>
    <w:rsid w:val="21581F08"/>
    <w:rsid w:val="27FD3E19"/>
    <w:rsid w:val="2CC76418"/>
    <w:rsid w:val="2E117847"/>
    <w:rsid w:val="30ED66A1"/>
    <w:rsid w:val="3AC26874"/>
    <w:rsid w:val="3C3836A6"/>
    <w:rsid w:val="45E76B4D"/>
    <w:rsid w:val="46A4313B"/>
    <w:rsid w:val="47F3119A"/>
    <w:rsid w:val="4A64714A"/>
    <w:rsid w:val="4BD034A7"/>
    <w:rsid w:val="4DDFF696"/>
    <w:rsid w:val="4F151527"/>
    <w:rsid w:val="56EF11EF"/>
    <w:rsid w:val="5E776CE7"/>
    <w:rsid w:val="606948E8"/>
    <w:rsid w:val="6093780A"/>
    <w:rsid w:val="67495B4D"/>
    <w:rsid w:val="6DF05C85"/>
    <w:rsid w:val="73CE4A02"/>
    <w:rsid w:val="76625E3D"/>
    <w:rsid w:val="77FF4E63"/>
    <w:rsid w:val="7B39F76B"/>
    <w:rsid w:val="7F7C2D89"/>
    <w:rsid w:val="9EDB286F"/>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unhideWhenUsed/>
    <w:qFormat/>
    <w:uiPriority w:val="99"/>
    <w:pPr>
      <w:spacing w:after="120"/>
    </w:pPr>
  </w:style>
  <w:style w:type="paragraph" w:styleId="3">
    <w:name w:val="Body Text Indent 2"/>
    <w:basedOn w:val="1"/>
    <w:link w:val="14"/>
    <w:unhideWhenUsed/>
    <w:qFormat/>
    <w:uiPriority w:val="99"/>
    <w:pPr>
      <w:spacing w:after="120"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customStyle="1" w:styleId="12">
    <w:name w:val="样式1"/>
    <w:basedOn w:val="2"/>
    <w:qFormat/>
    <w:uiPriority w:val="0"/>
    <w:pPr>
      <w:widowControl/>
      <w:spacing w:after="0"/>
      <w:ind w:firstLine="640"/>
    </w:pPr>
    <w:rPr>
      <w:rFonts w:ascii="仿宋_GB2312" w:hAnsi="仿宋_GB2312" w:eastAsia="仿宋_GB2312" w:cs="Times New Roman"/>
      <w:kern w:val="0"/>
      <w:sz w:val="32"/>
      <w:szCs w:val="24"/>
    </w:rPr>
  </w:style>
  <w:style w:type="character" w:customStyle="1" w:styleId="13">
    <w:name w:val="正文文本 字符"/>
    <w:basedOn w:val="8"/>
    <w:link w:val="2"/>
    <w:semiHidden/>
    <w:qFormat/>
    <w:uiPriority w:val="99"/>
  </w:style>
  <w:style w:type="character" w:customStyle="1" w:styleId="14">
    <w:name w:val="正文文本缩进 2 字符"/>
    <w:basedOn w:val="8"/>
    <w:link w:val="3"/>
    <w:qFormat/>
    <w:uiPriority w:val="99"/>
  </w:style>
  <w:style w:type="paragraph" w:styleId="15">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1487</Words>
  <Characters>1592</Characters>
  <Lines>66</Lines>
  <Paragraphs>45</Paragraphs>
  <TotalTime>17</TotalTime>
  <ScaleCrop>false</ScaleCrop>
  <LinksUpToDate>false</LinksUpToDate>
  <CharactersWithSpaces>3034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2026-07-03T15:42:00Z</dcterms:created>
  <dc:creator>张平</dc:creator>
  <cp:lastModifiedBy>工信局李悦</cp:lastModifiedBy>
  <cp:lastPrinted>2025-07-24T04:28:00Z</cp:lastPrinted>
  <dcterms:modified xsi:type="dcterms:W3CDTF">2026-08-14T15:49:26Z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E81AF2EE838D471D94D4295FA0215B0E_13</vt:lpwstr>
  </property>
  <property fmtid="{D5CDD505-2E9C-101B-9397-08002B2CF9AE}" pid="4" name="KSOTemplateDocerSaveRecord">
    <vt:lpwstr>eyJoZGlkIjoiMDkxZTNkYTE4MzcwZjBiNTE3ZTU5YTYxZWM3NjgzODMiLCJ1c2VySWQiOiI0Mjk5NDc0NTQifQ==</vt:lpwstr>
  </property>
</Properties>
</file>