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eastAsia" w:ascii="黑体" w:hAnsi="黑体" w:eastAsia="黑体"/>
          <w:sz w:val="32"/>
        </w:rPr>
      </w:pPr>
      <w:r>
        <w:rPr>
          <w:rFonts w:hint="eastAsia" w:ascii="黑体" w:hAnsi="黑体" w:eastAsia="黑体"/>
          <w:sz w:val="32"/>
        </w:rPr>
        <w:t>附件：</w:t>
      </w:r>
    </w:p>
    <w:p>
      <w:pPr>
        <w:spacing w:before="156" w:beforeLines="50" w:after="156" w:afterLines="50"/>
        <w:jc w:val="center"/>
        <w:rPr>
          <w:rFonts w:ascii="黑体" w:hAnsi="黑体" w:eastAsia="黑体"/>
          <w:sz w:val="32"/>
        </w:rPr>
      </w:pPr>
      <w:r>
        <w:rPr>
          <w:rFonts w:ascii="黑体" w:hAnsi="黑体" w:eastAsia="黑体"/>
          <w:sz w:val="32"/>
        </w:rPr>
        <w:t>深圳市南山区机器人场景应用“揭榜挂帅”</w:t>
      </w:r>
    </w:p>
    <w:p>
      <w:pPr>
        <w:spacing w:before="156" w:beforeLines="50" w:after="156" w:afterLines="50"/>
        <w:jc w:val="center"/>
        <w:rPr>
          <w:rFonts w:hint="eastAsia" w:ascii="黑体" w:hAnsi="黑体" w:eastAsia="黑体"/>
          <w:sz w:val="32"/>
        </w:rPr>
      </w:pPr>
      <w:r>
        <w:rPr>
          <w:rFonts w:ascii="黑体" w:hAnsi="黑体" w:eastAsia="黑体"/>
          <w:sz w:val="32"/>
        </w:rPr>
        <w:t>项目榜单征集表</w:t>
      </w:r>
    </w:p>
    <w:tbl>
      <w:tblPr>
        <w:tblStyle w:val="6"/>
        <w:tblW w:w="9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857"/>
        <w:gridCol w:w="7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cs="Times New Roman"/>
                <w:color w:val="000000" w:themeColor="text1"/>
                <w:sz w:val="24"/>
                <w14:textFill>
                  <w14:solidFill>
                    <w14:schemeClr w14:val="tx1"/>
                  </w14:solidFill>
                </w14:textFill>
              </w:rPr>
            </w:pPr>
            <w:r>
              <w:rPr>
                <w:rFonts w:hint="eastAsia" w:ascii="Times New Roman" w:hAnsi="Times New Roman" w:eastAsia="仿宋_GB2312" w:cs="Times New Roman"/>
                <w:b/>
                <w:bCs/>
                <w:color w:val="000000" w:themeColor="text1"/>
                <w:sz w:val="24"/>
                <w14:textFill>
                  <w14:solidFill>
                    <w14:schemeClr w14:val="tx1"/>
                  </w14:solidFill>
                </w14:textFill>
              </w:rPr>
              <w:t>需求名称</w:t>
            </w:r>
          </w:p>
        </w:tc>
        <w:tc>
          <w:tcPr>
            <w:tcW w:w="7413" w:type="dxa"/>
            <w:tcBorders>
              <w:top w:val="single" w:color="auto" w:sz="4" w:space="0"/>
              <w:left w:val="single" w:color="auto" w:sz="4" w:space="0"/>
              <w:bottom w:val="single" w:color="auto" w:sz="4" w:space="0"/>
              <w:right w:val="single" w:color="auto" w:sz="4" w:space="0"/>
            </w:tcBorders>
          </w:tcPr>
          <w:p>
            <w:pPr>
              <w:spacing w:line="320" w:lineRule="exact"/>
              <w:rPr>
                <w:rFonts w:ascii="Times New Roman" w:hAnsi="Times New Roman" w:eastAsia="仿宋_GB2312" w:cs="Times New Roman"/>
                <w:color w:val="FF0000"/>
                <w:kern w:val="0"/>
                <w:sz w:val="24"/>
                <w:szCs w:val="24"/>
              </w:rPr>
            </w:pPr>
            <w:r>
              <w:rPr>
                <w:rFonts w:hint="eastAsia" w:ascii="Times New Roman" w:hAnsi="Times New Roman" w:eastAsia="仿宋_GB2312" w:cs="Times New Roman"/>
                <w:color w:val="000000" w:themeColor="text1"/>
                <w:kern w:val="0"/>
                <w:sz w:val="24"/>
                <w:szCs w:val="24"/>
                <w14:textFill>
                  <w14:solidFill>
                    <w14:schemeClr w14:val="tx1"/>
                  </w14:solidFill>
                </w14:textFill>
              </w:rPr>
              <w:t>面向拣选环节的具身人形拣选机器人需求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2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应用场景</w:t>
            </w:r>
          </w:p>
        </w:tc>
        <w:tc>
          <w:tcPr>
            <w:tcW w:w="7413" w:type="dxa"/>
            <w:tcBorders>
              <w:top w:val="single" w:color="auto" w:sz="4" w:space="0"/>
              <w:left w:val="single" w:color="auto" w:sz="4" w:space="0"/>
              <w:bottom w:val="single" w:color="auto" w:sz="4" w:space="0"/>
              <w:right w:val="single" w:color="auto" w:sz="4" w:space="0"/>
            </w:tcBorders>
          </w:tcPr>
          <w:p>
            <w:pPr>
              <w:spacing w:line="320" w:lineRule="exact"/>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1、现有仓库的“人找货”的拆零拣选环节，拣选员60%-70%的时间浪费在行走和寻找货位上，作业效率低，人工容易受疲劳、情绪的主观因素影响，导致拣选错误率高；随着人工红利的减少，招工难、留人难，年轻人不愿从事高强度重复劳动，尤其在一线城市和偏远仓库，常年面临“用工荒；人工作业柔性不足，面对突发的大促爆单，单纯靠堆人难以在短时间内线性提升产能，且现场管理混乱。</w:t>
            </w:r>
          </w:p>
          <w:p>
            <w:pPr>
              <w:spacing w:line="320" w:lineRule="exact"/>
              <w:rPr>
                <w:rFonts w:ascii="Times New Roman" w:hAnsi="Times New Roman" w:eastAsia="仿宋_GB2312" w:cs="Times New Roman"/>
                <w:color w:val="000000" w:themeColor="text1"/>
                <w:kern w:val="0"/>
                <w:sz w:val="24"/>
                <w:szCs w:val="24"/>
                <w14:textFill>
                  <w14:solidFill>
                    <w14:schemeClr w14:val="tx1"/>
                  </w14:solidFill>
                </w14:textFill>
              </w:rPr>
            </w:pPr>
            <w:r>
              <w:rPr>
                <w:rFonts w:ascii="Times New Roman" w:hAnsi="Times New Roman" w:eastAsia="仿宋_GB2312" w:cs="Times New Roman"/>
                <w:color w:val="000000" w:themeColor="text1"/>
                <w:kern w:val="0"/>
                <w:sz w:val="24"/>
                <w:szCs w:val="24"/>
                <w14:textFill>
                  <w14:solidFill>
                    <w14:schemeClr w14:val="tx1"/>
                  </w14:solidFill>
                </w14:textFill>
              </w:rPr>
              <w:t>2</w:t>
            </w:r>
            <w:r>
              <w:rPr>
                <w:rFonts w:hint="eastAsia" w:ascii="Times New Roman" w:hAnsi="Times New Roman" w:eastAsia="仿宋_GB2312" w:cs="Times New Roman"/>
                <w:color w:val="000000" w:themeColor="text1"/>
                <w:kern w:val="0"/>
                <w:sz w:val="24"/>
                <w:szCs w:val="24"/>
                <w14:textFill>
                  <w14:solidFill>
                    <w14:schemeClr w14:val="tx1"/>
                  </w14:solidFill>
                </w14:textFill>
              </w:rPr>
              <w:t>、引入“移动+操作”能力的人形机器人能像人一样使用现有设施（货架、工作台、工具），无需改造基础设施即可实现从入库到出库的全流程闭环，真正打造“黑灯仓库”7x24小时作业；人形机器人极致的柔性与适应性，即插即用可快速部署，可满足大促期间的弹性需求；同时基于实时数据进行动态路径规划、库存优化和预测性维护，推动物流管理从“经验驱动”向“数据智能驱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2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具体需求</w:t>
            </w:r>
          </w:p>
        </w:tc>
        <w:tc>
          <w:tcPr>
            <w:tcW w:w="7413" w:type="dxa"/>
            <w:tcBorders>
              <w:top w:val="single" w:color="auto" w:sz="4" w:space="0"/>
              <w:left w:val="single" w:color="auto" w:sz="4" w:space="0"/>
              <w:bottom w:val="single" w:color="auto" w:sz="4" w:space="0"/>
              <w:right w:val="single" w:color="auto" w:sz="4" w:space="0"/>
            </w:tcBorders>
          </w:tcPr>
          <w:p>
            <w:pPr>
              <w:spacing w:line="320" w:lineRule="exact"/>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1、整体形态架构：“类人上半身+轮式移动底盘”，轮式底盘支持360度原地旋转和横向移动，比双足行走更快速、更稳定、能耗更低，类人上半身是为了适应为人类设计的货架高度、工具接口和操作空间。</w:t>
            </w:r>
          </w:p>
          <w:p>
            <w:pPr>
              <w:spacing w:line="320" w:lineRule="exact"/>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2、核心感知系统：全域“5+2”视觉方案</w:t>
            </w:r>
          </w:p>
          <w:p>
            <w:pPr>
              <w:spacing w:line="320" w:lineRule="exact"/>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头部“5眼”系统：包含高分辨率RGB相机、广角相机和深度传感器，负责远距离条码识别、货位定位及动态避障。手部“2眼”系统：手心位置集成了一组微型双目相机。</w:t>
            </w:r>
          </w:p>
          <w:p>
            <w:pPr>
              <w:spacing w:line="320" w:lineRule="exact"/>
              <w:rPr>
                <w:rFonts w:ascii="Times New Roman" w:hAnsi="Times New Roman" w:eastAsia="仿宋_GB2312" w:cs="Times New Roman"/>
                <w:color w:val="000000" w:themeColor="text1"/>
                <w:kern w:val="0"/>
                <w:sz w:val="24"/>
                <w:szCs w:val="24"/>
                <w14:textFill>
                  <w14:solidFill>
                    <w14:schemeClr w14:val="tx1"/>
                  </w14:solidFill>
                </w14:textFill>
              </w:rPr>
            </w:pPr>
            <w:r>
              <w:rPr>
                <w:rFonts w:ascii="Times New Roman" w:hAnsi="Times New Roman" w:eastAsia="仿宋_GB2312" w:cs="Times New Roman"/>
                <w:color w:val="000000" w:themeColor="text1"/>
                <w:kern w:val="0"/>
                <w:sz w:val="24"/>
                <w:szCs w:val="24"/>
                <w14:textFill>
                  <w14:solidFill>
                    <w14:schemeClr w14:val="tx1"/>
                  </w14:solidFill>
                </w14:textFill>
              </w:rPr>
              <w:t>3</w:t>
            </w:r>
            <w:r>
              <w:rPr>
                <w:rFonts w:hint="eastAsia" w:ascii="Times New Roman" w:hAnsi="Times New Roman" w:eastAsia="仿宋_GB2312" w:cs="Times New Roman"/>
                <w:color w:val="000000" w:themeColor="text1"/>
                <w:kern w:val="0"/>
                <w:sz w:val="24"/>
                <w:szCs w:val="24"/>
                <w14:textFill>
                  <w14:solidFill>
                    <w14:schemeClr w14:val="tx1"/>
                  </w14:solidFill>
                </w14:textFill>
              </w:rPr>
              <w:t>、高自由度双臂与自适应灵巧手：7个自由度，模仿人类手臂的运动范围，能够完成侧向抽取、翻转、跨越障碍等复杂动作。每只手拥有4-5个手指，指尖和指腹内置高灵敏度触觉传感器（力控+纹理感知）。</w:t>
            </w:r>
          </w:p>
          <w:p>
            <w:pPr>
              <w:spacing w:line="320" w:lineRule="exact"/>
              <w:rPr>
                <w:rFonts w:ascii="Times New Roman" w:hAnsi="Times New Roman" w:eastAsia="仿宋_GB2312" w:cs="Times New Roman"/>
                <w:color w:val="000000" w:themeColor="text1"/>
                <w:kern w:val="0"/>
                <w:sz w:val="24"/>
                <w:szCs w:val="24"/>
                <w14:textFill>
                  <w14:solidFill>
                    <w14:schemeClr w14:val="tx1"/>
                  </w14:solidFill>
                </w14:textFill>
              </w:rPr>
            </w:pPr>
            <w:r>
              <w:rPr>
                <w:rFonts w:ascii="Times New Roman" w:hAnsi="Times New Roman" w:eastAsia="仿宋_GB2312" w:cs="Times New Roman"/>
                <w:color w:val="000000" w:themeColor="text1"/>
                <w:kern w:val="0"/>
                <w:sz w:val="24"/>
                <w:szCs w:val="24"/>
                <w14:textFill>
                  <w14:solidFill>
                    <w14:schemeClr w14:val="tx1"/>
                  </w14:solidFill>
                </w14:textFill>
              </w:rPr>
              <w:t>4</w:t>
            </w:r>
            <w:r>
              <w:rPr>
                <w:rFonts w:hint="eastAsia" w:ascii="Times New Roman" w:hAnsi="Times New Roman" w:eastAsia="仿宋_GB2312" w:cs="Times New Roman"/>
                <w:color w:val="000000" w:themeColor="text1"/>
                <w:kern w:val="0"/>
                <w:sz w:val="24"/>
                <w:szCs w:val="24"/>
                <w14:textFill>
                  <w14:solidFill>
                    <w14:schemeClr w14:val="tx1"/>
                  </w14:solidFill>
                </w14:textFill>
              </w:rPr>
              <w:t>、计算与控制系统：具身智能大脑</w:t>
            </w:r>
          </w:p>
          <w:p>
            <w:pPr>
              <w:spacing w:line="320" w:lineRule="exact"/>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多模态感知与理解：像人一样“看懂”复杂环境和“听懂”模糊指令；</w:t>
            </w:r>
          </w:p>
          <w:p>
            <w:pPr>
              <w:spacing w:line="320" w:lineRule="exact"/>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自主规划与决策：具备逻辑推理能力，能将宏观目标自动拆解为具体步骤；</w:t>
            </w:r>
          </w:p>
          <w:p>
            <w:pPr>
              <w:spacing w:line="320" w:lineRule="exact"/>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端到端动作控制：直接将感知和决策转化为精准的肢体动作，实现“手眼脑”合一的灵活操作。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应用现状</w:t>
            </w:r>
          </w:p>
        </w:tc>
        <w:tc>
          <w:tcPr>
            <w:tcW w:w="7413" w:type="dxa"/>
            <w:tcBorders>
              <w:top w:val="single" w:color="auto" w:sz="4" w:space="0"/>
              <w:left w:val="single" w:color="auto" w:sz="4" w:space="0"/>
              <w:bottom w:val="single" w:color="auto" w:sz="4" w:space="0"/>
              <w:right w:val="single" w:color="auto" w:sz="4" w:space="0"/>
            </w:tcBorders>
          </w:tcPr>
          <w:p>
            <w:pPr>
              <w:spacing w:line="320" w:lineRule="exact"/>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1、美国：Tesla (Optimus)，已在其自家工厂（弗里蒙特）进行电池分拣、部件搬运的实地测试；Figure AI 与宝马合作，在工厂部署人形机器人进行车门把手安装和零件分类等；</w:t>
            </w:r>
          </w:p>
          <w:p>
            <w:pPr>
              <w:spacing w:line="320" w:lineRule="exact"/>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但国外应用多集中在汽车制造和头部物流巨头的内部试点。场景相对封闭，任务多为单一、重复性高的搬运或简单装配。商业化处于“早期采用者阶段，尚未大规模铺开。</w:t>
            </w:r>
          </w:p>
          <w:p>
            <w:pPr>
              <w:spacing w:line="320" w:lineRule="exact"/>
              <w:rPr>
                <w:rFonts w:ascii="仿宋_GB2312" w:hAnsi="Times New Roman" w:eastAsia="仿宋_GB2312" w:cs="方正仿宋简体"/>
                <w:sz w:val="24"/>
                <w:szCs w:val="20"/>
              </w:rPr>
            </w:pPr>
            <w:r>
              <w:rPr>
                <w:rFonts w:ascii="仿宋_GB2312" w:hAnsi="Times New Roman" w:eastAsia="仿宋_GB2312" w:cs="方正仿宋简体"/>
                <w:sz w:val="24"/>
                <w:szCs w:val="20"/>
              </w:rPr>
              <w:t>2</w:t>
            </w:r>
            <w:r>
              <w:rPr>
                <w:rFonts w:hint="eastAsia" w:ascii="仿宋_GB2312" w:hAnsi="Times New Roman" w:eastAsia="仿宋_GB2312" w:cs="方正仿宋简体"/>
                <w:sz w:val="24"/>
                <w:szCs w:val="20"/>
              </w:rPr>
              <w:t>、国内这两年人形机器人技术发展迅速，出现了很多优秀的厂家和产品，比如宇树、优必选、极智嘉、智元等，在汽车制造业、家电制造、</w:t>
            </w:r>
            <w:r>
              <w:rPr>
                <w:rFonts w:ascii="仿宋_GB2312" w:hAnsi="Times New Roman" w:eastAsia="仿宋_GB2312" w:cs="方正仿宋简体"/>
                <w:sz w:val="24"/>
                <w:szCs w:val="20"/>
              </w:rPr>
              <w:t>3</w:t>
            </w:r>
            <w:r>
              <w:rPr>
                <w:rFonts w:hint="eastAsia" w:ascii="仿宋_GB2312" w:hAnsi="Times New Roman" w:eastAsia="仿宋_GB2312" w:cs="方正仿宋简体"/>
                <w:sz w:val="24"/>
                <w:szCs w:val="20"/>
              </w:rPr>
              <w:t>PL、电商、新能源、公共服务、康养和教育等多行业试点应用，从“实验室演示”转向“场景化落地爆发前夜”。2024-2025年是技术验证期，2026年开始进入小规模商业闭环验证期。</w:t>
            </w:r>
          </w:p>
          <w:p>
            <w:pPr>
              <w:spacing w:line="320" w:lineRule="exact"/>
              <w:rPr>
                <w:rFonts w:ascii="仿宋_GB2312" w:hAnsi="Times New Roman" w:eastAsia="仿宋_GB2312" w:cs="方正仿宋简体"/>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2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bookmarkStart w:id="0" w:name="_Hlk224718739"/>
            <w:r>
              <w:rPr>
                <w:rFonts w:hint="eastAsia" w:ascii="Times New Roman" w:hAnsi="Times New Roman" w:eastAsia="仿宋_GB2312" w:cs="Times New Roman"/>
                <w:b/>
                <w:bCs/>
                <w:color w:val="000000" w:themeColor="text1"/>
                <w:kern w:val="0"/>
                <w:sz w:val="24"/>
                <w:szCs w:val="24"/>
                <w14:textFill>
                  <w14:solidFill>
                    <w14:schemeClr w14:val="tx1"/>
                  </w14:solidFill>
                </w14:textFill>
              </w:rPr>
              <w:t>潜在规模</w:t>
            </w:r>
          </w:p>
        </w:tc>
        <w:tc>
          <w:tcPr>
            <w:tcW w:w="7413" w:type="dxa"/>
            <w:tcBorders>
              <w:top w:val="single" w:color="auto" w:sz="4" w:space="0"/>
              <w:left w:val="single" w:color="auto" w:sz="4" w:space="0"/>
              <w:bottom w:val="single" w:color="auto" w:sz="4" w:space="0"/>
              <w:right w:val="single" w:color="auto" w:sz="4" w:space="0"/>
            </w:tcBorders>
          </w:tcPr>
          <w:p>
            <w:pPr>
              <w:spacing w:line="320" w:lineRule="exact"/>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2025年全球人形机器人市场规模约为28.8亿—170亿元人民币，其中中国人形机器人出货量约1.44万台，占全球总出货量的84.7%，市场规模约15.5亿—85亿元，占全球比重超50%。</w:t>
            </w:r>
          </w:p>
          <w:p>
            <w:pPr>
              <w:spacing w:line="320" w:lineRule="exact"/>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预计到2026年，全球市场规模将突破300亿元，出货量有望达到5万 - 8万台；到2030年，市场规模将达到千亿级；</w:t>
            </w:r>
          </w:p>
          <w:p>
            <w:pPr>
              <w:spacing w:line="320" w:lineRule="exact"/>
              <w:rPr>
                <w:rFonts w:ascii="仿宋_GB2312" w:hAnsi="Times New Roman" w:eastAsia="仿宋_GB2312" w:cs="方正仿宋简体"/>
                <w:sz w:val="24"/>
                <w:szCs w:val="20"/>
              </w:rPr>
            </w:pP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3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建设基础</w:t>
            </w:r>
          </w:p>
        </w:tc>
        <w:tc>
          <w:tcPr>
            <w:tcW w:w="7413" w:type="dxa"/>
            <w:tcBorders>
              <w:top w:val="single" w:color="auto" w:sz="4" w:space="0"/>
              <w:left w:val="single" w:color="auto" w:sz="4" w:space="0"/>
              <w:bottom w:val="single" w:color="auto" w:sz="4" w:space="0"/>
              <w:right w:val="single" w:color="auto" w:sz="4" w:space="0"/>
            </w:tcBorders>
          </w:tcPr>
          <w:p>
            <w:pPr>
              <w:spacing w:line="320" w:lineRule="exact"/>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国内在具身人形机器人的硬件供应链和软件算法领域已取得举世瞩目的进展，形成了“硬件全球领先、算法快速并跑、生态全面爆发”的格局。</w:t>
            </w:r>
          </w:p>
          <w:p>
            <w:pPr>
              <w:spacing w:line="320" w:lineRule="exact"/>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1、硬件技术基础：全产业链自主可控，成本优势显著，核心零部件的国产化突破</w:t>
            </w:r>
            <w:r>
              <w:rPr>
                <w:rFonts w:ascii="Times New Roman" w:hAnsi="Times New Roman" w:eastAsia="仿宋_GB2312" w:cs="Times New Roman"/>
                <w:color w:val="000000" w:themeColor="text1"/>
                <w:kern w:val="0"/>
                <w:sz w:val="24"/>
                <w:szCs w:val="24"/>
                <w14:textFill>
                  <w14:solidFill>
                    <w14:schemeClr w14:val="tx1"/>
                  </w14:solidFill>
                </w14:textFill>
              </w:rPr>
              <w:t>70%</w:t>
            </w:r>
            <w:r>
              <w:rPr>
                <w:rFonts w:hint="eastAsia" w:ascii="Times New Roman" w:hAnsi="Times New Roman" w:eastAsia="仿宋_GB2312" w:cs="Times New Roman"/>
                <w:color w:val="000000" w:themeColor="text1"/>
                <w:kern w:val="0"/>
                <w:sz w:val="24"/>
                <w:szCs w:val="24"/>
                <w14:textFill>
                  <w14:solidFill>
                    <w14:schemeClr w14:val="tx1"/>
                  </w14:solidFill>
                </w14:textFill>
              </w:rPr>
              <w:t>，比如减速器、伺服电机与驱动、行星滚柱丝杠、六维力/力矩传感器、视觉与激光雷达、灵巧手等；</w:t>
            </w:r>
          </w:p>
          <w:p>
            <w:pPr>
              <w:spacing w:line="320" w:lineRule="exact"/>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2、软件算法基础：从“跟随”到“原创”，在算法层面，从传统的控制算法向端到端大模型（VLA）和世界模型快速演进，高校与科技企业协同创新，部分理论成果已达国际顶尖水平。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1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实施成效</w:t>
            </w:r>
          </w:p>
        </w:tc>
        <w:tc>
          <w:tcPr>
            <w:tcW w:w="7413" w:type="dxa"/>
            <w:tcBorders>
              <w:top w:val="single" w:color="auto" w:sz="4" w:space="0"/>
              <w:left w:val="single" w:color="auto" w:sz="4" w:space="0"/>
              <w:bottom w:val="single" w:color="auto" w:sz="4" w:space="0"/>
              <w:right w:val="single" w:color="auto" w:sz="4" w:space="0"/>
            </w:tcBorders>
          </w:tcPr>
          <w:p>
            <w:pPr>
              <w:spacing w:line="320" w:lineRule="exact"/>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1、人力成本节约：单台人形机器人可替代1.5-2名熟练拣选员（支持双班倒或“人机协作”模式下的效率提升）。</w:t>
            </w:r>
          </w:p>
          <w:p>
            <w:pPr>
              <w:spacing w:line="320" w:lineRule="exact"/>
              <w:rPr>
                <w:rFonts w:ascii="仿宋_GB2312" w:hAnsi="Times New Roman" w:eastAsia="仿宋_GB2312" w:cs="方正仿宋简体"/>
                <w:sz w:val="24"/>
                <w:szCs w:val="20"/>
              </w:rPr>
            </w:pPr>
            <w:r>
              <w:rPr>
                <w:rFonts w:ascii="仿宋_GB2312" w:hAnsi="Times New Roman" w:eastAsia="仿宋_GB2312" w:cs="方正仿宋简体"/>
                <w:sz w:val="24"/>
                <w:szCs w:val="20"/>
              </w:rPr>
              <w:t>2</w:t>
            </w:r>
            <w:r>
              <w:rPr>
                <w:rFonts w:hint="eastAsia" w:ascii="仿宋_GB2312" w:hAnsi="Times New Roman" w:eastAsia="仿宋_GB2312" w:cs="方正仿宋简体"/>
                <w:sz w:val="24"/>
                <w:szCs w:val="20"/>
              </w:rPr>
              <w:t>、货损率降低：凭借力控算法和标准化操作，机器人可将易碎品、高价值商品的货损率从人工操作的0.5%降低至0.05%以下。</w:t>
            </w:r>
          </w:p>
          <w:p>
            <w:pPr>
              <w:spacing w:line="320" w:lineRule="exact"/>
              <w:rPr>
                <w:rFonts w:ascii="仿宋_GB2312" w:hAnsi="Times New Roman" w:eastAsia="仿宋_GB2312" w:cs="方正仿宋简体"/>
                <w:sz w:val="24"/>
                <w:szCs w:val="20"/>
              </w:rPr>
            </w:pPr>
            <w:r>
              <w:rPr>
                <w:rFonts w:ascii="仿宋_GB2312" w:hAnsi="Times New Roman" w:eastAsia="仿宋_GB2312" w:cs="方正仿宋简体"/>
                <w:sz w:val="24"/>
                <w:szCs w:val="20"/>
              </w:rPr>
              <w:t>3</w:t>
            </w:r>
            <w:r>
              <w:rPr>
                <w:rFonts w:hint="eastAsia" w:ascii="仿宋_GB2312" w:hAnsi="Times New Roman" w:eastAsia="仿宋_GB2312" w:cs="方正仿宋简体"/>
                <w:sz w:val="24"/>
                <w:szCs w:val="20"/>
              </w:rPr>
              <w:t>、机器人支持7×24小时不间断作业，消除了人工的休息、交接班及疲劳导致的效率衰减。机器人采集的全链路数据，可实现库存精准度99.99%；</w:t>
            </w:r>
          </w:p>
          <w:p>
            <w:pPr>
              <w:spacing w:line="320" w:lineRule="exact"/>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4、人形机器人可推动产业升级，培育新质生产力，通过物流场景的商业化打造及落地，加速具身智能技术在垂直场景的成熟，带动上下游产业链（传感器、减速器、AI算法等）协同发展。</w:t>
            </w:r>
          </w:p>
          <w:p>
            <w:pPr>
              <w:spacing w:line="320" w:lineRule="exact"/>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5、</w:t>
            </w:r>
            <w:bookmarkStart w:id="1" w:name="OLE_LINK6"/>
            <w:bookmarkStart w:id="2" w:name="OLE_LINK5"/>
            <w:r>
              <w:rPr>
                <w:rFonts w:hint="eastAsia" w:ascii="仿宋_GB2312" w:hAnsi="Times New Roman" w:eastAsia="仿宋_GB2312" w:cs="方正仿宋简体"/>
                <w:sz w:val="24"/>
                <w:szCs w:val="20"/>
              </w:rPr>
              <w:t>践行绿色低碳，助力“双碳”目标</w:t>
            </w:r>
            <w:bookmarkEnd w:id="1"/>
            <w:bookmarkEnd w:id="2"/>
          </w:p>
          <w:p>
            <w:pPr>
              <w:spacing w:line="320" w:lineRule="exact"/>
              <w:rPr>
                <w:rFonts w:hint="eastAsia" w:ascii="仿宋_GB2312" w:hAnsi="Times New Roman" w:eastAsia="仿宋_GB2312" w:cs="方正仿宋简体"/>
                <w:sz w:val="24"/>
                <w:szCs w:val="20"/>
                <w:lang w:eastAsia="zh-CN"/>
              </w:rPr>
            </w:pPr>
            <w:r>
              <w:rPr>
                <w:rFonts w:hint="eastAsia" w:ascii="仿宋_GB2312" w:hAnsi="Times New Roman" w:eastAsia="仿宋_GB2312" w:cs="方正仿宋简体"/>
                <w:sz w:val="24"/>
                <w:szCs w:val="20"/>
              </w:rPr>
              <w:t>相比传统燃油叉车或低效的人工照明/空调环境，人形机器人系统配合智能能耗管理，7×24小时精益作业，消除无效能耗，降低碳排放</w:t>
            </w:r>
            <w:r>
              <w:rPr>
                <w:rFonts w:hint="eastAsia" w:ascii="仿宋_GB2312" w:hAnsi="Times New Roman" w:eastAsia="仿宋_GB2312" w:cs="方正仿宋简体"/>
                <w:sz w:val="24"/>
                <w:szCs w:val="20"/>
                <w:lang w:eastAsia="zh-CN"/>
              </w:rPr>
              <w:t>。</w:t>
            </w:r>
            <w:bookmarkStart w:id="3" w:name="_GoBack"/>
            <w:bookmarkEnd w:id="3"/>
          </w:p>
        </w:tc>
      </w:tr>
    </w:tbl>
    <w:p>
      <w:pPr>
        <w:rPr>
          <w:rFonts w:ascii="Times New Roman" w:hAnsi="Times New Roman" w:eastAsia="仿宋_GB2312"/>
          <w:sz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仿宋简体">
    <w:altName w:val="方正仿宋_GBK"/>
    <w:panose1 w:val="00000000000000000000"/>
    <w:charset w:val="86"/>
    <w:family w:val="roman"/>
    <w:pitch w:val="default"/>
    <w:sig w:usb0="00000000" w:usb1="00000000"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43B"/>
    <w:rsid w:val="00052200"/>
    <w:rsid w:val="000A3374"/>
    <w:rsid w:val="000A3922"/>
    <w:rsid w:val="000A4A4B"/>
    <w:rsid w:val="000B5A08"/>
    <w:rsid w:val="000E29F8"/>
    <w:rsid w:val="000F4C66"/>
    <w:rsid w:val="001242F7"/>
    <w:rsid w:val="00185040"/>
    <w:rsid w:val="001D40ED"/>
    <w:rsid w:val="001E5EAA"/>
    <w:rsid w:val="001F0AD1"/>
    <w:rsid w:val="00205DBC"/>
    <w:rsid w:val="00222ADC"/>
    <w:rsid w:val="00222F68"/>
    <w:rsid w:val="002265FE"/>
    <w:rsid w:val="00226E93"/>
    <w:rsid w:val="00292980"/>
    <w:rsid w:val="002E44F6"/>
    <w:rsid w:val="002F5341"/>
    <w:rsid w:val="002F78B7"/>
    <w:rsid w:val="00311965"/>
    <w:rsid w:val="00352642"/>
    <w:rsid w:val="00372057"/>
    <w:rsid w:val="00374290"/>
    <w:rsid w:val="003C4492"/>
    <w:rsid w:val="004063FD"/>
    <w:rsid w:val="00437C38"/>
    <w:rsid w:val="00452DDD"/>
    <w:rsid w:val="00457E50"/>
    <w:rsid w:val="004814C2"/>
    <w:rsid w:val="004C7EB3"/>
    <w:rsid w:val="004E0182"/>
    <w:rsid w:val="004E0553"/>
    <w:rsid w:val="004E5609"/>
    <w:rsid w:val="004F750B"/>
    <w:rsid w:val="00512D71"/>
    <w:rsid w:val="005153B7"/>
    <w:rsid w:val="00552DA0"/>
    <w:rsid w:val="00553336"/>
    <w:rsid w:val="00561587"/>
    <w:rsid w:val="00561A3B"/>
    <w:rsid w:val="0056248C"/>
    <w:rsid w:val="005A32C2"/>
    <w:rsid w:val="005A36B9"/>
    <w:rsid w:val="005A38BE"/>
    <w:rsid w:val="005B4B0E"/>
    <w:rsid w:val="005B7FBF"/>
    <w:rsid w:val="005C0039"/>
    <w:rsid w:val="005D4910"/>
    <w:rsid w:val="005F1C89"/>
    <w:rsid w:val="005F7413"/>
    <w:rsid w:val="00644C9D"/>
    <w:rsid w:val="00663617"/>
    <w:rsid w:val="00665FDC"/>
    <w:rsid w:val="00684032"/>
    <w:rsid w:val="006C343B"/>
    <w:rsid w:val="006D112F"/>
    <w:rsid w:val="006F1D14"/>
    <w:rsid w:val="007223EB"/>
    <w:rsid w:val="007235DF"/>
    <w:rsid w:val="007355BF"/>
    <w:rsid w:val="00741D02"/>
    <w:rsid w:val="00746E5C"/>
    <w:rsid w:val="00751207"/>
    <w:rsid w:val="0075312A"/>
    <w:rsid w:val="00775AF9"/>
    <w:rsid w:val="007807BE"/>
    <w:rsid w:val="007830CB"/>
    <w:rsid w:val="007A45D0"/>
    <w:rsid w:val="007B1095"/>
    <w:rsid w:val="007B6657"/>
    <w:rsid w:val="007D212E"/>
    <w:rsid w:val="007D3ADA"/>
    <w:rsid w:val="00821158"/>
    <w:rsid w:val="008220D8"/>
    <w:rsid w:val="0087759E"/>
    <w:rsid w:val="00882B2E"/>
    <w:rsid w:val="00893BD5"/>
    <w:rsid w:val="008A5361"/>
    <w:rsid w:val="008B79C3"/>
    <w:rsid w:val="008B7AAB"/>
    <w:rsid w:val="008C3FBE"/>
    <w:rsid w:val="008C41EF"/>
    <w:rsid w:val="008D2F39"/>
    <w:rsid w:val="008D6FE9"/>
    <w:rsid w:val="00926F7E"/>
    <w:rsid w:val="00936F90"/>
    <w:rsid w:val="00980298"/>
    <w:rsid w:val="009A4411"/>
    <w:rsid w:val="009C3C01"/>
    <w:rsid w:val="009D72CB"/>
    <w:rsid w:val="009E7641"/>
    <w:rsid w:val="00A00B41"/>
    <w:rsid w:val="00A07B12"/>
    <w:rsid w:val="00A321DC"/>
    <w:rsid w:val="00A413AF"/>
    <w:rsid w:val="00A464B4"/>
    <w:rsid w:val="00A50970"/>
    <w:rsid w:val="00A54490"/>
    <w:rsid w:val="00A91BE1"/>
    <w:rsid w:val="00A95634"/>
    <w:rsid w:val="00AD5859"/>
    <w:rsid w:val="00AE3D03"/>
    <w:rsid w:val="00B1112F"/>
    <w:rsid w:val="00B150F1"/>
    <w:rsid w:val="00B17A10"/>
    <w:rsid w:val="00B40814"/>
    <w:rsid w:val="00B76C08"/>
    <w:rsid w:val="00C15A05"/>
    <w:rsid w:val="00C33779"/>
    <w:rsid w:val="00C418C9"/>
    <w:rsid w:val="00C53D1F"/>
    <w:rsid w:val="00C950F2"/>
    <w:rsid w:val="00CA1A59"/>
    <w:rsid w:val="00CA333D"/>
    <w:rsid w:val="00CB269D"/>
    <w:rsid w:val="00CC464F"/>
    <w:rsid w:val="00D15730"/>
    <w:rsid w:val="00D57E8E"/>
    <w:rsid w:val="00D85099"/>
    <w:rsid w:val="00DF63D5"/>
    <w:rsid w:val="00E04216"/>
    <w:rsid w:val="00E15A24"/>
    <w:rsid w:val="00E328A8"/>
    <w:rsid w:val="00E33726"/>
    <w:rsid w:val="00E636CE"/>
    <w:rsid w:val="00E75083"/>
    <w:rsid w:val="00F176C3"/>
    <w:rsid w:val="00F57A7F"/>
    <w:rsid w:val="00F601B2"/>
    <w:rsid w:val="00F934E7"/>
    <w:rsid w:val="00FB5B9B"/>
    <w:rsid w:val="00FC6685"/>
    <w:rsid w:val="00FE290B"/>
    <w:rsid w:val="00FE6A57"/>
    <w:rsid w:val="01F0403A"/>
    <w:rsid w:val="06C8202F"/>
    <w:rsid w:val="17D23921"/>
    <w:rsid w:val="19921729"/>
    <w:rsid w:val="1DD06378"/>
    <w:rsid w:val="1E8C2D66"/>
    <w:rsid w:val="26E9086A"/>
    <w:rsid w:val="2CC76418"/>
    <w:rsid w:val="2E117847"/>
    <w:rsid w:val="4DDFF696"/>
    <w:rsid w:val="4F151527"/>
    <w:rsid w:val="5E776CE7"/>
    <w:rsid w:val="67495B4D"/>
    <w:rsid w:val="73CE4A02"/>
    <w:rsid w:val="77AF3C05"/>
    <w:rsid w:val="7B39F76B"/>
    <w:rsid w:val="BBDF3A71"/>
    <w:rsid w:val="BBFF5265"/>
    <w:rsid w:val="FFFC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nhideWhenUsed="0" w:uiPriority="99" w:semiHidden="0" w:name="heading 1"/>
    <w:lsdException w:uiPriority="99"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semiHidden="0"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5"/>
    <w:semiHidden/>
    <w:unhideWhenUsed/>
    <w:qFormat/>
    <w:uiPriority w:val="99"/>
    <w:pPr>
      <w:spacing w:after="120"/>
    </w:pPr>
  </w:style>
  <w:style w:type="paragraph" w:styleId="3">
    <w:name w:val="Body Text Indent 2"/>
    <w:basedOn w:val="1"/>
    <w:link w:val="16"/>
    <w:unhideWhenUsed/>
    <w:qFormat/>
    <w:uiPriority w:val="99"/>
    <w:pPr>
      <w:spacing w:after="120" w:line="480" w:lineRule="auto"/>
      <w:ind w:left="420" w:leftChars="200"/>
    </w:p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22"/>
    <w:rPr>
      <w:b/>
      <w:bCs/>
    </w:rPr>
  </w:style>
  <w:style w:type="character" w:styleId="10">
    <w:name w:val="Emphasis"/>
    <w:basedOn w:val="8"/>
    <w:qFormat/>
    <w:uiPriority w:val="20"/>
    <w:rPr>
      <w:i/>
      <w:iCs/>
    </w:rPr>
  </w:style>
  <w:style w:type="character" w:styleId="11">
    <w:name w:val="Hyperlink"/>
    <w:basedOn w:val="8"/>
    <w:unhideWhenUsed/>
    <w:qFormat/>
    <w:uiPriority w:val="99"/>
    <w:rPr>
      <w:color w:val="0000FF" w:themeColor="hyperlink"/>
      <w:u w:val="single"/>
      <w14:textFill>
        <w14:solidFill>
          <w14:schemeClr w14:val="hlink"/>
        </w14:solidFill>
      </w14:textFill>
    </w:rPr>
  </w:style>
  <w:style w:type="character" w:customStyle="1" w:styleId="12">
    <w:name w:val="页眉 字符"/>
    <w:basedOn w:val="8"/>
    <w:link w:val="5"/>
    <w:qFormat/>
    <w:uiPriority w:val="99"/>
    <w:rPr>
      <w:sz w:val="18"/>
      <w:szCs w:val="18"/>
    </w:rPr>
  </w:style>
  <w:style w:type="character" w:customStyle="1" w:styleId="13">
    <w:name w:val="页脚 字符"/>
    <w:basedOn w:val="8"/>
    <w:link w:val="4"/>
    <w:qFormat/>
    <w:uiPriority w:val="99"/>
    <w:rPr>
      <w:sz w:val="18"/>
      <w:szCs w:val="18"/>
    </w:rPr>
  </w:style>
  <w:style w:type="paragraph" w:customStyle="1" w:styleId="14">
    <w:name w:val="样式1"/>
    <w:basedOn w:val="2"/>
    <w:qFormat/>
    <w:uiPriority w:val="0"/>
    <w:pPr>
      <w:widowControl/>
      <w:spacing w:after="0"/>
      <w:ind w:firstLine="640" w:firstLineChars="200"/>
    </w:pPr>
    <w:rPr>
      <w:rFonts w:ascii="仿宋_GB2312" w:hAnsi="仿宋_GB2312" w:eastAsia="仿宋_GB2312" w:cs="Times New Roman"/>
      <w:kern w:val="0"/>
      <w:sz w:val="32"/>
      <w:szCs w:val="24"/>
    </w:rPr>
  </w:style>
  <w:style w:type="character" w:customStyle="1" w:styleId="15">
    <w:name w:val="正文文本 字符"/>
    <w:basedOn w:val="8"/>
    <w:link w:val="2"/>
    <w:semiHidden/>
    <w:qFormat/>
    <w:uiPriority w:val="99"/>
  </w:style>
  <w:style w:type="character" w:customStyle="1" w:styleId="16">
    <w:name w:val="正文文本缩进 2 字符"/>
    <w:basedOn w:val="8"/>
    <w:link w:val="3"/>
    <w:qFormat/>
    <w:uiPriority w:val="99"/>
  </w:style>
  <w:style w:type="paragraph" w:styleId="1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Vanke</Company>
  <Pages>1</Pages>
  <Words>951</Words>
  <Characters>1018</Characters>
  <Lines>53</Lines>
  <Paragraphs>51</Paragraphs>
  <TotalTime>2</TotalTime>
  <ScaleCrop>false</ScaleCrop>
  <LinksUpToDate>false</LinksUpToDate>
  <CharactersWithSpaces>1918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2026-07-23T19:35:00Z</dcterms:created>
  <dc:creator>张平</dc:creator>
  <cp:lastModifiedBy>工信局李悦</cp:lastModifiedBy>
  <cp:lastPrinted>2025-03-06T19:21:00Z</cp:lastPrinted>
  <dcterms:modified xsi:type="dcterms:W3CDTF">2026-08-14T15:48:57Z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4EFFEDDB8D114DAEB8E57A5EC1274D28_13</vt:lpwstr>
  </property>
  <property fmtid="{D5CDD505-2E9C-101B-9397-08002B2CF9AE}" pid="4" name="KSOTemplateDocerSaveRecord">
    <vt:lpwstr>eyJoZGlkIjoiNzg3OTczNzI0ZWJiZjRjNDQ5ZjMxYzE5NzFmNzE4MjMiLCJ1c2VySWQiOiIxMzA2Mzc0OTg5In0=</vt:lpwstr>
  </property>
</Properties>
</file>