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/>
          <w:sz w:val="32"/>
        </w:rPr>
      </w:pPr>
    </w:p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深圳市南山区机器人场景应用“揭榜挂帅”</w:t>
      </w:r>
    </w:p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项目榜单征集表</w:t>
      </w:r>
    </w:p>
    <w:tbl>
      <w:tblPr>
        <w:tblStyle w:val="7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7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numId w:val="0"/>
              </w:num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现有场景基本情况：海上平台位于南海海域，距陆地100-200公里，属高盐雾、高温、高湿海洋性环境，常年温度10-50℃，夏季可达50℃以上，相对湿度＞90%；台风频次每年3-4次（12级以上），冬季6级以上居多。</w:t>
            </w:r>
          </w:p>
          <w:p>
            <w:pPr>
              <w:numPr>
                <w:numId w:val="0"/>
              </w:num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海上作业平台配电间为封闭钢架结构，内部布局紧凑、通道狭窄（800-1100mm）、转弯角度小，存在设备遮挡、光线不全等问题；现场电磁环境复杂，电磁干扰强度大。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现有场景作业方式描述：目前配电间常规重复性作业、高风险带电作业、应急处置作业主要依赖人工完成，包括电气盘柜按钮/旋钮操作、设备启停、电气隔离、分合闸、报警测试、状态灯测试、红外监测、局部放电监测等。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现有场景痛点：人工操作面临高盐雾、高温、高湿等恶劣环境；配电间通道狭窄、设备遮挡、光线不全，作业空间受限；带电作业存在较高人员安全风险；重复性操作效率低、标准化程度不足。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  <w:lang w:val="en-US" w:eastAsia="zh-CN"/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引入机器人的必要性：替代人工完成高危、重复、环境恶劣场景下的电气操作与检测任务，降低人员安全风险，提升作业效率与标准化水平，满足海上平台配电间自动化、智能化作业需求。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解决该场景痛点需要机器人的基本情况：采购室内轮足式操作机器人1台，采用四足轮式加机械臂操作结构，配备机械臂、控制系统、软件系统等。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需要机器人实现的具体功能：支持远程遥控、预编程自主、任务执行三种工作模式实现电气盘柜按钮/旋钮操作、设备启停、电气隔离、分合闸、报警测试、状态灯测试、红外监测、局部放电监测等核心功能，具备作业数据实时采集、存储、上传功能，支持开关状态、指示灯、仪表读数的自动识别，识别准确率≥95%，具备缺陷检测能力，可识别设备表面破损、发热异常等缺陷，构建统一机器人管控平台，实现多机器人数据联通与三维数字孪生可视化。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性能参数要求：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防护等级：IP56及以上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工作温度：-10℃~50℃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定位精度：室内定位精度≤50mm，操作区域定位精度≤20mm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导航方式：支持激光SLAM、视觉SLAM、UWB融合定位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机械臂操作精度≤±1mm，红外测温精度±2℃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通道通过尺寸：满足直线通过800宽度通道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操作高度范围：最高不低于1.8米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平地运动速度≥1米/秒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可攀爬高度≥250mm的垂直台阶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机器人充满电≤2小时，机器人具备自动规划返程充电功能。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当前国内外相关应用情况：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目前国内外配电间机器人应用尚处于发展阶段，陆上变电站、配电房已有部分巡检机器人应用案例，但面向海上平台高盐雾、高温、高湿、强电磁干扰等极端海洋环境的轮足式操作机器人应用较少，尤其是具备机械臂精细操作能力（按钮/旋钮操作、分合闸、电气隔离等）的室内操作机器人在海上平台场景中尚属前沿探索。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关键问题与技术难点：</w:t>
            </w:r>
          </w:p>
          <w:p>
            <w:pPr>
              <w:numPr>
                <w:ilvl w:val="0"/>
                <w:numId w:val="1"/>
              </w:numPr>
              <w:spacing w:line="320" w:lineRule="exact"/>
              <w:ind w:left="420" w:leftChars="0" w:hanging="420" w:firstLineChars="0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海上平台高盐雾、高温、高湿环境对机器人防护等级及长期可靠性提出严苛要求</w:t>
            </w:r>
          </w:p>
          <w:p>
            <w:pPr>
              <w:numPr>
                <w:ilvl w:val="0"/>
                <w:numId w:val="1"/>
              </w:numPr>
              <w:spacing w:line="320" w:lineRule="exact"/>
              <w:ind w:left="420" w:leftChars="0" w:hanging="420" w:firstLineChars="0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配电间通道狭窄（800-1100mm）、布局紧凑，对机器人越障、转向、导航精度要求高</w:t>
            </w:r>
          </w:p>
          <w:p>
            <w:pPr>
              <w:numPr>
                <w:ilvl w:val="0"/>
                <w:numId w:val="1"/>
              </w:numPr>
              <w:spacing w:line="320" w:lineRule="exact"/>
              <w:ind w:left="420" w:leftChars="0" w:hanging="420" w:firstLineChars="0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现场电磁干扰强度大，对机器人通信、控制、检测模块抗干扰能力要求严苛</w:t>
            </w:r>
          </w:p>
          <w:p>
            <w:pPr>
              <w:numPr>
                <w:ilvl w:val="0"/>
                <w:numId w:val="1"/>
              </w:numPr>
              <w:spacing w:line="320" w:lineRule="exact"/>
              <w:ind w:left="420" w:leftChars="0" w:hanging="420" w:firstLineChars="0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机械臂精细操作（按钮按压、旋钮旋转、点动等）的失误率需控制在3%以内</w:t>
            </w:r>
          </w:p>
          <w:p>
            <w:pPr>
              <w:numPr>
                <w:ilvl w:val="0"/>
                <w:numId w:val="1"/>
              </w:numPr>
              <w:spacing w:line="320" w:lineRule="exact"/>
              <w:ind w:left="420" w:leftChars="0" w:hanging="420" w:firstLineChars="0"/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操作容错机制、防误操作联锁等安全可靠性要求高</w:t>
            </w:r>
          </w:p>
          <w:p>
            <w:pPr>
              <w:widowControl/>
              <w:numPr>
                <w:ilvl w:val="0"/>
                <w:numId w:val="2"/>
              </w:numPr>
              <w:spacing w:before="90" w:afterAutospacing="1"/>
              <w:ind w:left="0"/>
            </w:pPr>
          </w:p>
          <w:p>
            <w:pPr>
              <w:spacing w:line="320" w:lineRule="exact"/>
              <w:ind w:left="720" w:hanging="720" w:hangingChars="30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潜在规模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海上油气平台全国范围内数量众多，随着智能化油田建设推进，配电间操作机器人在海上平台、陆上终端、炼化厂等场景具有广阔推广前景。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F1115"/>
                <w:sz w:val="24"/>
                <w:szCs w:val="24"/>
                <w:shd w:val="clear" w:color="auto" w:fill="FFFFFF"/>
              </w:rPr>
              <w:t>项目已在番禺油田无人平台和中心平台规划应用；已完成前期技术调研与方案论证；具备海上平台现场测试条件；已对接潜在机器人解决方案供给方。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实施成效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widowControl/>
              <w:spacing w:before="240" w:after="240"/>
              <w:rPr>
                <w:rFonts w:hint="eastAsia" w:ascii="仿宋_GB2312" w:hAnsi="仿宋_GB2312" w:eastAsia="仿宋_GB2312" w:cs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经济效益：替代人工完成高危带电作业，降低人工成本；提升配电间巡检与操作效率，减少设备非计划停机；通过精准监测（红外、局放）提前发现设备缺陷，降低故障损失；</w:t>
            </w:r>
          </w:p>
          <w:p>
            <w:pPr>
              <w:pStyle w:val="6"/>
              <w:widowControl/>
              <w:spacing w:before="240" w:after="240"/>
              <w:rPr>
                <w:rFonts w:hint="eastAsia" w:ascii="仿宋_GB2312" w:hAnsi="仿宋_GB2312" w:eastAsia="仿宋_GB2312" w:cs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社会效益：显著降低人员在高盐雾、高温、高湿、带电等恶劣环境下的安全风险；推动海上平台配电间运维从人工向智能化、自动化转型升级；为海洋工程领域机器人应用提供示范案例；形成专利、软件著作权等自主知识产权。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  <w:szCs w:val="20"/>
              </w:rPr>
            </w:pPr>
          </w:p>
        </w:tc>
      </w:tr>
    </w:tbl>
    <w:p>
      <w:pPr>
        <w:rPr>
          <w:rFonts w:ascii="Times New Roman" w:hAnsi="Times New Roman" w:eastAsia="仿宋_GB2312"/>
          <w:sz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altName w:val="Noto Naskh Arabic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方正仿宋简体">
    <w:altName w:val="方正仿宋_GBK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Wingdings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EB5EB1"/>
    <w:multiLevelType w:val="singleLevel"/>
    <w:tmpl w:val="ADEB5EB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B7E6C6D4"/>
    <w:multiLevelType w:val="multilevel"/>
    <w:tmpl w:val="B7E6C6D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3B"/>
    <w:rsid w:val="000A3374"/>
    <w:rsid w:val="000A3922"/>
    <w:rsid w:val="000A4A4B"/>
    <w:rsid w:val="000F4C66"/>
    <w:rsid w:val="001242F7"/>
    <w:rsid w:val="00185040"/>
    <w:rsid w:val="001E5EAA"/>
    <w:rsid w:val="00205DBC"/>
    <w:rsid w:val="00222ADC"/>
    <w:rsid w:val="002265FE"/>
    <w:rsid w:val="00234CE7"/>
    <w:rsid w:val="00292980"/>
    <w:rsid w:val="002F78B7"/>
    <w:rsid w:val="00311965"/>
    <w:rsid w:val="00372057"/>
    <w:rsid w:val="004063FD"/>
    <w:rsid w:val="00452DDD"/>
    <w:rsid w:val="00457E50"/>
    <w:rsid w:val="004814C2"/>
    <w:rsid w:val="004C7EB3"/>
    <w:rsid w:val="004E0182"/>
    <w:rsid w:val="004E0553"/>
    <w:rsid w:val="00512D71"/>
    <w:rsid w:val="005153B7"/>
    <w:rsid w:val="00517E23"/>
    <w:rsid w:val="00552DA0"/>
    <w:rsid w:val="0056248C"/>
    <w:rsid w:val="005A32C2"/>
    <w:rsid w:val="005A38BE"/>
    <w:rsid w:val="005B7FBF"/>
    <w:rsid w:val="005F1C89"/>
    <w:rsid w:val="005F7413"/>
    <w:rsid w:val="00665FDC"/>
    <w:rsid w:val="00684032"/>
    <w:rsid w:val="006C343B"/>
    <w:rsid w:val="006D112F"/>
    <w:rsid w:val="00751207"/>
    <w:rsid w:val="007807BE"/>
    <w:rsid w:val="007830CB"/>
    <w:rsid w:val="007B6657"/>
    <w:rsid w:val="007D3ADA"/>
    <w:rsid w:val="00893BD5"/>
    <w:rsid w:val="008B7AAB"/>
    <w:rsid w:val="008D6FE9"/>
    <w:rsid w:val="00936F90"/>
    <w:rsid w:val="009A4411"/>
    <w:rsid w:val="009E7641"/>
    <w:rsid w:val="00A00B41"/>
    <w:rsid w:val="00A07B12"/>
    <w:rsid w:val="00A321DC"/>
    <w:rsid w:val="00A413AF"/>
    <w:rsid w:val="00A464B4"/>
    <w:rsid w:val="00A95634"/>
    <w:rsid w:val="00AD5859"/>
    <w:rsid w:val="00AD71E7"/>
    <w:rsid w:val="00B1112F"/>
    <w:rsid w:val="00B17A10"/>
    <w:rsid w:val="00B40814"/>
    <w:rsid w:val="00B76C08"/>
    <w:rsid w:val="00C15A05"/>
    <w:rsid w:val="00C418C9"/>
    <w:rsid w:val="00C53D1F"/>
    <w:rsid w:val="00C950F2"/>
    <w:rsid w:val="00CA1A59"/>
    <w:rsid w:val="00CA333D"/>
    <w:rsid w:val="00CB269D"/>
    <w:rsid w:val="00D15730"/>
    <w:rsid w:val="00D57E8E"/>
    <w:rsid w:val="00D85099"/>
    <w:rsid w:val="00DF63D5"/>
    <w:rsid w:val="00E33726"/>
    <w:rsid w:val="00E75083"/>
    <w:rsid w:val="00F57A7F"/>
    <w:rsid w:val="00F601B2"/>
    <w:rsid w:val="00F934E7"/>
    <w:rsid w:val="00FE290B"/>
    <w:rsid w:val="01F0403A"/>
    <w:rsid w:val="03DE3866"/>
    <w:rsid w:val="06C8202F"/>
    <w:rsid w:val="0B2C47E2"/>
    <w:rsid w:val="12964D66"/>
    <w:rsid w:val="17D23921"/>
    <w:rsid w:val="19921729"/>
    <w:rsid w:val="1DD06378"/>
    <w:rsid w:val="1E8C2D66"/>
    <w:rsid w:val="2C7502FD"/>
    <w:rsid w:val="2CAB3B34"/>
    <w:rsid w:val="2CC76418"/>
    <w:rsid w:val="2E117847"/>
    <w:rsid w:val="310E5509"/>
    <w:rsid w:val="32D44E75"/>
    <w:rsid w:val="36D6DA37"/>
    <w:rsid w:val="39BE35F5"/>
    <w:rsid w:val="40226492"/>
    <w:rsid w:val="44F91B04"/>
    <w:rsid w:val="4DDFF696"/>
    <w:rsid w:val="4ECF5625"/>
    <w:rsid w:val="4F151527"/>
    <w:rsid w:val="528F4F17"/>
    <w:rsid w:val="5D704C29"/>
    <w:rsid w:val="5E776CE7"/>
    <w:rsid w:val="67495B4D"/>
    <w:rsid w:val="698279A8"/>
    <w:rsid w:val="735C0F53"/>
    <w:rsid w:val="73CE4A02"/>
    <w:rsid w:val="7B39F76B"/>
    <w:rsid w:val="7B957A23"/>
    <w:rsid w:val="7F7C2D89"/>
    <w:rsid w:val="9EDB286F"/>
    <w:rsid w:val="BBDF3A71"/>
    <w:rsid w:val="BB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4"/>
    <w:semiHidden/>
    <w:unhideWhenUsed/>
    <w:qFormat/>
    <w:uiPriority w:val="99"/>
    <w:pPr>
      <w:spacing w:after="120"/>
    </w:pPr>
  </w:style>
  <w:style w:type="paragraph" w:styleId="3">
    <w:name w:val="Body Text Indent 2"/>
    <w:basedOn w:val="1"/>
    <w:link w:val="15"/>
    <w:unhideWhenUsed/>
    <w:qFormat/>
    <w:uiPriority w:val="99"/>
    <w:pPr>
      <w:spacing w:after="120" w:line="480" w:lineRule="auto"/>
      <w:ind w:left="420" w:leftChars="200"/>
    </w:p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sz w:val="24"/>
    </w:rPr>
  </w:style>
  <w:style w:type="table" w:styleId="8">
    <w:name w:val="Table Grid"/>
    <w:basedOn w:val="7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paragraph" w:customStyle="1" w:styleId="13">
    <w:name w:val="样式1"/>
    <w:basedOn w:val="2"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4">
    <w:name w:val="正文文本 字符"/>
    <w:basedOn w:val="9"/>
    <w:link w:val="2"/>
    <w:semiHidden/>
    <w:qFormat/>
    <w:uiPriority w:val="99"/>
  </w:style>
  <w:style w:type="character" w:customStyle="1" w:styleId="15">
    <w:name w:val="正文文本缩进 2 字符"/>
    <w:basedOn w:val="9"/>
    <w:link w:val="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831</Words>
  <Characters>890</Characters>
  <Lines>49</Lines>
  <Paragraphs>49</Paragraphs>
  <TotalTime>14</TotalTime>
  <ScaleCrop>false</ScaleCrop>
  <LinksUpToDate>false</LinksUpToDate>
  <CharactersWithSpaces>1672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2024-06-19T17:15:00Z</dcterms:created>
  <dc:creator>张平</dc:creator>
  <cp:lastModifiedBy>工信局李悦</cp:lastModifiedBy>
  <cp:lastPrinted>2025-07-24T12:28:00Z</cp:lastPrinted>
  <dcterms:modified xsi:type="dcterms:W3CDTF">2026-08-14T15:47:37Z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4EFFEDDB8D114DAEB8E57A5EC1274D28_13</vt:lpwstr>
  </property>
  <property fmtid="{D5CDD505-2E9C-101B-9397-08002B2CF9AE}" pid="4" name="KSOTemplateDocerSaveRecord">
    <vt:lpwstr>eyJoZGlkIjoiMmQxNjEyMTg5NmY4Mjg2NzUwZDY2YWI5ZmM1ZDY0YjYiLCJ1c2VySWQiOiI2NzYzNzQ5ODAifQ==</vt:lpwstr>
  </property>
</Properties>
</file>