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952"/>
        <w:jc w:val="center"/>
        <w:rPr>
          <w:rFonts w:eastAsia="黑体"/>
          <w:b/>
          <w:sz w:val="44"/>
          <w:szCs w:val="44"/>
        </w:rPr>
      </w:pPr>
    </w:p>
    <w:p>
      <w:pPr>
        <w:spacing w:line="240" w:lineRule="auto"/>
        <w:ind w:firstLine="0" w:firstLineChars="0"/>
        <w:rPr>
          <w:rFonts w:eastAsia="黑体"/>
          <w:b/>
          <w:sz w:val="44"/>
          <w:szCs w:val="44"/>
        </w:rPr>
      </w:pPr>
    </w:p>
    <w:p>
      <w:pPr>
        <w:spacing w:line="600" w:lineRule="exact"/>
        <w:ind w:firstLine="0" w:firstLineChars="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深圳市 xxx 项目</w:t>
      </w:r>
    </w:p>
    <w:p>
      <w:pPr>
        <w:spacing w:line="600" w:lineRule="exact"/>
        <w:ind w:firstLine="0" w:firstLineChars="0"/>
        <w:jc w:val="center"/>
        <w:rPr>
          <w:rFonts w:ascii="方正小标宋简体" w:hAnsi="方正小标宋简体" w:eastAsia="方正小标宋简体" w:cs="方正小标宋简体"/>
          <w:bCs/>
          <w:sz w:val="44"/>
          <w:szCs w:val="44"/>
        </w:rPr>
      </w:pPr>
      <w:bookmarkStart w:id="0" w:name="_Toc4482"/>
      <w:bookmarkStart w:id="1" w:name="_Toc32432"/>
      <w:bookmarkStart w:id="2" w:name="_Toc1122392635"/>
      <w:r>
        <w:rPr>
          <w:rFonts w:hint="eastAsia" w:ascii="方正小标宋简体" w:hAnsi="方正小标宋简体" w:eastAsia="方正小标宋简体" w:cs="方正小标宋简体"/>
          <w:bCs/>
          <w:sz w:val="44"/>
          <w:szCs w:val="44"/>
        </w:rPr>
        <w:t>噪声污染防治专篇编制要点</w:t>
      </w:r>
      <w:bookmarkEnd w:id="0"/>
      <w:bookmarkEnd w:id="1"/>
      <w:bookmarkEnd w:id="2"/>
    </w:p>
    <w:p>
      <w:pPr>
        <w:ind w:firstLine="640"/>
      </w:pPr>
    </w:p>
    <w:p>
      <w:pPr>
        <w:ind w:firstLine="640"/>
      </w:pPr>
    </w:p>
    <w:p>
      <w:pPr>
        <w:pStyle w:val="5"/>
        <w:ind w:firstLine="640"/>
      </w:pPr>
    </w:p>
    <w:p>
      <w:pPr>
        <w:pStyle w:val="5"/>
        <w:ind w:firstLine="640"/>
      </w:pPr>
    </w:p>
    <w:p>
      <w:pPr>
        <w:pStyle w:val="5"/>
        <w:ind w:firstLine="640"/>
      </w:pPr>
    </w:p>
    <w:p>
      <w:pPr>
        <w:ind w:firstLine="640"/>
      </w:pPr>
    </w:p>
    <w:p>
      <w:pPr>
        <w:pStyle w:val="5"/>
        <w:spacing w:line="720" w:lineRule="exact"/>
        <w:ind w:firstLine="640"/>
      </w:pPr>
    </w:p>
    <w:p>
      <w:pPr>
        <w:adjustRightInd w:val="0"/>
        <w:snapToGrid w:val="0"/>
        <w:spacing w:line="600" w:lineRule="exact"/>
        <w:ind w:firstLine="1280" w:firstLineChars="400"/>
      </w:pPr>
      <w:r>
        <w:rPr>
          <w:rFonts w:hint="eastAsia"/>
        </w:rPr>
        <w:t>委托单位（公章）：</w:t>
      </w:r>
      <w:r>
        <w:rPr>
          <w:rFonts w:hint="eastAsia"/>
          <w:u w:val="single"/>
        </w:rPr>
        <w:t xml:space="preserve">                     </w:t>
      </w:r>
    </w:p>
    <w:p>
      <w:pPr>
        <w:adjustRightInd w:val="0"/>
        <w:snapToGrid w:val="0"/>
        <w:spacing w:line="600" w:lineRule="exact"/>
        <w:ind w:firstLine="1280" w:firstLineChars="400"/>
        <w:rPr>
          <w:u w:val="single"/>
        </w:rPr>
      </w:pPr>
      <w:r>
        <w:rPr>
          <w:rFonts w:hint="eastAsia"/>
        </w:rPr>
        <w:t>编制单位（公章）：</w:t>
      </w:r>
      <w:r>
        <w:rPr>
          <w:rFonts w:hint="eastAsia"/>
          <w:u w:val="single"/>
        </w:rPr>
        <w:t xml:space="preserve">                     </w:t>
      </w:r>
    </w:p>
    <w:p>
      <w:pPr>
        <w:adjustRightInd w:val="0"/>
        <w:snapToGrid w:val="0"/>
        <w:spacing w:line="600" w:lineRule="exact"/>
        <w:ind w:firstLine="1280" w:firstLineChars="400"/>
      </w:pPr>
      <w:r>
        <w:rPr>
          <w:rFonts w:hint="eastAsia"/>
        </w:rPr>
        <w:t>编制时间：</w:t>
      </w:r>
      <w:r>
        <w:rPr>
          <w:rFonts w:hint="eastAsia"/>
          <w:u w:val="single"/>
        </w:rPr>
        <w:t xml:space="preserve">                             </w:t>
      </w:r>
    </w:p>
    <w:p>
      <w:pPr>
        <w:adjustRightInd w:val="0"/>
        <w:snapToGrid w:val="0"/>
        <w:spacing w:line="600" w:lineRule="exact"/>
        <w:ind w:firstLine="1280" w:firstLineChars="400"/>
        <w:rPr>
          <w:u w:val="single"/>
        </w:rPr>
      </w:pPr>
      <w:r>
        <w:rPr>
          <w:rFonts w:hint="eastAsia"/>
        </w:rPr>
        <w:t>地块名称（编号）：</w:t>
      </w:r>
      <w:r>
        <w:rPr>
          <w:rFonts w:hint="eastAsia"/>
          <w:u w:val="single"/>
        </w:rPr>
        <w:t xml:space="preserve">                     </w:t>
      </w:r>
    </w:p>
    <w:p>
      <w:pPr>
        <w:adjustRightInd w:val="0"/>
        <w:snapToGrid w:val="0"/>
        <w:spacing w:line="600" w:lineRule="exact"/>
        <w:ind w:firstLine="0" w:firstLineChars="0"/>
        <w:jc w:val="center"/>
        <w:rPr>
          <w:rFonts w:ascii="黑体" w:hAnsi="黑体" w:eastAsia="黑体" w:cs="黑体"/>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sdt>
      <w:sdtPr>
        <w:rPr>
          <w:rFonts w:hint="eastAsia" w:ascii="黑体" w:hAnsi="黑体" w:eastAsia="黑体" w:cs="黑体"/>
          <w:szCs w:val="32"/>
        </w:rPr>
        <w:id w:val="147479395"/>
        <w:docPartObj>
          <w:docPartGallery w:val="Table of Contents"/>
          <w:docPartUnique/>
        </w:docPartObj>
      </w:sdtPr>
      <w:sdtEndPr>
        <w:rPr>
          <w:rFonts w:hint="eastAsia" w:ascii="黑体" w:hAnsi="黑体" w:eastAsia="黑体" w:cs="黑体"/>
          <w:b/>
          <w:sz w:val="44"/>
          <w:szCs w:val="44"/>
        </w:rPr>
      </w:sdtEndPr>
      <w:sdtContent>
        <w:p>
          <w:pPr>
            <w:adjustRightInd w:val="0"/>
            <w:snapToGrid w:val="0"/>
            <w:ind w:firstLine="0" w:firstLineChars="0"/>
            <w:jc w:val="center"/>
            <w:rPr>
              <w:rFonts w:ascii="黑体" w:hAnsi="黑体" w:eastAsia="黑体" w:cs="黑体"/>
              <w:szCs w:val="32"/>
            </w:rPr>
          </w:pPr>
        </w:p>
        <w:p>
          <w:pPr>
            <w:adjustRightInd w:val="0"/>
            <w:snapToGrid w:val="0"/>
            <w:spacing w:line="600" w:lineRule="exact"/>
            <w:ind w:firstLine="0" w:firstLineChars="0"/>
            <w:jc w:val="center"/>
            <w:rPr>
              <w:rFonts w:ascii="黑体" w:hAnsi="黑体" w:eastAsia="黑体" w:cs="黑体"/>
              <w:szCs w:val="32"/>
            </w:rPr>
          </w:pPr>
          <w:r>
            <w:rPr>
              <w:rFonts w:hint="eastAsia" w:ascii="黑体" w:hAnsi="黑体" w:eastAsia="黑体" w:cs="黑体"/>
              <w:szCs w:val="32"/>
            </w:rPr>
            <w:t>目录</w:t>
          </w:r>
        </w:p>
        <w:p>
          <w:pPr>
            <w:adjustRightInd w:val="0"/>
            <w:snapToGrid w:val="0"/>
            <w:spacing w:line="600" w:lineRule="exact"/>
            <w:ind w:firstLine="0" w:firstLineChars="0"/>
            <w:jc w:val="center"/>
            <w:rPr>
              <w:rFonts w:ascii="黑体" w:hAnsi="黑体" w:eastAsia="黑体" w:cs="黑体"/>
              <w:szCs w:val="32"/>
            </w:rPr>
          </w:pPr>
        </w:p>
        <w:p>
          <w:pPr>
            <w:pStyle w:val="15"/>
            <w:tabs>
              <w:tab w:val="right" w:leader="dot" w:pos="8306"/>
            </w:tabs>
            <w:spacing w:line="520" w:lineRule="exact"/>
            <w:ind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TOC \o "1-2" \h \u </w:instrText>
          </w:r>
          <w:r>
            <w:rPr>
              <w:rFonts w:hint="eastAsia" w:ascii="仿宋_GB2312" w:hAnsi="仿宋_GB2312" w:cs="仿宋_GB2312"/>
              <w:szCs w:val="32"/>
            </w:rPr>
            <w:fldChar w:fldCharType="separate"/>
          </w: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_Toc11902 </w:instrText>
          </w:r>
          <w:r>
            <w:rPr>
              <w:rFonts w:hint="eastAsia" w:ascii="仿宋_GB2312" w:hAnsi="仿宋_GB2312" w:cs="仿宋_GB2312"/>
              <w:szCs w:val="32"/>
            </w:rPr>
            <w:fldChar w:fldCharType="separate"/>
          </w:r>
          <w:r>
            <w:rPr>
              <w:rFonts w:hint="eastAsia"/>
            </w:rPr>
            <w:t>1 基本要求</w:t>
          </w:r>
          <w:r>
            <w:tab/>
          </w:r>
          <w:r>
            <w:fldChar w:fldCharType="begin"/>
          </w:r>
          <w:r>
            <w:instrText xml:space="preserve"> PAGEREF _Toc11902 \h </w:instrText>
          </w:r>
          <w:r>
            <w:fldChar w:fldCharType="separate"/>
          </w:r>
          <w:r>
            <w:t>1</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_Toc3450 </w:instrText>
          </w:r>
          <w:r>
            <w:rPr>
              <w:rFonts w:hint="eastAsia" w:ascii="仿宋_GB2312" w:hAnsi="仿宋_GB2312" w:cs="仿宋_GB2312"/>
              <w:szCs w:val="32"/>
            </w:rPr>
            <w:fldChar w:fldCharType="separate"/>
          </w:r>
          <w:r>
            <w:rPr>
              <w:rFonts w:hint="eastAsia" w:ascii="楷体_GB2312" w:hAnsi="楷体_GB2312" w:eastAsia="楷体_GB2312" w:cs="楷体_GB2312"/>
            </w:rPr>
            <w:t>1.1</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适用情形</w:t>
          </w:r>
          <w:r>
            <w:tab/>
          </w:r>
          <w:r>
            <w:fldChar w:fldCharType="begin"/>
          </w:r>
          <w:r>
            <w:instrText xml:space="preserve"> PAGEREF _Toc3450 \h </w:instrText>
          </w:r>
          <w:r>
            <w:fldChar w:fldCharType="separate"/>
          </w:r>
          <w:r>
            <w:t>1</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_Toc27552 </w:instrText>
          </w:r>
          <w:r>
            <w:rPr>
              <w:rFonts w:hint="eastAsia" w:ascii="仿宋_GB2312" w:hAnsi="仿宋_GB2312" w:cs="仿宋_GB2312"/>
              <w:szCs w:val="32"/>
            </w:rPr>
            <w:fldChar w:fldCharType="separate"/>
          </w:r>
          <w:r>
            <w:rPr>
              <w:rFonts w:hint="eastAsia" w:ascii="楷体_GB2312" w:hAnsi="楷体_GB2312" w:eastAsia="楷体_GB2312" w:cs="楷体_GB2312"/>
              <w:szCs w:val="32"/>
            </w:rPr>
            <w:t>1.2</w:t>
          </w:r>
          <w:r>
            <w:rPr>
              <w:rFonts w:hint="eastAsia" w:ascii="楷体_GB2312" w:hAnsi="楷体_GB2312" w:eastAsia="楷体_GB2312" w:cs="楷体_GB2312"/>
              <w:szCs w:val="32"/>
              <w:lang w:val="en-US" w:eastAsia="zh-CN"/>
            </w:rPr>
            <w:t xml:space="preserve"> </w:t>
          </w:r>
          <w:r>
            <w:rPr>
              <w:rFonts w:hint="eastAsia" w:ascii="楷体_GB2312" w:hAnsi="楷体_GB2312" w:eastAsia="楷体_GB2312" w:cs="楷体_GB2312"/>
              <w:szCs w:val="32"/>
            </w:rPr>
            <w:t>评价范围</w:t>
          </w:r>
          <w:r>
            <w:tab/>
          </w:r>
          <w:r>
            <w:fldChar w:fldCharType="begin"/>
          </w:r>
          <w:r>
            <w:instrText xml:space="preserve"> PAGEREF _Toc27552 \h </w:instrText>
          </w:r>
          <w:r>
            <w:fldChar w:fldCharType="separate"/>
          </w:r>
          <w:r>
            <w:t>1</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_Toc19085 </w:instrText>
          </w:r>
          <w:r>
            <w:rPr>
              <w:rFonts w:hint="eastAsia" w:ascii="仿宋_GB2312" w:hAnsi="仿宋_GB2312" w:cs="仿宋_GB2312"/>
              <w:szCs w:val="32"/>
            </w:rPr>
            <w:fldChar w:fldCharType="separate"/>
          </w:r>
          <w:r>
            <w:rPr>
              <w:rFonts w:hint="eastAsia" w:ascii="楷体_GB2312" w:hAnsi="楷体_GB2312" w:eastAsia="楷体_GB2312" w:cs="楷体_GB2312"/>
              <w:szCs w:val="32"/>
            </w:rPr>
            <w:t>1.3</w:t>
          </w:r>
          <w:r>
            <w:rPr>
              <w:rFonts w:hint="eastAsia" w:ascii="楷体_GB2312" w:hAnsi="楷体_GB2312" w:eastAsia="楷体_GB2312" w:cs="楷体_GB2312"/>
              <w:szCs w:val="32"/>
              <w:lang w:val="en-US" w:eastAsia="zh-CN"/>
            </w:rPr>
            <w:t xml:space="preserve"> </w:t>
          </w:r>
          <w:r>
            <w:rPr>
              <w:rFonts w:hint="eastAsia" w:ascii="楷体_GB2312" w:hAnsi="楷体_GB2312" w:eastAsia="楷体_GB2312" w:cs="楷体_GB2312"/>
              <w:szCs w:val="32"/>
            </w:rPr>
            <w:t>评价对象</w:t>
          </w:r>
          <w:r>
            <w:tab/>
          </w:r>
          <w:r>
            <w:fldChar w:fldCharType="begin"/>
          </w:r>
          <w:r>
            <w:instrText xml:space="preserve"> PAGEREF _Toc19085 \h </w:instrText>
          </w:r>
          <w:r>
            <w:fldChar w:fldCharType="separate"/>
          </w:r>
          <w:r>
            <w:t>1</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_Toc16792 </w:instrText>
          </w:r>
          <w:r>
            <w:rPr>
              <w:rFonts w:hint="eastAsia" w:ascii="仿宋_GB2312" w:hAnsi="仿宋_GB2312" w:cs="仿宋_GB2312"/>
              <w:szCs w:val="32"/>
            </w:rPr>
            <w:fldChar w:fldCharType="separate"/>
          </w:r>
          <w:r>
            <w:rPr>
              <w:rFonts w:hint="eastAsia" w:ascii="楷体_GB2312" w:hAnsi="楷体_GB2312" w:eastAsia="楷体_GB2312" w:cs="楷体_GB2312"/>
            </w:rPr>
            <w:t>1.4</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编制依据及参考资料</w:t>
          </w:r>
          <w:r>
            <w:tab/>
          </w:r>
          <w:r>
            <w:fldChar w:fldCharType="begin"/>
          </w:r>
          <w:r>
            <w:instrText xml:space="preserve"> PAGEREF _Toc16792 \h </w:instrText>
          </w:r>
          <w:r>
            <w:fldChar w:fldCharType="separate"/>
          </w:r>
          <w:r>
            <w:t>2</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_Toc24882 </w:instrText>
          </w:r>
          <w:r>
            <w:rPr>
              <w:rFonts w:hint="eastAsia" w:ascii="仿宋_GB2312" w:hAnsi="仿宋_GB2312" w:cs="仿宋_GB2312"/>
              <w:szCs w:val="32"/>
            </w:rPr>
            <w:fldChar w:fldCharType="separate"/>
          </w:r>
          <w:r>
            <w:rPr>
              <w:rFonts w:hint="eastAsia" w:ascii="楷体_GB2312" w:hAnsi="楷体_GB2312" w:eastAsia="楷体_GB2312" w:cs="楷体_GB2312"/>
            </w:rPr>
            <w:t>1.5</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评价标准</w:t>
          </w:r>
          <w:r>
            <w:tab/>
          </w:r>
          <w:r>
            <w:fldChar w:fldCharType="begin"/>
          </w:r>
          <w:r>
            <w:instrText xml:space="preserve"> PAGEREF _Toc24882 \h </w:instrText>
          </w:r>
          <w:r>
            <w:fldChar w:fldCharType="separate"/>
          </w:r>
          <w:r>
            <w:t>2</w:t>
          </w:r>
          <w:r>
            <w:fldChar w:fldCharType="end"/>
          </w:r>
          <w:r>
            <w:rPr>
              <w:rFonts w:hint="eastAsia" w:ascii="仿宋_GB2312" w:hAnsi="仿宋_GB2312" w:cs="仿宋_GB2312"/>
              <w:szCs w:val="32"/>
            </w:rPr>
            <w:fldChar w:fldCharType="end"/>
          </w:r>
        </w:p>
        <w:p>
          <w:pPr>
            <w:pStyle w:val="15"/>
            <w:tabs>
              <w:tab w:val="right" w:leader="dot" w:pos="8306"/>
            </w:tabs>
            <w:spacing w:line="520" w:lineRule="exact"/>
            <w:ind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_Toc29608 </w:instrText>
          </w:r>
          <w:r>
            <w:rPr>
              <w:rFonts w:hint="eastAsia" w:ascii="仿宋_GB2312" w:hAnsi="仿宋_GB2312" w:cs="仿宋_GB2312"/>
              <w:szCs w:val="32"/>
            </w:rPr>
            <w:fldChar w:fldCharType="separate"/>
          </w:r>
          <w:r>
            <w:rPr>
              <w:rFonts w:hint="eastAsia"/>
            </w:rPr>
            <w:t>2 项目概况</w:t>
          </w:r>
          <w:r>
            <w:tab/>
          </w:r>
          <w:r>
            <w:fldChar w:fldCharType="begin"/>
          </w:r>
          <w:r>
            <w:instrText xml:space="preserve"> PAGEREF _Toc29608 \h </w:instrText>
          </w:r>
          <w:r>
            <w:fldChar w:fldCharType="separate"/>
          </w:r>
          <w:r>
            <w:t>2</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_Toc10792 </w:instrText>
          </w:r>
          <w:r>
            <w:rPr>
              <w:rFonts w:hint="eastAsia" w:ascii="仿宋_GB2312" w:hAnsi="仿宋_GB2312" w:cs="仿宋_GB2312"/>
              <w:szCs w:val="32"/>
            </w:rPr>
            <w:fldChar w:fldCharType="separate"/>
          </w:r>
          <w:r>
            <w:rPr>
              <w:rFonts w:hint="eastAsia" w:ascii="楷体_GB2312" w:hAnsi="楷体_GB2312" w:eastAsia="楷体_GB2312" w:cs="楷体_GB2312"/>
            </w:rPr>
            <w:t>2.1</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项目概述</w:t>
          </w:r>
          <w:r>
            <w:tab/>
          </w:r>
          <w:r>
            <w:fldChar w:fldCharType="begin"/>
          </w:r>
          <w:r>
            <w:instrText xml:space="preserve"> PAGEREF _Toc10792 \h </w:instrText>
          </w:r>
          <w:r>
            <w:fldChar w:fldCharType="separate"/>
          </w:r>
          <w:r>
            <w:t>2</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_Toc14320 </w:instrText>
          </w:r>
          <w:r>
            <w:rPr>
              <w:rFonts w:hint="eastAsia" w:ascii="仿宋_GB2312" w:hAnsi="仿宋_GB2312" w:cs="仿宋_GB2312"/>
              <w:szCs w:val="32"/>
            </w:rPr>
            <w:fldChar w:fldCharType="separate"/>
          </w:r>
          <w:r>
            <w:rPr>
              <w:rFonts w:hint="eastAsia" w:ascii="楷体_GB2312" w:hAnsi="楷体_GB2312" w:eastAsia="楷体_GB2312" w:cs="楷体_GB2312"/>
            </w:rPr>
            <w:t>2.2</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声环境质量现状监测调查</w:t>
          </w:r>
          <w:r>
            <w:tab/>
          </w:r>
          <w:r>
            <w:fldChar w:fldCharType="begin"/>
          </w:r>
          <w:r>
            <w:instrText xml:space="preserve"> PAGEREF _Toc14320 \h </w:instrText>
          </w:r>
          <w:r>
            <w:fldChar w:fldCharType="separate"/>
          </w:r>
          <w:r>
            <w:t>3</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_Toc18923 </w:instrText>
          </w:r>
          <w:r>
            <w:rPr>
              <w:rFonts w:hint="eastAsia" w:ascii="仿宋_GB2312" w:hAnsi="仿宋_GB2312" w:cs="仿宋_GB2312"/>
              <w:szCs w:val="32"/>
            </w:rPr>
            <w:fldChar w:fldCharType="separate"/>
          </w:r>
          <w:r>
            <w:rPr>
              <w:rFonts w:hint="eastAsia" w:ascii="楷体_GB2312" w:hAnsi="楷体_GB2312" w:eastAsia="楷体_GB2312" w:cs="楷体_GB2312"/>
            </w:rPr>
            <w:t>2.3</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主要噪声源分析</w:t>
          </w:r>
          <w:r>
            <w:tab/>
          </w:r>
          <w:r>
            <w:fldChar w:fldCharType="begin"/>
          </w:r>
          <w:r>
            <w:instrText xml:space="preserve"> PAGEREF _Toc18923 \h </w:instrText>
          </w:r>
          <w:r>
            <w:fldChar w:fldCharType="separate"/>
          </w:r>
          <w:r>
            <w:t>4</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_Toc13428 </w:instrText>
          </w:r>
          <w:r>
            <w:rPr>
              <w:rFonts w:hint="eastAsia" w:ascii="仿宋_GB2312" w:hAnsi="仿宋_GB2312" w:cs="仿宋_GB2312"/>
              <w:szCs w:val="32"/>
            </w:rPr>
            <w:fldChar w:fldCharType="separate"/>
          </w:r>
          <w:r>
            <w:rPr>
              <w:rFonts w:hint="eastAsia" w:ascii="楷体_GB2312" w:hAnsi="楷体_GB2312" w:eastAsia="楷体_GB2312" w:cs="楷体_GB2312"/>
            </w:rPr>
            <w:t>2.4</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现状声环境评价结论</w:t>
          </w:r>
          <w:r>
            <w:tab/>
          </w:r>
          <w:r>
            <w:fldChar w:fldCharType="begin"/>
          </w:r>
          <w:r>
            <w:instrText xml:space="preserve"> PAGEREF _Toc13428 \h </w:instrText>
          </w:r>
          <w:r>
            <w:fldChar w:fldCharType="separate"/>
          </w:r>
          <w:r>
            <w:t>5</w:t>
          </w:r>
          <w:r>
            <w:fldChar w:fldCharType="end"/>
          </w:r>
          <w:r>
            <w:rPr>
              <w:rFonts w:hint="eastAsia" w:ascii="仿宋_GB2312" w:hAnsi="仿宋_GB2312" w:cs="仿宋_GB2312"/>
              <w:szCs w:val="32"/>
            </w:rPr>
            <w:fldChar w:fldCharType="end"/>
          </w:r>
        </w:p>
        <w:p>
          <w:pPr>
            <w:pStyle w:val="15"/>
            <w:tabs>
              <w:tab w:val="right" w:leader="dot" w:pos="8306"/>
            </w:tabs>
            <w:spacing w:line="520" w:lineRule="exact"/>
            <w:ind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_Toc23578 </w:instrText>
          </w:r>
          <w:r>
            <w:rPr>
              <w:rFonts w:hint="eastAsia" w:ascii="仿宋_GB2312" w:hAnsi="仿宋_GB2312" w:cs="仿宋_GB2312"/>
              <w:szCs w:val="32"/>
            </w:rPr>
            <w:fldChar w:fldCharType="separate"/>
          </w:r>
          <w:r>
            <w:rPr>
              <w:rFonts w:hint="eastAsia"/>
            </w:rPr>
            <w:t>3 声环境模拟预测</w:t>
          </w:r>
          <w:r>
            <w:tab/>
          </w:r>
          <w:r>
            <w:fldChar w:fldCharType="begin"/>
          </w:r>
          <w:r>
            <w:instrText xml:space="preserve"> PAGEREF _Toc23578 \h </w:instrText>
          </w:r>
          <w:r>
            <w:fldChar w:fldCharType="separate"/>
          </w:r>
          <w:r>
            <w:t>5</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_Toc5463 </w:instrText>
          </w:r>
          <w:r>
            <w:rPr>
              <w:rFonts w:hint="eastAsia" w:ascii="仿宋_GB2312" w:hAnsi="仿宋_GB2312" w:cs="仿宋_GB2312"/>
              <w:szCs w:val="32"/>
            </w:rPr>
            <w:fldChar w:fldCharType="separate"/>
          </w:r>
          <w:r>
            <w:rPr>
              <w:rFonts w:hint="eastAsia" w:ascii="楷体_GB2312" w:hAnsi="楷体_GB2312" w:eastAsia="楷体_GB2312" w:cs="楷体_GB2312"/>
            </w:rPr>
            <w:t>3.1</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模拟方法</w:t>
          </w:r>
          <w:r>
            <w:tab/>
          </w:r>
          <w:r>
            <w:fldChar w:fldCharType="begin"/>
          </w:r>
          <w:r>
            <w:instrText xml:space="preserve"> PAGEREF _Toc5463 \h </w:instrText>
          </w:r>
          <w:r>
            <w:fldChar w:fldCharType="separate"/>
          </w:r>
          <w:r>
            <w:t>5</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_Toc26439 </w:instrText>
          </w:r>
          <w:r>
            <w:rPr>
              <w:rFonts w:hint="eastAsia" w:ascii="仿宋_GB2312" w:hAnsi="仿宋_GB2312" w:cs="仿宋_GB2312"/>
              <w:szCs w:val="32"/>
            </w:rPr>
            <w:fldChar w:fldCharType="separate"/>
          </w:r>
          <w:r>
            <w:rPr>
              <w:rFonts w:hint="eastAsia" w:ascii="楷体_GB2312" w:hAnsi="楷体_GB2312" w:eastAsia="楷体_GB2312" w:cs="楷体_GB2312"/>
            </w:rPr>
            <w:t>3.2</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现场实测校验</w:t>
          </w:r>
          <w:r>
            <w:tab/>
          </w:r>
          <w:r>
            <w:fldChar w:fldCharType="begin"/>
          </w:r>
          <w:r>
            <w:instrText xml:space="preserve"> PAGEREF _Toc26439 \h </w:instrText>
          </w:r>
          <w:r>
            <w:fldChar w:fldCharType="separate"/>
          </w:r>
          <w:r>
            <w:t>6</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_Toc3569 </w:instrText>
          </w:r>
          <w:r>
            <w:rPr>
              <w:rFonts w:hint="eastAsia" w:ascii="仿宋_GB2312" w:hAnsi="仿宋_GB2312" w:cs="仿宋_GB2312"/>
              <w:szCs w:val="32"/>
            </w:rPr>
            <w:fldChar w:fldCharType="separate"/>
          </w:r>
          <w:r>
            <w:rPr>
              <w:rFonts w:hint="eastAsia" w:ascii="楷体_GB2312" w:hAnsi="楷体_GB2312" w:eastAsia="楷体_GB2312" w:cs="楷体_GB2312"/>
            </w:rPr>
            <w:t>3.3</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未采取噪声防治措施的规划方案模拟</w:t>
          </w:r>
          <w:r>
            <w:tab/>
          </w:r>
          <w:r>
            <w:fldChar w:fldCharType="begin"/>
          </w:r>
          <w:r>
            <w:instrText xml:space="preserve"> PAGEREF _Toc3569 \h </w:instrText>
          </w:r>
          <w:r>
            <w:fldChar w:fldCharType="separate"/>
          </w:r>
          <w:r>
            <w:t>6</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_Toc17455 </w:instrText>
          </w:r>
          <w:r>
            <w:rPr>
              <w:rFonts w:hint="eastAsia" w:ascii="仿宋_GB2312" w:hAnsi="仿宋_GB2312" w:cs="仿宋_GB2312"/>
              <w:szCs w:val="32"/>
            </w:rPr>
            <w:fldChar w:fldCharType="separate"/>
          </w:r>
          <w:r>
            <w:rPr>
              <w:rFonts w:hint="eastAsia" w:ascii="楷体_GB2312" w:hAnsi="楷体_GB2312" w:eastAsia="楷体_GB2312" w:cs="楷体_GB2312"/>
            </w:rPr>
            <w:t>3.4</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规划方案的声环境评价结论</w:t>
          </w:r>
          <w:r>
            <w:tab/>
          </w:r>
          <w:r>
            <w:fldChar w:fldCharType="begin"/>
          </w:r>
          <w:r>
            <w:instrText xml:space="preserve"> PAGEREF _Toc17455 \h </w:instrText>
          </w:r>
          <w:r>
            <w:fldChar w:fldCharType="separate"/>
          </w:r>
          <w:r>
            <w:t>7</w:t>
          </w:r>
          <w:r>
            <w:fldChar w:fldCharType="end"/>
          </w:r>
          <w:r>
            <w:rPr>
              <w:rFonts w:hint="eastAsia" w:ascii="仿宋_GB2312" w:hAnsi="仿宋_GB2312" w:cs="仿宋_GB2312"/>
              <w:szCs w:val="32"/>
            </w:rPr>
            <w:fldChar w:fldCharType="end"/>
          </w:r>
        </w:p>
        <w:p>
          <w:pPr>
            <w:pStyle w:val="15"/>
            <w:tabs>
              <w:tab w:val="right" w:leader="dot" w:pos="8306"/>
            </w:tabs>
            <w:spacing w:line="520" w:lineRule="exact"/>
            <w:ind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_Toc25524 </w:instrText>
          </w:r>
          <w:r>
            <w:rPr>
              <w:rFonts w:hint="eastAsia" w:ascii="仿宋_GB2312" w:hAnsi="仿宋_GB2312" w:cs="仿宋_GB2312"/>
              <w:szCs w:val="32"/>
            </w:rPr>
            <w:fldChar w:fldCharType="separate"/>
          </w:r>
          <w:r>
            <w:rPr>
              <w:rFonts w:hint="eastAsia"/>
            </w:rPr>
            <w:t>4拟采取的防治措施</w:t>
          </w:r>
          <w:r>
            <w:tab/>
          </w:r>
          <w:r>
            <w:fldChar w:fldCharType="begin"/>
          </w:r>
          <w:r>
            <w:instrText xml:space="preserve"> PAGEREF _Toc25524 \h </w:instrText>
          </w:r>
          <w:r>
            <w:fldChar w:fldCharType="separate"/>
          </w:r>
          <w:r>
            <w:t>9</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_Toc15260 </w:instrText>
          </w:r>
          <w:r>
            <w:rPr>
              <w:rFonts w:hint="eastAsia" w:ascii="仿宋_GB2312" w:hAnsi="仿宋_GB2312" w:cs="仿宋_GB2312"/>
              <w:szCs w:val="32"/>
            </w:rPr>
            <w:fldChar w:fldCharType="separate"/>
          </w:r>
          <w:r>
            <w:rPr>
              <w:rFonts w:hint="eastAsia" w:ascii="仿宋_GB2312" w:hAnsi="仿宋_GB2312" w:cs="仿宋_GB2312"/>
            </w:rPr>
            <w:t xml:space="preserve">4.1 </w:t>
          </w:r>
          <w:r>
            <w:rPr>
              <w:rFonts w:hint="eastAsia" w:ascii="楷体_GB2312" w:hAnsi="楷体_GB2312" w:eastAsia="楷体_GB2312" w:cs="楷体_GB2312"/>
            </w:rPr>
            <w:t>明确噪声防治措施选型方案</w:t>
          </w:r>
          <w:r>
            <w:tab/>
          </w:r>
          <w:r>
            <w:fldChar w:fldCharType="begin"/>
          </w:r>
          <w:r>
            <w:instrText xml:space="preserve"> PAGEREF _Toc15260 \h </w:instrText>
          </w:r>
          <w:r>
            <w:fldChar w:fldCharType="separate"/>
          </w:r>
          <w:r>
            <w:t>9</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_Toc22766 </w:instrText>
          </w:r>
          <w:r>
            <w:rPr>
              <w:rFonts w:hint="eastAsia" w:ascii="仿宋_GB2312" w:hAnsi="仿宋_GB2312" w:cs="仿宋_GB2312"/>
              <w:szCs w:val="32"/>
            </w:rPr>
            <w:fldChar w:fldCharType="separate"/>
          </w:r>
          <w:r>
            <w:rPr>
              <w:rFonts w:hint="eastAsia" w:ascii="仿宋_GB2312" w:hAnsi="仿宋_GB2312" w:cs="仿宋_GB2312"/>
            </w:rPr>
            <w:t>4.2 拟</w:t>
          </w:r>
          <w:r>
            <w:rPr>
              <w:rFonts w:hint="eastAsia" w:ascii="楷体_GB2312" w:hAnsi="楷体_GB2312" w:eastAsia="楷体_GB2312" w:cs="楷体_GB2312"/>
            </w:rPr>
            <w:t>采取噪声防治措施的规划方案</w:t>
          </w:r>
          <w:r>
            <w:rPr>
              <w:rFonts w:hint="eastAsia" w:ascii="仿宋_GB2312" w:hAnsi="仿宋_GB2312" w:cs="仿宋_GB2312"/>
            </w:rPr>
            <w:t>模拟</w:t>
          </w:r>
          <w:r>
            <w:tab/>
          </w:r>
          <w:r>
            <w:fldChar w:fldCharType="begin"/>
          </w:r>
          <w:r>
            <w:instrText xml:space="preserve"> PAGEREF _Toc22766 \h </w:instrText>
          </w:r>
          <w:r>
            <w:fldChar w:fldCharType="separate"/>
          </w:r>
          <w:r>
            <w:t>10</w:t>
          </w:r>
          <w:r>
            <w:fldChar w:fldCharType="end"/>
          </w:r>
          <w:r>
            <w:rPr>
              <w:rFonts w:hint="eastAsia" w:ascii="仿宋_GB2312" w:hAnsi="仿宋_GB2312" w:cs="仿宋_GB2312"/>
              <w:szCs w:val="32"/>
            </w:rPr>
            <w:fldChar w:fldCharType="end"/>
          </w:r>
        </w:p>
        <w:p>
          <w:pPr>
            <w:pStyle w:val="17"/>
            <w:tabs>
              <w:tab w:val="right" w:leader="dot" w:pos="8306"/>
            </w:tabs>
            <w:spacing w:line="520" w:lineRule="exact"/>
            <w:ind w:left="640"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_Toc30858 </w:instrText>
          </w:r>
          <w:r>
            <w:rPr>
              <w:rFonts w:hint="eastAsia" w:ascii="仿宋_GB2312" w:hAnsi="仿宋_GB2312" w:cs="仿宋_GB2312"/>
              <w:szCs w:val="32"/>
            </w:rPr>
            <w:fldChar w:fldCharType="separate"/>
          </w:r>
          <w:r>
            <w:rPr>
              <w:rFonts w:hint="eastAsia" w:ascii="楷体_GB2312" w:hAnsi="楷体_GB2312" w:eastAsia="楷体_GB2312" w:cs="楷体_GB2312"/>
            </w:rPr>
            <w:t>4.3 噪声防治措施的有效性评价结论</w:t>
          </w:r>
          <w:r>
            <w:tab/>
          </w:r>
          <w:r>
            <w:fldChar w:fldCharType="begin"/>
          </w:r>
          <w:r>
            <w:instrText xml:space="preserve"> PAGEREF _Toc30858 \h </w:instrText>
          </w:r>
          <w:r>
            <w:fldChar w:fldCharType="separate"/>
          </w:r>
          <w:r>
            <w:t>10</w:t>
          </w:r>
          <w:r>
            <w:fldChar w:fldCharType="end"/>
          </w:r>
          <w:r>
            <w:rPr>
              <w:rFonts w:hint="eastAsia" w:ascii="仿宋_GB2312" w:hAnsi="仿宋_GB2312" w:cs="仿宋_GB2312"/>
              <w:szCs w:val="32"/>
            </w:rPr>
            <w:fldChar w:fldCharType="end"/>
          </w:r>
        </w:p>
        <w:p>
          <w:pPr>
            <w:pStyle w:val="15"/>
            <w:tabs>
              <w:tab w:val="right" w:leader="dot" w:pos="8306"/>
            </w:tabs>
            <w:spacing w:line="520" w:lineRule="exact"/>
            <w:ind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_Toc16110 </w:instrText>
          </w:r>
          <w:r>
            <w:rPr>
              <w:rFonts w:hint="eastAsia" w:ascii="仿宋_GB2312" w:hAnsi="仿宋_GB2312" w:cs="仿宋_GB2312"/>
              <w:szCs w:val="32"/>
            </w:rPr>
            <w:fldChar w:fldCharType="separate"/>
          </w:r>
          <w:r>
            <w:rPr>
              <w:rFonts w:hint="eastAsia"/>
            </w:rPr>
            <w:t>5 总结与建议</w:t>
          </w:r>
          <w:r>
            <w:tab/>
          </w:r>
          <w:r>
            <w:fldChar w:fldCharType="begin"/>
          </w:r>
          <w:r>
            <w:instrText xml:space="preserve"> PAGEREF _Toc16110 \h </w:instrText>
          </w:r>
          <w:r>
            <w:fldChar w:fldCharType="separate"/>
          </w:r>
          <w:r>
            <w:t>11</w:t>
          </w:r>
          <w:r>
            <w:fldChar w:fldCharType="end"/>
          </w:r>
          <w:r>
            <w:rPr>
              <w:rFonts w:hint="eastAsia" w:ascii="仿宋_GB2312" w:hAnsi="仿宋_GB2312" w:cs="仿宋_GB2312"/>
              <w:szCs w:val="32"/>
            </w:rPr>
            <w:fldChar w:fldCharType="end"/>
          </w:r>
        </w:p>
        <w:p>
          <w:pPr>
            <w:pStyle w:val="15"/>
            <w:tabs>
              <w:tab w:val="right" w:leader="dot" w:pos="8306"/>
            </w:tabs>
            <w:spacing w:line="520" w:lineRule="exact"/>
            <w:ind w:firstLine="640"/>
          </w:pPr>
          <w:r>
            <w:rPr>
              <w:rFonts w:hint="eastAsia" w:ascii="仿宋_GB2312" w:hAnsi="仿宋_GB2312" w:cs="仿宋_GB2312"/>
              <w:szCs w:val="32"/>
            </w:rPr>
            <w:fldChar w:fldCharType="begin"/>
          </w:r>
          <w:r>
            <w:rPr>
              <w:rFonts w:hint="eastAsia" w:ascii="仿宋_GB2312" w:hAnsi="仿宋_GB2312" w:cs="仿宋_GB2312"/>
              <w:szCs w:val="32"/>
            </w:rPr>
            <w:instrText xml:space="preserve"> HYPERLINK \l _Toc6215 </w:instrText>
          </w:r>
          <w:r>
            <w:rPr>
              <w:rFonts w:hint="eastAsia" w:ascii="仿宋_GB2312" w:hAnsi="仿宋_GB2312" w:cs="仿宋_GB2312"/>
              <w:szCs w:val="32"/>
            </w:rPr>
            <w:fldChar w:fldCharType="separate"/>
          </w:r>
          <w:r>
            <w:rPr>
              <w:rFonts w:hint="eastAsia"/>
            </w:rPr>
            <w:t>附件</w:t>
          </w:r>
          <w:r>
            <w:tab/>
          </w:r>
          <w:r>
            <w:fldChar w:fldCharType="begin"/>
          </w:r>
          <w:r>
            <w:instrText xml:space="preserve"> PAGEREF _Toc6215 \h </w:instrText>
          </w:r>
          <w:r>
            <w:fldChar w:fldCharType="separate"/>
          </w:r>
          <w:r>
            <w:t>13</w:t>
          </w:r>
          <w:r>
            <w:fldChar w:fldCharType="end"/>
          </w:r>
          <w:r>
            <w:rPr>
              <w:rFonts w:hint="eastAsia" w:ascii="仿宋_GB2312" w:hAnsi="仿宋_GB2312" w:cs="仿宋_GB2312"/>
              <w:szCs w:val="32"/>
            </w:rPr>
            <w:fldChar w:fldCharType="end"/>
          </w:r>
        </w:p>
        <w:p>
          <w:pPr>
            <w:adjustRightInd w:val="0"/>
            <w:snapToGrid w:val="0"/>
            <w:spacing w:line="600" w:lineRule="exact"/>
            <w:ind w:firstLine="640"/>
          </w:pPr>
          <w:r>
            <w:rPr>
              <w:rFonts w:hint="eastAsia" w:ascii="仿宋_GB2312" w:hAnsi="仿宋_GB2312" w:cs="仿宋_GB2312"/>
              <w:szCs w:val="32"/>
            </w:rPr>
            <w:fldChar w:fldCharType="end"/>
          </w:r>
        </w:p>
      </w:sdtContent>
    </w:sdt>
    <w:p>
      <w:pPr>
        <w:pStyle w:val="2"/>
        <w:sectPr>
          <w:footerReference r:id="rId11" w:type="default"/>
          <w:pgSz w:w="11906" w:h="16838"/>
          <w:pgMar w:top="1440" w:right="1800" w:bottom="1440" w:left="1800" w:header="851" w:footer="992" w:gutter="0"/>
          <w:pgNumType w:start="1"/>
          <w:cols w:space="425" w:num="1"/>
          <w:docGrid w:type="lines" w:linePitch="312" w:charSpace="0"/>
        </w:sectPr>
      </w:pPr>
    </w:p>
    <w:p>
      <w:pPr>
        <w:pStyle w:val="2"/>
        <w:adjustRightInd/>
        <w:snapToGrid/>
        <w:spacing w:line="560" w:lineRule="exact"/>
      </w:pPr>
      <w:bookmarkStart w:id="3" w:name="_Toc20833"/>
      <w:bookmarkStart w:id="4" w:name="_Toc3299"/>
      <w:bookmarkStart w:id="5" w:name="_Toc13609"/>
      <w:bookmarkStart w:id="6" w:name="_Toc11902"/>
      <w:bookmarkStart w:id="7" w:name="_Toc1818625907"/>
      <w:bookmarkStart w:id="8" w:name="_Toc25674"/>
      <w:r>
        <w:rPr>
          <w:rFonts w:hint="eastAsia"/>
        </w:rPr>
        <w:t>1 基本要求</w:t>
      </w:r>
      <w:bookmarkEnd w:id="3"/>
      <w:bookmarkEnd w:id="4"/>
      <w:bookmarkEnd w:id="5"/>
      <w:bookmarkEnd w:id="6"/>
      <w:bookmarkEnd w:id="7"/>
      <w:bookmarkEnd w:id="8"/>
    </w:p>
    <w:p>
      <w:pPr>
        <w:pStyle w:val="5"/>
        <w:ind w:firstLine="640"/>
        <w:rPr>
          <w:rFonts w:ascii="仿宋_GB2312" w:hAnsi="仿宋_GB2312" w:cs="仿宋_GB2312"/>
          <w:szCs w:val="32"/>
        </w:rPr>
      </w:pPr>
      <w:r>
        <w:rPr>
          <w:rFonts w:hint="eastAsia" w:ascii="仿宋_GB2312" w:hAnsi="仿宋_GB2312" w:cs="仿宋_GB2312"/>
        </w:rPr>
        <w:t>在法定图则下层次的规划实施方案（含城市更新单元、土地整备单元规划等）以及项目建设方案编制及审批过程中，规划主管部门应强化噪声防控要求的落实，要求建设单位在规划阶段编制</w:t>
      </w:r>
      <w:r>
        <w:rPr>
          <w:rFonts w:hint="eastAsia" w:ascii="仿宋_GB2312" w:hAnsi="仿宋_GB2312" w:cs="仿宋_GB2312"/>
          <w:szCs w:val="32"/>
        </w:rPr>
        <w:t>《噪声污染防治专篇》（下称“本专篇”），</w:t>
      </w:r>
      <w:r>
        <w:rPr>
          <w:rFonts w:hint="eastAsia" w:ascii="仿宋_GB2312" w:hAnsi="仿宋_GB2312" w:cs="仿宋_GB2312"/>
        </w:rPr>
        <w:t>开展项目声环境影响预测评估</w:t>
      </w:r>
      <w:r>
        <w:rPr>
          <w:rFonts w:hint="eastAsia" w:ascii="仿宋_GB2312" w:hAnsi="仿宋_GB2312" w:cs="仿宋_GB2312"/>
          <w:szCs w:val="32"/>
        </w:rPr>
        <w:t>。</w:t>
      </w:r>
    </w:p>
    <w:p>
      <w:pPr>
        <w:pStyle w:val="3"/>
        <w:ind w:firstLine="640"/>
        <w:rPr>
          <w:rFonts w:ascii="楷体_GB2312" w:hAnsi="楷体_GB2312" w:eastAsia="楷体_GB2312" w:cs="楷体_GB2312"/>
        </w:rPr>
      </w:pPr>
      <w:bookmarkStart w:id="9" w:name="_Toc22645"/>
      <w:bookmarkStart w:id="10" w:name="_Toc1274276568"/>
      <w:bookmarkStart w:id="11" w:name="_Toc16319"/>
      <w:bookmarkStart w:id="12" w:name="_Toc11311"/>
      <w:bookmarkStart w:id="13" w:name="_Toc8452"/>
      <w:bookmarkStart w:id="14" w:name="_Toc3450"/>
      <w:r>
        <w:rPr>
          <w:rFonts w:hint="eastAsia" w:ascii="楷体_GB2312" w:hAnsi="楷体_GB2312" w:eastAsia="楷体_GB2312" w:cs="楷体_GB2312"/>
        </w:rPr>
        <w:t>1.1</w:t>
      </w:r>
      <w:bookmarkEnd w:id="9"/>
      <w:bookmarkEnd w:id="10"/>
      <w:bookmarkEnd w:id="11"/>
      <w:bookmarkEnd w:id="12"/>
      <w:bookmarkEnd w:id="13"/>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适用情形</w:t>
      </w:r>
      <w:bookmarkEnd w:id="14"/>
    </w:p>
    <w:p>
      <w:pPr>
        <w:pStyle w:val="6"/>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Cs w:val="32"/>
          <w:lang w:val="en-US" w:eastAsia="zh-CN"/>
        </w:rPr>
      </w:pPr>
      <w:bookmarkStart w:id="15" w:name="_Toc10773"/>
      <w:bookmarkStart w:id="16" w:name="_Toc21897"/>
      <w:bookmarkStart w:id="17" w:name="_Toc1416478561"/>
      <w:r>
        <w:rPr>
          <w:rFonts w:hint="eastAsia" w:ascii="仿宋_GB2312" w:hAnsi="仿宋_GB2312" w:eastAsia="仿宋_GB2312" w:cs="仿宋_GB2312"/>
          <w:szCs w:val="32"/>
          <w:lang w:val="en-US" w:eastAsia="zh-CN"/>
        </w:rPr>
        <w:t>符合以下情形之一的噪声敏感建筑物</w:t>
      </w:r>
      <w:r>
        <w:rPr>
          <w:rStyle w:val="25"/>
          <w:rFonts w:hint="eastAsia" w:ascii="仿宋_GB2312" w:hAnsi="仿宋_GB2312" w:eastAsia="仿宋_GB2312" w:cs="仿宋_GB2312"/>
          <w:szCs w:val="32"/>
          <w:lang w:val="en-US" w:eastAsia="zh-CN"/>
        </w:rPr>
        <w:footnoteReference w:id="0"/>
      </w:r>
      <w:r>
        <w:rPr>
          <w:rFonts w:hint="eastAsia" w:ascii="仿宋_GB2312" w:hAnsi="仿宋_GB2312" w:eastAsia="仿宋_GB2312" w:cs="仿宋_GB2312"/>
          <w:szCs w:val="32"/>
          <w:lang w:val="en-US" w:eastAsia="zh-CN"/>
        </w:rPr>
        <w:t>或工改居项目，规划报批主体应落实上层次规划及土地出让条件的要求，参照本文件编制《噪声污染防治专篇》：</w:t>
      </w:r>
    </w:p>
    <w:p>
      <w:pPr>
        <w:pStyle w:val="6"/>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lang w:eastAsia="zh-CN"/>
        </w:rPr>
      </w:pPr>
      <w:r>
        <w:rPr>
          <w:rFonts w:hint="eastAsia" w:ascii="仿宋_GB2312" w:hAnsi="仿宋_GB2312" w:eastAsia="仿宋_GB2312" w:cs="仿宋_GB2312"/>
          <w:szCs w:val="32"/>
          <w:lang w:val="en-US" w:eastAsia="zh-CN"/>
        </w:rPr>
        <w:t>1）</w:t>
      </w:r>
      <w:bookmarkEnd w:id="15"/>
      <w:bookmarkEnd w:id="16"/>
      <w:bookmarkEnd w:id="17"/>
      <w:r>
        <w:rPr>
          <w:rFonts w:hint="eastAsia" w:ascii="仿宋_GB2312" w:hAnsi="仿宋_GB2312" w:eastAsia="仿宋_GB2312" w:cs="仿宋_GB2312"/>
        </w:rPr>
        <w:t>项目规划建设范围涉及交通干线</w:t>
      </w:r>
      <w:r>
        <w:rPr>
          <w:rStyle w:val="25"/>
          <w:rFonts w:hint="eastAsia" w:ascii="仿宋_GB2312" w:hAnsi="仿宋_GB2312" w:eastAsia="仿宋_GB2312" w:cs="仿宋_GB2312"/>
          <w:lang w:val="en-US" w:eastAsia="zh-CN"/>
        </w:rPr>
        <w:footnoteReference w:id="1"/>
      </w:r>
      <w:r>
        <w:rPr>
          <w:rFonts w:hint="eastAsia" w:ascii="仿宋_GB2312" w:hAnsi="仿宋_GB2312" w:eastAsia="仿宋_GB2312" w:cs="仿宋_GB2312"/>
        </w:rPr>
        <w:t>边界线外</w:t>
      </w:r>
      <w:r>
        <w:rPr>
          <w:rFonts w:hint="eastAsia" w:ascii="仿宋_GB2312" w:hAnsi="仿宋_GB2312" w:cs="仿宋_GB2312"/>
          <w:highlight w:val="none"/>
          <w:lang w:val="en-US" w:eastAsia="zh-CN"/>
        </w:rPr>
        <w:t>11</w:t>
      </w:r>
      <w:r>
        <w:rPr>
          <w:rFonts w:hint="eastAsia" w:ascii="仿宋_GB2312" w:hAnsi="仿宋_GB2312" w:eastAsia="仿宋_GB2312" w:cs="仿宋_GB2312"/>
          <w:highlight w:val="none"/>
        </w:rPr>
        <w:t>0米</w:t>
      </w:r>
      <w:r>
        <w:rPr>
          <w:rFonts w:hint="eastAsia" w:ascii="仿宋_GB2312" w:hAnsi="仿宋_GB2312" w:cs="仿宋_GB2312"/>
          <w:lang w:val="en-US" w:eastAsia="zh-CN"/>
        </w:rPr>
        <w:t>范围内或</w:t>
      </w:r>
      <w:r>
        <w:rPr>
          <w:rFonts w:hint="eastAsia" w:ascii="仿宋_GB2312" w:hAnsi="仿宋_GB2312" w:cs="仿宋_GB2312"/>
        </w:rPr>
        <w:t>涉及铁路（地面段）边界线外200米</w:t>
      </w:r>
      <w:r>
        <w:rPr>
          <w:rFonts w:hint="eastAsia" w:ascii="仿宋_GB2312" w:hAnsi="仿宋_GB2312" w:cs="仿宋_GB2312"/>
          <w:lang w:val="en-US" w:eastAsia="zh-CN"/>
        </w:rPr>
        <w:t>范围内</w:t>
      </w:r>
      <w:r>
        <w:rPr>
          <w:rFonts w:hint="eastAsia" w:ascii="仿宋_GB2312" w:hAnsi="仿宋_GB2312" w:cs="仿宋_GB2312"/>
        </w:rPr>
        <w:t>（建设项目与临近交通干线之间存在多栋不低于三层楼房（含三层）遮挡的情况除外</w:t>
      </w:r>
      <w:r>
        <w:rPr>
          <w:rFonts w:hint="eastAsia" w:ascii="仿宋_GB2312" w:hAnsi="仿宋_GB2312" w:cs="仿宋_GB2312"/>
          <w:lang w:val="en-US" w:eastAsia="zh-CN"/>
        </w:rPr>
        <w:t>；临城市轨道交通线路的建设项目建议考虑振动问题，并另行开展专项研究</w:t>
      </w:r>
      <w:r>
        <w:rPr>
          <w:rFonts w:hint="eastAsia" w:ascii="仿宋_GB2312" w:hAnsi="仿宋_GB2312" w:eastAsia="仿宋_GB2312" w:cs="仿宋_GB2312"/>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2）项目规划建设范围</w:t>
      </w:r>
      <w:r>
        <w:rPr>
          <w:rFonts w:hint="eastAsia" w:ascii="仿宋_GB2312" w:hAnsi="仿宋_GB2312" w:cs="仿宋_GB2312"/>
          <w:lang w:val="en-US" w:eastAsia="zh-CN"/>
        </w:rPr>
        <w:t>紧邻</w:t>
      </w:r>
      <w:r>
        <w:rPr>
          <w:rFonts w:hint="eastAsia" w:ascii="仿宋_GB2312" w:hAnsi="仿宋_GB2312" w:eastAsia="仿宋_GB2312" w:cs="仿宋_GB2312"/>
        </w:rPr>
        <w:t>工业园</w:t>
      </w:r>
      <w:r>
        <w:rPr>
          <w:rFonts w:hint="eastAsia" w:ascii="仿宋_GB2312" w:hAnsi="仿宋_GB2312" w:eastAsia="仿宋_GB2312" w:cs="仿宋_GB2312"/>
          <w:lang w:eastAsia="zh-CN"/>
        </w:rPr>
        <w:t>；</w:t>
      </w:r>
    </w:p>
    <w:p>
      <w:pPr>
        <w:pStyle w:val="5"/>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cs="仿宋_GB2312"/>
          <w:lang w:eastAsia="zh-CN"/>
        </w:rPr>
      </w:pPr>
      <w:r>
        <w:rPr>
          <w:rFonts w:hint="eastAsia" w:ascii="仿宋_GB2312" w:hAnsi="仿宋_GB2312" w:eastAsia="仿宋_GB2312" w:cs="仿宋_GB2312"/>
          <w:lang w:val="en-US" w:eastAsia="zh-CN"/>
        </w:rPr>
        <w:t>3）项目规划建设范围</w:t>
      </w:r>
      <w:r>
        <w:rPr>
          <w:rFonts w:hint="eastAsia" w:ascii="仿宋_GB2312" w:hAnsi="仿宋_GB2312" w:eastAsia="仿宋_GB2312" w:cs="仿宋_GB2312"/>
        </w:rPr>
        <w:t>临</w:t>
      </w:r>
      <w:r>
        <w:rPr>
          <w:rFonts w:hint="eastAsia" w:ascii="仿宋_GB2312" w:hAnsi="仿宋_GB2312" w:eastAsia="仿宋_GB2312" w:cs="仿宋_GB2312"/>
          <w:lang w:val="en-US" w:eastAsia="zh-CN"/>
        </w:rPr>
        <w:t>航空器</w:t>
      </w:r>
      <w:r>
        <w:rPr>
          <w:rFonts w:hint="eastAsia" w:ascii="仿宋_GB2312" w:hAnsi="仿宋_GB2312" w:eastAsia="仿宋_GB2312" w:cs="仿宋_GB2312"/>
        </w:rPr>
        <w:t>起降</w:t>
      </w:r>
      <w:r>
        <w:rPr>
          <w:rFonts w:hint="eastAsia" w:ascii="仿宋_GB2312" w:hAnsi="仿宋_GB2312" w:cs="仿宋_GB2312"/>
          <w:lang w:val="en-US" w:eastAsia="zh-CN"/>
        </w:rPr>
        <w:t>设施</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参照70dB等值线</w:t>
      </w:r>
      <w:r>
        <w:rPr>
          <w:rFonts w:hint="eastAsia" w:ascii="仿宋_GB2312" w:hAnsi="仿宋_GB2312" w:eastAsia="仿宋_GB2312" w:cs="仿宋_GB2312"/>
          <w:lang w:eastAsia="zh-CN"/>
        </w:rPr>
        <w:t>）</w:t>
      </w:r>
      <w:r>
        <w:rPr>
          <w:rFonts w:hint="eastAsia" w:ascii="仿宋_GB2312" w:hAnsi="仿宋_GB2312" w:cs="仿宋_GB2312"/>
          <w:lang w:eastAsia="zh-CN"/>
        </w:rPr>
        <w:t>；</w:t>
      </w:r>
    </w:p>
    <w:p>
      <w:pPr>
        <w:pStyle w:val="5"/>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ascii="仿宋_GB2312" w:hAnsi="仿宋_GB2312" w:cs="仿宋_GB2312"/>
          <w:lang w:val="en-US" w:eastAsia="zh-CN"/>
        </w:rPr>
        <w:t>4）</w:t>
      </w:r>
      <w:r>
        <w:rPr>
          <w:rFonts w:hint="eastAsia"/>
          <w:lang w:val="en-US" w:eastAsia="zh-CN"/>
        </w:rPr>
        <w:t>相关法律法规对噪声源距离与噪声影响预测评估另有规定的，依照其规定执行。</w:t>
      </w:r>
    </w:p>
    <w:p>
      <w:pPr>
        <w:pStyle w:val="3"/>
        <w:ind w:firstLine="640"/>
        <w:rPr>
          <w:rFonts w:ascii="楷体_GB2312" w:hAnsi="楷体_GB2312" w:eastAsia="楷体_GB2312" w:cs="楷体_GB2312"/>
        </w:rPr>
      </w:pPr>
      <w:bookmarkStart w:id="18" w:name="_Toc27552"/>
      <w:r>
        <w:rPr>
          <w:rFonts w:hint="eastAsia" w:ascii="楷体_GB2312" w:hAnsi="楷体_GB2312" w:eastAsia="楷体_GB2312" w:cs="楷体_GB2312"/>
        </w:rPr>
        <w:t>1.2</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评价范围</w:t>
      </w:r>
      <w:bookmarkEnd w:id="18"/>
    </w:p>
    <w:p>
      <w:pPr>
        <w:pStyle w:val="5"/>
        <w:ind w:firstLine="640"/>
        <w:rPr>
          <w:rFonts w:ascii="仿宋_GB2312" w:hAnsi="仿宋_GB2312" w:cs="仿宋_GB2312"/>
        </w:rPr>
      </w:pPr>
      <w:r>
        <w:rPr>
          <w:rFonts w:hint="eastAsia" w:ascii="仿宋_GB2312" w:hAnsi="仿宋_GB2312" w:cs="仿宋_GB2312"/>
        </w:rPr>
        <w:t>本专篇的评价范围为项目用地红线范围。</w:t>
      </w:r>
    </w:p>
    <w:p>
      <w:pPr>
        <w:pStyle w:val="3"/>
        <w:ind w:firstLine="640"/>
        <w:rPr>
          <w:rFonts w:ascii="楷体_GB2312" w:hAnsi="楷体_GB2312" w:eastAsia="楷体_GB2312" w:cs="楷体_GB2312"/>
        </w:rPr>
      </w:pPr>
      <w:bookmarkStart w:id="19" w:name="_Toc19085"/>
      <w:r>
        <w:rPr>
          <w:rFonts w:hint="eastAsia" w:ascii="楷体_GB2312" w:hAnsi="楷体_GB2312" w:eastAsia="楷体_GB2312" w:cs="楷体_GB2312"/>
        </w:rPr>
        <w:t>1.3</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评价对象</w:t>
      </w:r>
      <w:bookmarkEnd w:id="19"/>
    </w:p>
    <w:p>
      <w:pPr>
        <w:pStyle w:val="5"/>
        <w:ind w:firstLine="640"/>
        <w:rPr>
          <w:rFonts w:ascii="仿宋_GB2312" w:hAnsi="仿宋_GB2312" w:cs="仿宋_GB2312"/>
        </w:rPr>
      </w:pPr>
      <w:r>
        <w:rPr>
          <w:rFonts w:hint="eastAsia" w:ascii="仿宋_GB2312" w:hAnsi="仿宋_GB2312" w:cs="仿宋_GB2312"/>
        </w:rPr>
        <w:t>评价项目用地红线范围内噪声敏感建筑物受声源影响的情况，重点关注受交通噪声、工业噪声影响明显的噪声敏感建筑物。</w:t>
      </w:r>
    </w:p>
    <w:p>
      <w:pPr>
        <w:pStyle w:val="3"/>
        <w:ind w:firstLine="640"/>
        <w:rPr>
          <w:rFonts w:ascii="楷体_GB2312" w:hAnsi="楷体_GB2312" w:eastAsia="楷体_GB2312" w:cs="楷体_GB2312"/>
        </w:rPr>
      </w:pPr>
      <w:bookmarkStart w:id="20" w:name="_Toc84819761"/>
      <w:bookmarkStart w:id="21" w:name="_Toc5127"/>
      <w:bookmarkStart w:id="22" w:name="_Toc11986"/>
      <w:bookmarkStart w:id="23" w:name="_Toc3494"/>
      <w:bookmarkStart w:id="24" w:name="_Toc19645"/>
      <w:bookmarkStart w:id="25" w:name="_Toc16792"/>
      <w:r>
        <w:rPr>
          <w:rFonts w:hint="eastAsia" w:ascii="楷体_GB2312" w:hAnsi="楷体_GB2312" w:eastAsia="楷体_GB2312" w:cs="楷体_GB2312"/>
        </w:rPr>
        <w:t>1.4</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编制依据及参考资料</w:t>
      </w:r>
      <w:bookmarkEnd w:id="20"/>
      <w:bookmarkEnd w:id="21"/>
      <w:bookmarkEnd w:id="22"/>
      <w:bookmarkEnd w:id="23"/>
      <w:bookmarkEnd w:id="24"/>
      <w:bookmarkEnd w:id="25"/>
    </w:p>
    <w:p>
      <w:pPr>
        <w:pStyle w:val="5"/>
        <w:ind w:firstLine="640"/>
        <w:rPr>
          <w:rFonts w:ascii="仿宋_GB2312" w:hAnsi="仿宋_GB2312" w:cs="仿宋_GB2312"/>
        </w:rPr>
      </w:pPr>
      <w:r>
        <w:rPr>
          <w:rFonts w:hint="eastAsia" w:ascii="仿宋_GB2312" w:hAnsi="仿宋_GB2312" w:cs="仿宋_GB2312"/>
        </w:rPr>
        <w:t>提供编制</w:t>
      </w:r>
      <w:r>
        <w:rPr>
          <w:rFonts w:hint="eastAsia" w:ascii="仿宋_GB2312" w:hAnsi="仿宋_GB2312" w:cs="仿宋_GB2312"/>
          <w:szCs w:val="32"/>
        </w:rPr>
        <w:t>《噪声污染防治专篇》</w:t>
      </w:r>
      <w:r>
        <w:rPr>
          <w:rFonts w:hint="eastAsia" w:ascii="仿宋_GB2312" w:hAnsi="仿宋_GB2312" w:cs="仿宋_GB2312"/>
        </w:rPr>
        <w:t>的依据及参考资料。</w:t>
      </w:r>
    </w:p>
    <w:p>
      <w:pPr>
        <w:pStyle w:val="3"/>
        <w:ind w:firstLine="640"/>
        <w:rPr>
          <w:rFonts w:ascii="楷体_GB2312" w:hAnsi="楷体_GB2312" w:eastAsia="楷体_GB2312" w:cs="楷体_GB2312"/>
        </w:rPr>
      </w:pPr>
      <w:bookmarkStart w:id="26" w:name="_Toc24882"/>
      <w:r>
        <w:rPr>
          <w:rFonts w:hint="eastAsia" w:ascii="楷体_GB2312" w:hAnsi="楷体_GB2312" w:eastAsia="楷体_GB2312" w:cs="楷体_GB2312"/>
        </w:rPr>
        <w:t>1.5</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评价标准</w:t>
      </w:r>
      <w:bookmarkEnd w:id="26"/>
    </w:p>
    <w:p>
      <w:pPr>
        <w:pStyle w:val="5"/>
        <w:ind w:firstLine="640"/>
        <w:rPr>
          <w:rFonts w:hint="eastAsia" w:ascii="仿宋_GB2312" w:hAnsi="仿宋_GB2312" w:cs="仿宋_GB2312"/>
        </w:rPr>
      </w:pPr>
      <w:r>
        <w:rPr>
          <w:rFonts w:hint="eastAsia" w:ascii="仿宋_GB2312" w:hAnsi="仿宋_GB2312" w:cs="仿宋_GB2312"/>
        </w:rPr>
        <w:t>例如：《建筑环境通用规范》（GB55016）、《民用建筑隔声设计规范》（GB50118）、</w:t>
      </w:r>
      <w:bookmarkStart w:id="27" w:name="OLE_LINK1"/>
      <w:r>
        <w:rPr>
          <w:rFonts w:hint="eastAsia" w:ascii="仿宋_GB2312" w:hAnsi="仿宋_GB2312" w:cs="仿宋_GB2312"/>
        </w:rPr>
        <w:t>《住宅项目规范》（GB55038）</w:t>
      </w:r>
      <w:bookmarkEnd w:id="27"/>
      <w:r>
        <w:rPr>
          <w:rFonts w:hint="eastAsia" w:ascii="仿宋_GB2312" w:hAnsi="仿宋_GB2312" w:cs="仿宋_GB2312"/>
        </w:rPr>
        <w:t>、《声环境质量标准》（GB3096）、《工业企业厂界环境噪声排放标准》（GB12348）、《社会生活环境噪声排放标准》（GB22337）、《深圳市宁静小区建设技术指南》（DB4403/T 602）等</w:t>
      </w:r>
      <w:r>
        <w:rPr>
          <w:rStyle w:val="25"/>
          <w:rFonts w:hint="eastAsia" w:ascii="仿宋_GB2312" w:hAnsi="仿宋_GB2312" w:cs="仿宋_GB2312"/>
        </w:rPr>
        <w:footnoteReference w:id="2"/>
      </w:r>
      <w:r>
        <w:rPr>
          <w:rFonts w:hint="eastAsia" w:ascii="仿宋_GB2312" w:hAnsi="仿宋_GB2312" w:cs="仿宋_GB2312"/>
        </w:rPr>
        <w:t>。</w:t>
      </w:r>
    </w:p>
    <w:p>
      <w:pPr>
        <w:pStyle w:val="2"/>
        <w:spacing w:line="560" w:lineRule="exact"/>
      </w:pPr>
      <w:bookmarkStart w:id="28" w:name="_Toc398"/>
      <w:bookmarkStart w:id="29" w:name="_Toc27260"/>
      <w:bookmarkStart w:id="30" w:name="_Toc134657272"/>
      <w:bookmarkStart w:id="31" w:name="_Toc29608"/>
      <w:bookmarkStart w:id="32" w:name="_Toc26562"/>
      <w:bookmarkStart w:id="33" w:name="_Toc10458"/>
      <w:r>
        <w:rPr>
          <w:rFonts w:hint="eastAsia"/>
        </w:rPr>
        <w:t>2 项目概况</w:t>
      </w:r>
      <w:bookmarkEnd w:id="28"/>
      <w:bookmarkEnd w:id="29"/>
      <w:bookmarkEnd w:id="30"/>
      <w:bookmarkEnd w:id="31"/>
      <w:bookmarkEnd w:id="32"/>
      <w:bookmarkEnd w:id="33"/>
    </w:p>
    <w:p>
      <w:pPr>
        <w:pStyle w:val="3"/>
        <w:ind w:firstLine="640"/>
        <w:rPr>
          <w:rFonts w:ascii="楷体_GB2312" w:hAnsi="楷体_GB2312" w:eastAsia="楷体_GB2312" w:cs="楷体_GB2312"/>
        </w:rPr>
      </w:pPr>
      <w:bookmarkStart w:id="34" w:name="_Toc20960"/>
      <w:bookmarkStart w:id="35" w:name="_Toc457663995"/>
      <w:bookmarkStart w:id="36" w:name="_Toc29156"/>
      <w:bookmarkStart w:id="37" w:name="_Toc10792"/>
      <w:bookmarkStart w:id="38" w:name="_Toc24623"/>
      <w:bookmarkStart w:id="39" w:name="_Toc32034"/>
      <w:r>
        <w:rPr>
          <w:rFonts w:hint="eastAsia" w:ascii="楷体_GB2312" w:hAnsi="楷体_GB2312" w:eastAsia="楷体_GB2312" w:cs="楷体_GB2312"/>
        </w:rPr>
        <w:t>2.1</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项目概述</w:t>
      </w:r>
      <w:bookmarkEnd w:id="34"/>
      <w:bookmarkEnd w:id="35"/>
      <w:bookmarkEnd w:id="36"/>
      <w:bookmarkEnd w:id="37"/>
      <w:bookmarkEnd w:id="38"/>
      <w:bookmarkEnd w:id="39"/>
    </w:p>
    <w:p>
      <w:pPr>
        <w:ind w:firstLine="640"/>
        <w:rPr>
          <w:rFonts w:ascii="仿宋_GB2312" w:hAnsi="仿宋_GB2312" w:cs="仿宋_GB2312"/>
        </w:rPr>
      </w:pPr>
      <w:r>
        <w:rPr>
          <w:rFonts w:hint="eastAsia" w:ascii="仿宋_GB2312" w:hAnsi="仿宋_GB2312" w:cs="仿宋_GB2312"/>
        </w:rPr>
        <w:t>介绍项目区位、建筑主体情况，提供体现项目区位及周边环境的总平面图（图2-1）。根据各区人民政府正式印发的声环境功能区划分方案，查询本项目所在区域的声环境功能区类别</w:t>
      </w:r>
      <w:r>
        <w:rPr>
          <w:rStyle w:val="25"/>
          <w:rFonts w:hint="eastAsia" w:ascii="仿宋_GB2312" w:hAnsi="仿宋_GB2312" w:cs="仿宋_GB2312"/>
        </w:rPr>
        <w:footnoteReference w:id="3"/>
      </w:r>
      <w:r>
        <w:rPr>
          <w:rFonts w:hint="eastAsia" w:ascii="仿宋_GB2312" w:hAnsi="仿宋_GB2312" w:cs="仿宋_GB2312"/>
        </w:rPr>
        <w:t>。</w:t>
      </w:r>
    </w:p>
    <w:p>
      <w:pPr>
        <w:pStyle w:val="31"/>
        <w:rPr>
          <w:rFonts w:hint="default"/>
        </w:rPr>
      </w:pPr>
      <w:r>
        <w:drawing>
          <wp:inline distT="0" distB="0" distL="114300" distR="114300">
            <wp:extent cx="2896870" cy="2310130"/>
            <wp:effectExtent l="0" t="0" r="17780" b="13970"/>
            <wp:docPr id="19" name="图片 1" descr="6cbbf46b150f779ede24b02226f8f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6cbbf46b150f779ede24b02226f8f5d"/>
                    <pic:cNvPicPr>
                      <a:picLocks noChangeAspect="1"/>
                    </pic:cNvPicPr>
                  </pic:nvPicPr>
                  <pic:blipFill>
                    <a:blip r:embed="rId14"/>
                    <a:srcRect l="5978" t="5136" r="28119" b="12576"/>
                    <a:stretch>
                      <a:fillRect/>
                    </a:stretch>
                  </pic:blipFill>
                  <pic:spPr>
                    <a:xfrm>
                      <a:off x="0" y="0"/>
                      <a:ext cx="2896870" cy="2310130"/>
                    </a:xfrm>
                    <a:prstGeom prst="rect">
                      <a:avLst/>
                    </a:prstGeom>
                    <a:noFill/>
                    <a:ln>
                      <a:noFill/>
                    </a:ln>
                  </pic:spPr>
                </pic:pic>
              </a:graphicData>
            </a:graphic>
          </wp:inline>
        </w:drawing>
      </w:r>
    </w:p>
    <w:p>
      <w:pPr>
        <w:pStyle w:val="8"/>
        <w:ind w:firstLine="0" w:firstLineChars="0"/>
        <w:jc w:val="center"/>
        <w:rPr>
          <w:rFonts w:hint="eastAsia" w:ascii="黑体" w:hAnsi="黑体" w:eastAsia="黑体" w:cs="黑体"/>
          <w:sz w:val="28"/>
          <w:szCs w:val="28"/>
          <w:lang w:eastAsia="zh-CN"/>
        </w:rPr>
      </w:pPr>
      <w:r>
        <w:rPr>
          <w:rFonts w:hint="eastAsia" w:ascii="黑体" w:hAnsi="黑体" w:cs="黑体"/>
          <w:sz w:val="28"/>
          <w:szCs w:val="28"/>
        </w:rPr>
        <w:t>图 2-1 项目总平面图</w:t>
      </w:r>
      <w:r>
        <w:rPr>
          <w:rFonts w:hint="eastAsia" w:ascii="黑体" w:hAnsi="黑体" w:cs="黑体"/>
          <w:sz w:val="28"/>
          <w:szCs w:val="28"/>
          <w:lang w:eastAsia="zh-CN"/>
        </w:rPr>
        <w:t>（</w:t>
      </w:r>
      <w:r>
        <w:rPr>
          <w:rFonts w:hint="eastAsia" w:ascii="黑体" w:hAnsi="黑体" w:cs="黑体"/>
          <w:sz w:val="28"/>
          <w:szCs w:val="28"/>
          <w:lang w:val="en-US" w:eastAsia="zh-CN"/>
        </w:rPr>
        <w:t>示意</w:t>
      </w:r>
      <w:r>
        <w:rPr>
          <w:rFonts w:hint="eastAsia" w:ascii="黑体" w:hAnsi="黑体" w:cs="黑体"/>
          <w:sz w:val="28"/>
          <w:szCs w:val="28"/>
          <w:lang w:eastAsia="zh-CN"/>
        </w:rPr>
        <w:t>）</w:t>
      </w:r>
    </w:p>
    <w:p>
      <w:pPr>
        <w:pStyle w:val="3"/>
        <w:adjustRightInd w:val="0"/>
        <w:snapToGrid w:val="0"/>
        <w:ind w:firstLine="640"/>
      </w:pPr>
      <w:bookmarkStart w:id="40" w:name="_Toc1828588395"/>
      <w:bookmarkStart w:id="41" w:name="_Toc22975"/>
      <w:bookmarkStart w:id="42" w:name="_Toc14751"/>
      <w:bookmarkStart w:id="43" w:name="_Toc14320"/>
      <w:bookmarkStart w:id="44" w:name="_Toc25377"/>
      <w:bookmarkStart w:id="45" w:name="_Toc32317"/>
      <w:r>
        <w:rPr>
          <w:rFonts w:hint="eastAsia" w:ascii="楷体_GB2312" w:hAnsi="楷体_GB2312" w:eastAsia="楷体_GB2312" w:cs="楷体_GB2312"/>
        </w:rPr>
        <w:t>2.2</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声环境质量现状监测调查</w:t>
      </w:r>
      <w:bookmarkEnd w:id="40"/>
      <w:bookmarkEnd w:id="41"/>
      <w:bookmarkEnd w:id="42"/>
      <w:bookmarkEnd w:id="43"/>
      <w:bookmarkEnd w:id="44"/>
      <w:bookmarkEnd w:id="45"/>
    </w:p>
    <w:p>
      <w:pPr>
        <w:pStyle w:val="5"/>
        <w:adjustRightInd w:val="0"/>
        <w:snapToGrid w:val="0"/>
        <w:ind w:firstLine="640"/>
        <w:rPr>
          <w:rFonts w:ascii="仿宋_GB2312" w:hAnsi="仿宋_GB2312" w:cs="仿宋_GB2312"/>
        </w:rPr>
      </w:pPr>
      <w:r>
        <w:rPr>
          <w:rFonts w:hint="eastAsia" w:ascii="仿宋_GB2312" w:hAnsi="仿宋_GB2312" w:cs="仿宋_GB2312"/>
        </w:rPr>
        <w:t>可利用已有的监测资料或委托有资质的第三方监测单位开展现状监测调查。现状监测调查应选择较不利的监测点位和时段进行调查，监测时间不少于2天。声环境现状监测应满足环境噪声监测相关标准规范要求，具体方法参考《环境影响评价技术导则 声环境》（HJ 2.4-2021）、《环境噪声监测技术规范 城市声环境常规监测》（HJ 640-2012）等。</w:t>
      </w:r>
    </w:p>
    <w:p>
      <w:pPr>
        <w:pStyle w:val="5"/>
        <w:adjustRightInd w:val="0"/>
        <w:snapToGrid w:val="0"/>
        <w:ind w:firstLine="640"/>
        <w:rPr>
          <w:rFonts w:ascii="仿宋_GB2312" w:hAnsi="仿宋_GB2312" w:cs="仿宋_GB2312"/>
        </w:rPr>
      </w:pPr>
      <w:r>
        <w:rPr>
          <w:rFonts w:hint="eastAsia" w:ascii="仿宋_GB2312" w:hAnsi="仿宋_GB2312" w:cs="仿宋_GB2312"/>
        </w:rPr>
        <w:t>2.2.1</w:t>
      </w:r>
      <w:r>
        <w:rPr>
          <w:rFonts w:hint="eastAsia" w:ascii="仿宋_GB2312" w:hAnsi="仿宋_GB2312" w:cs="仿宋_GB2312"/>
          <w:lang w:val="en-US" w:eastAsia="zh-CN"/>
        </w:rPr>
        <w:t xml:space="preserve"> </w:t>
      </w:r>
      <w:r>
        <w:rPr>
          <w:rFonts w:hint="eastAsia" w:ascii="仿宋_GB2312" w:hAnsi="仿宋_GB2312" w:cs="仿宋_GB2312"/>
        </w:rPr>
        <w:t>监测方案</w:t>
      </w:r>
    </w:p>
    <w:p>
      <w:pPr>
        <w:pStyle w:val="5"/>
        <w:adjustRightInd w:val="0"/>
        <w:snapToGrid w:val="0"/>
        <w:ind w:firstLine="640"/>
        <w:rPr>
          <w:rFonts w:hint="eastAsia" w:ascii="仿宋_GB2312" w:hAnsi="仿宋_GB2312" w:cs="仿宋_GB2312"/>
        </w:rPr>
      </w:pPr>
      <w:r>
        <w:rPr>
          <w:rFonts w:hint="eastAsia" w:ascii="仿宋_GB2312" w:hAnsi="仿宋_GB2312" w:cs="仿宋_GB2312"/>
        </w:rPr>
        <w:t>需明确监测点的数量、位置、时间和监测指标，监测点应覆盖项目用地（点位布设方案参考表2-1），选择有代表性的区域布设测点，布点数量不少于5个。声环境的监测点位一般均匀设置于项目边界及中央。监测点位布设应结合项目周边主要噪声源位置确定，如发现项目受位置相对固定且较大的噪声源影响，宜在噪声源与项目之间增加监测点位。</w:t>
      </w:r>
    </w:p>
    <w:p>
      <w:pPr>
        <w:pStyle w:val="6"/>
        <w:rPr>
          <w:rFonts w:hint="eastAsia" w:ascii="仿宋_GB2312" w:hAnsi="仿宋_GB2312" w:cs="仿宋_GB2312"/>
        </w:rPr>
      </w:pPr>
    </w:p>
    <w:p>
      <w:pPr>
        <w:rPr>
          <w:rFonts w:hint="eastAsia"/>
        </w:rPr>
      </w:pPr>
    </w:p>
    <w:p>
      <w:pPr>
        <w:pStyle w:val="8"/>
        <w:spacing w:line="240" w:lineRule="auto"/>
        <w:ind w:firstLine="0" w:firstLineChars="0"/>
        <w:jc w:val="center"/>
        <w:rPr>
          <w:rFonts w:hint="eastAsia" w:ascii="黑体" w:hAnsi="黑体" w:eastAsia="黑体" w:cs="黑体"/>
          <w:sz w:val="28"/>
          <w:szCs w:val="28"/>
          <w:lang w:eastAsia="zh-CN"/>
        </w:rPr>
      </w:pPr>
      <w:r>
        <w:rPr>
          <w:rFonts w:hint="eastAsia" w:ascii="黑体" w:hAnsi="黑体" w:cs="黑体"/>
          <w:sz w:val="28"/>
          <w:szCs w:val="28"/>
        </w:rPr>
        <w:t>表 2-1 项目声环境监测点位布</w:t>
      </w:r>
      <w:bookmarkStart w:id="104" w:name="_GoBack"/>
      <w:bookmarkEnd w:id="104"/>
      <w:r>
        <w:rPr>
          <w:rFonts w:hint="eastAsia" w:ascii="黑体" w:hAnsi="黑体" w:cs="黑体"/>
          <w:sz w:val="28"/>
          <w:szCs w:val="28"/>
        </w:rPr>
        <w:t>设方案</w:t>
      </w:r>
      <w:r>
        <w:rPr>
          <w:rFonts w:hint="eastAsia" w:ascii="黑体" w:hAnsi="黑体" w:cs="黑体"/>
          <w:sz w:val="28"/>
          <w:szCs w:val="28"/>
          <w:lang w:eastAsia="zh-CN"/>
        </w:rPr>
        <w:t>（</w:t>
      </w:r>
      <w:r>
        <w:rPr>
          <w:rFonts w:hint="eastAsia" w:ascii="黑体" w:hAnsi="黑体" w:cs="黑体"/>
          <w:sz w:val="28"/>
          <w:szCs w:val="28"/>
          <w:lang w:val="en-US" w:eastAsia="zh-CN"/>
        </w:rPr>
        <w:t>示意</w:t>
      </w:r>
      <w:r>
        <w:rPr>
          <w:rFonts w:hint="eastAsia" w:ascii="黑体" w:hAnsi="黑体" w:cs="黑体"/>
          <w:sz w:val="28"/>
          <w:szCs w:val="28"/>
          <w:lang w:eastAsia="zh-CN"/>
        </w:rPr>
        <w:t>）</w:t>
      </w:r>
    </w:p>
    <w:tbl>
      <w:tblPr>
        <w:tblStyle w:val="20"/>
        <w:tblW w:w="74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4412"/>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blHeader/>
          <w:jc w:val="center"/>
        </w:trPr>
        <w:tc>
          <w:tcPr>
            <w:tcW w:w="108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ind w:firstLine="0" w:firstLineChars="0"/>
              <w:jc w:val="center"/>
              <w:rPr>
                <w:rFonts w:ascii="宋体" w:hAnsi="宋体" w:cs="宋体"/>
                <w:b/>
                <w:spacing w:val="-6"/>
                <w:sz w:val="24"/>
              </w:rPr>
            </w:pPr>
            <w:r>
              <w:rPr>
                <w:rFonts w:hint="eastAsia" w:ascii="宋体" w:hAnsi="宋体" w:cs="宋体"/>
                <w:b/>
                <w:spacing w:val="-6"/>
                <w:sz w:val="24"/>
              </w:rPr>
              <w:t>分图号</w:t>
            </w:r>
          </w:p>
        </w:tc>
        <w:tc>
          <w:tcPr>
            <w:tcW w:w="441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ind w:firstLine="0" w:firstLineChars="0"/>
              <w:jc w:val="center"/>
              <w:rPr>
                <w:rFonts w:ascii="宋体" w:hAnsi="宋体" w:cs="宋体"/>
                <w:b/>
                <w:sz w:val="24"/>
              </w:rPr>
            </w:pPr>
            <w:r>
              <w:rPr>
                <w:rFonts w:hint="eastAsia" w:ascii="宋体" w:hAnsi="宋体" w:cs="宋体"/>
                <w:b/>
                <w:spacing w:val="-6"/>
                <w:sz w:val="24"/>
              </w:rPr>
              <w:t>示意图</w:t>
            </w:r>
          </w:p>
        </w:tc>
        <w:tc>
          <w:tcPr>
            <w:tcW w:w="198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ind w:firstLine="0" w:firstLineChars="0"/>
              <w:jc w:val="center"/>
              <w:rPr>
                <w:rFonts w:ascii="宋体" w:hAnsi="宋体" w:cs="宋体"/>
                <w:b/>
                <w:spacing w:val="-6"/>
                <w:sz w:val="24"/>
              </w:rPr>
            </w:pPr>
            <w:r>
              <w:rPr>
                <w:rFonts w:hint="eastAsia" w:ascii="宋体" w:hAnsi="宋体" w:cs="宋体"/>
                <w:b/>
                <w:spacing w:val="-6"/>
                <w:sz w:val="24"/>
              </w:rPr>
              <w:t>文字说明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1088" w:type="dxa"/>
            <w:tcBorders>
              <w:top w:val="single" w:color="auto" w:sz="4" w:space="0"/>
              <w:left w:val="single" w:color="auto" w:sz="4" w:space="0"/>
              <w:bottom w:val="single" w:color="auto" w:sz="4" w:space="0"/>
              <w:right w:val="single" w:color="auto" w:sz="4" w:space="0"/>
              <w:tl2br w:val="nil"/>
              <w:tr2bl w:val="nil"/>
            </w:tcBorders>
            <w:vAlign w:val="center"/>
          </w:tcPr>
          <w:p>
            <w:pPr>
              <w:pStyle w:val="6"/>
              <w:numPr>
                <w:ilvl w:val="0"/>
                <w:numId w:val="2"/>
              </w:numPr>
              <w:spacing w:after="0" w:line="240" w:lineRule="auto"/>
              <w:ind w:firstLine="520"/>
              <w:jc w:val="center"/>
              <w:rPr>
                <w:rFonts w:ascii="宋体" w:hAnsi="宋体" w:cs="宋体"/>
                <w:b/>
                <w:bCs/>
                <w:sz w:val="24"/>
              </w:rPr>
            </w:pPr>
          </w:p>
        </w:tc>
        <w:tc>
          <w:tcPr>
            <w:tcW w:w="4412"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after="0" w:line="240" w:lineRule="auto"/>
              <w:ind w:firstLine="0" w:firstLineChars="0"/>
              <w:jc w:val="center"/>
              <w:rPr>
                <w:rFonts w:ascii="宋体" w:hAnsi="宋体" w:cs="宋体"/>
                <w:sz w:val="24"/>
              </w:rPr>
            </w:pPr>
            <w:r>
              <w:rPr>
                <w:rFonts w:hint="eastAsia" w:ascii="宋体" w:hAnsi="宋体" w:cs="宋体"/>
                <w:sz w:val="24"/>
              </w:rPr>
              <w:drawing>
                <wp:inline distT="0" distB="0" distL="114300" distR="114300">
                  <wp:extent cx="1875790" cy="1682750"/>
                  <wp:effectExtent l="0" t="0" r="0" b="1270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5"/>
                          <a:stretch>
                            <a:fillRect/>
                          </a:stretch>
                        </pic:blipFill>
                        <pic:spPr>
                          <a:xfrm>
                            <a:off x="0" y="0"/>
                            <a:ext cx="1875790" cy="1682750"/>
                          </a:xfrm>
                          <a:prstGeom prst="rect">
                            <a:avLst/>
                          </a:prstGeom>
                        </pic:spPr>
                      </pic:pic>
                    </a:graphicData>
                  </a:graphic>
                </wp:inline>
              </w:drawing>
            </w:r>
          </w:p>
        </w:tc>
        <w:tc>
          <w:tcPr>
            <w:tcW w:w="1983"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after="0" w:line="240" w:lineRule="auto"/>
              <w:ind w:firstLine="0" w:firstLineChars="0"/>
              <w:rPr>
                <w:rFonts w:ascii="宋体" w:hAnsi="宋体" w:cs="宋体"/>
                <w:sz w:val="24"/>
              </w:rPr>
            </w:pPr>
            <w:r>
              <w:rPr>
                <w:rFonts w:hint="eastAsia" w:ascii="宋体" w:hAnsi="宋体" w:cs="宋体"/>
                <w:sz w:val="24"/>
              </w:rPr>
              <w:t>一般情况下，项目声环境质量监测点位示意图。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1088" w:type="dxa"/>
            <w:tcBorders>
              <w:top w:val="single" w:color="auto" w:sz="4" w:space="0"/>
              <w:left w:val="single" w:color="auto" w:sz="4" w:space="0"/>
              <w:bottom w:val="single" w:color="auto" w:sz="4" w:space="0"/>
              <w:right w:val="single" w:color="auto" w:sz="4" w:space="0"/>
              <w:tl2br w:val="nil"/>
              <w:tr2bl w:val="nil"/>
            </w:tcBorders>
            <w:vAlign w:val="center"/>
          </w:tcPr>
          <w:p>
            <w:pPr>
              <w:pStyle w:val="6"/>
              <w:numPr>
                <w:ilvl w:val="0"/>
                <w:numId w:val="2"/>
              </w:numPr>
              <w:spacing w:after="0" w:line="240" w:lineRule="auto"/>
              <w:ind w:firstLine="520"/>
              <w:jc w:val="center"/>
              <w:rPr>
                <w:rFonts w:ascii="宋体" w:hAnsi="宋体" w:cs="宋体"/>
                <w:b/>
                <w:bCs/>
                <w:sz w:val="24"/>
              </w:rPr>
            </w:pPr>
          </w:p>
        </w:tc>
        <w:tc>
          <w:tcPr>
            <w:tcW w:w="4412"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after="0" w:line="240" w:lineRule="auto"/>
              <w:ind w:firstLine="0" w:firstLineChars="0"/>
              <w:jc w:val="center"/>
              <w:rPr>
                <w:rFonts w:ascii="宋体" w:hAnsi="宋体" w:cs="宋体"/>
                <w:sz w:val="24"/>
              </w:rPr>
            </w:pPr>
            <w:r>
              <w:rPr>
                <w:rFonts w:ascii="宋体" w:hAnsi="宋体" w:cs="宋体"/>
                <w:sz w:val="24"/>
              </w:rPr>
              <w:drawing>
                <wp:inline distT="0" distB="0" distL="0" distR="0">
                  <wp:extent cx="2200275" cy="1841500"/>
                  <wp:effectExtent l="0" t="0" r="952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204975" cy="1846062"/>
                          </a:xfrm>
                          <a:prstGeom prst="rect">
                            <a:avLst/>
                          </a:prstGeom>
                          <a:noFill/>
                          <a:ln>
                            <a:noFill/>
                          </a:ln>
                        </pic:spPr>
                      </pic:pic>
                    </a:graphicData>
                  </a:graphic>
                </wp:inline>
              </w:drawing>
            </w:r>
          </w:p>
        </w:tc>
        <w:tc>
          <w:tcPr>
            <w:tcW w:w="1983"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after="0" w:line="240" w:lineRule="auto"/>
              <w:ind w:firstLine="0" w:firstLineChars="0"/>
              <w:rPr>
                <w:rFonts w:ascii="宋体" w:hAnsi="宋体" w:cs="宋体"/>
                <w:sz w:val="24"/>
              </w:rPr>
            </w:pPr>
            <w:r>
              <w:rPr>
                <w:rFonts w:hint="eastAsia" w:ascii="宋体" w:hAnsi="宋体" w:cs="宋体"/>
                <w:sz w:val="24"/>
              </w:rPr>
              <w:t>不规则形状的项目声环境质量监测点位示意图。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1088" w:type="dxa"/>
            <w:tcBorders>
              <w:top w:val="single" w:color="auto" w:sz="4" w:space="0"/>
              <w:left w:val="single" w:color="auto" w:sz="4" w:space="0"/>
              <w:bottom w:val="single" w:color="auto" w:sz="4" w:space="0"/>
              <w:right w:val="single" w:color="auto" w:sz="4" w:space="0"/>
              <w:tl2br w:val="nil"/>
              <w:tr2bl w:val="nil"/>
            </w:tcBorders>
            <w:vAlign w:val="center"/>
          </w:tcPr>
          <w:p>
            <w:pPr>
              <w:pStyle w:val="6"/>
              <w:numPr>
                <w:ilvl w:val="0"/>
                <w:numId w:val="2"/>
              </w:numPr>
              <w:spacing w:after="0" w:line="240" w:lineRule="auto"/>
              <w:ind w:firstLine="520"/>
              <w:jc w:val="center"/>
              <w:rPr>
                <w:rFonts w:ascii="宋体" w:hAnsi="宋体" w:cs="宋体"/>
                <w:b/>
                <w:bCs/>
                <w:sz w:val="24"/>
              </w:rPr>
            </w:pPr>
          </w:p>
        </w:tc>
        <w:tc>
          <w:tcPr>
            <w:tcW w:w="4412"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after="0" w:line="240" w:lineRule="auto"/>
              <w:ind w:firstLine="0" w:firstLineChars="0"/>
              <w:jc w:val="center"/>
              <w:rPr>
                <w:rFonts w:ascii="宋体" w:hAnsi="宋体" w:cs="宋体"/>
                <w:sz w:val="24"/>
              </w:rPr>
            </w:pPr>
            <w:r>
              <w:rPr>
                <w:rFonts w:hint="eastAsia" w:ascii="宋体" w:hAnsi="宋体" w:cs="宋体"/>
                <w:sz w:val="24"/>
              </w:rPr>
              <w:drawing>
                <wp:inline distT="0" distB="0" distL="114300" distR="114300">
                  <wp:extent cx="2306955" cy="1625600"/>
                  <wp:effectExtent l="0" t="0" r="17145" b="1270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7"/>
                          <a:stretch>
                            <a:fillRect/>
                          </a:stretch>
                        </pic:blipFill>
                        <pic:spPr>
                          <a:xfrm>
                            <a:off x="0" y="0"/>
                            <a:ext cx="2306955" cy="1625600"/>
                          </a:xfrm>
                          <a:prstGeom prst="rect">
                            <a:avLst/>
                          </a:prstGeom>
                        </pic:spPr>
                      </pic:pic>
                    </a:graphicData>
                  </a:graphic>
                </wp:inline>
              </w:drawing>
            </w:r>
          </w:p>
        </w:tc>
        <w:tc>
          <w:tcPr>
            <w:tcW w:w="1983"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after="0" w:line="240" w:lineRule="auto"/>
              <w:ind w:firstLine="0" w:firstLineChars="0"/>
              <w:rPr>
                <w:rFonts w:ascii="宋体" w:hAnsi="宋体" w:cs="宋体"/>
                <w:sz w:val="24"/>
              </w:rPr>
            </w:pPr>
            <w:r>
              <w:rPr>
                <w:rFonts w:hint="eastAsia" w:ascii="宋体" w:hAnsi="宋体" w:cs="宋体"/>
                <w:sz w:val="24"/>
              </w:rPr>
              <w:t>受较大固定噪声源影响情况下，项目声环境质量监测点位示意图。</w:t>
            </w:r>
          </w:p>
        </w:tc>
      </w:tr>
    </w:tbl>
    <w:p>
      <w:pPr>
        <w:pStyle w:val="5"/>
        <w:adjustRightInd w:val="0"/>
        <w:snapToGrid w:val="0"/>
        <w:ind w:firstLine="640"/>
        <w:rPr>
          <w:rFonts w:ascii="仿宋_GB2312" w:hAnsi="仿宋_GB2312" w:cs="仿宋_GB2312"/>
        </w:rPr>
      </w:pPr>
      <w:r>
        <w:rPr>
          <w:rFonts w:hint="eastAsia" w:ascii="仿宋_GB2312" w:hAnsi="仿宋_GB2312" w:cs="仿宋_GB2312"/>
        </w:rPr>
        <w:t>2.2.2</w:t>
      </w:r>
      <w:r>
        <w:rPr>
          <w:rFonts w:hint="eastAsia" w:ascii="仿宋_GB2312" w:hAnsi="仿宋_GB2312" w:cs="仿宋_GB2312"/>
          <w:lang w:val="en-US" w:eastAsia="zh-CN"/>
        </w:rPr>
        <w:t xml:space="preserve"> </w:t>
      </w:r>
      <w:r>
        <w:rPr>
          <w:rFonts w:hint="eastAsia" w:ascii="仿宋_GB2312" w:hAnsi="仿宋_GB2312" w:cs="仿宋_GB2312"/>
        </w:rPr>
        <w:t>现状监测调查结果</w:t>
      </w:r>
    </w:p>
    <w:p>
      <w:pPr>
        <w:pStyle w:val="5"/>
        <w:adjustRightInd w:val="0"/>
        <w:snapToGrid w:val="0"/>
        <w:ind w:firstLine="640"/>
        <w:rPr>
          <w:rFonts w:ascii="仿宋_GB2312" w:hAnsi="仿宋_GB2312" w:cs="仿宋_GB2312"/>
        </w:rPr>
      </w:pPr>
      <w:r>
        <w:rPr>
          <w:rFonts w:hint="eastAsia" w:ascii="仿宋_GB2312" w:hAnsi="仿宋_GB2312" w:cs="仿宋_GB2312"/>
        </w:rPr>
        <w:t>提供项目声环境现状监测结果，对声环境现状监测结果进行分析，依据其</w:t>
      </w:r>
      <w:r>
        <w:rPr>
          <w:rFonts w:hint="eastAsia"/>
        </w:rPr>
        <w:t>所属声环境功能区限值要求，</w:t>
      </w:r>
      <w:r>
        <w:rPr>
          <w:rFonts w:hint="eastAsia" w:ascii="仿宋_GB2312" w:hAnsi="仿宋_GB2312" w:cs="仿宋_GB2312"/>
        </w:rPr>
        <w:t>重点分析声环境现状超标情况。</w:t>
      </w:r>
    </w:p>
    <w:p>
      <w:pPr>
        <w:pStyle w:val="3"/>
        <w:adjustRightInd w:val="0"/>
        <w:snapToGrid w:val="0"/>
        <w:ind w:firstLine="640"/>
        <w:rPr>
          <w:rFonts w:ascii="楷体_GB2312" w:hAnsi="楷体_GB2312" w:eastAsia="楷体_GB2312" w:cs="楷体_GB2312"/>
        </w:rPr>
      </w:pPr>
      <w:bookmarkStart w:id="46" w:name="_Toc6546"/>
      <w:bookmarkStart w:id="47" w:name="_Toc19709"/>
      <w:bookmarkStart w:id="48" w:name="_Toc24969"/>
      <w:bookmarkStart w:id="49" w:name="_Toc21454"/>
      <w:bookmarkStart w:id="50" w:name="_Toc18923"/>
      <w:bookmarkStart w:id="51" w:name="_Toc1662691180"/>
      <w:r>
        <w:rPr>
          <w:rFonts w:hint="eastAsia" w:ascii="楷体_GB2312" w:hAnsi="楷体_GB2312" w:eastAsia="楷体_GB2312" w:cs="楷体_GB2312"/>
        </w:rPr>
        <w:t>2.3</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主要噪声源分析</w:t>
      </w:r>
      <w:bookmarkEnd w:id="46"/>
      <w:bookmarkEnd w:id="47"/>
      <w:bookmarkEnd w:id="48"/>
      <w:bookmarkEnd w:id="49"/>
      <w:bookmarkEnd w:id="50"/>
      <w:bookmarkEnd w:id="51"/>
    </w:p>
    <w:p>
      <w:pPr>
        <w:pStyle w:val="5"/>
        <w:adjustRightInd w:val="0"/>
        <w:snapToGrid w:val="0"/>
        <w:ind w:firstLine="640"/>
        <w:rPr>
          <w:rFonts w:ascii="仿宋_GB2312" w:hAnsi="仿宋_GB2312" w:cs="仿宋_GB2312"/>
        </w:rPr>
      </w:pPr>
      <w:r>
        <w:rPr>
          <w:rFonts w:hint="eastAsia" w:ascii="仿宋_GB2312" w:hAnsi="仿宋_GB2312" w:cs="仿宋_GB2312"/>
        </w:rPr>
        <w:t>分析评价范围内现状与规划新增的主要噪声源种类、数量及相应的噪声级、噪声特性等，明确主要声源分布情况。分析时应充分考虑评价范围</w:t>
      </w:r>
      <w:r>
        <w:rPr>
          <w:rFonts w:hint="eastAsia" w:ascii="仿宋_GB2312" w:hAnsi="仿宋_GB2312" w:cs="仿宋_GB2312"/>
          <w:lang w:val="en-US" w:eastAsia="zh-CN"/>
        </w:rPr>
        <w:t>与周边区域的</w:t>
      </w:r>
      <w:r>
        <w:rPr>
          <w:rFonts w:hint="eastAsia" w:ascii="仿宋_GB2312" w:hAnsi="仿宋_GB2312" w:cs="仿宋_GB2312"/>
        </w:rPr>
        <w:t>已规划或在建交通干线、工业园区、场站等噪声源对噪声敏感建筑产生的预期影响。</w:t>
      </w:r>
    </w:p>
    <w:p>
      <w:pPr>
        <w:pStyle w:val="5"/>
        <w:adjustRightInd w:val="0"/>
        <w:snapToGrid w:val="0"/>
        <w:ind w:firstLine="640"/>
        <w:rPr>
          <w:rFonts w:ascii="仿宋_GB2312" w:hAnsi="仿宋_GB2312" w:cs="仿宋_GB2312"/>
        </w:rPr>
      </w:pPr>
      <w:r>
        <w:rPr>
          <w:rFonts w:hint="eastAsia" w:ascii="仿宋_GB2312" w:hAnsi="仿宋_GB2312" w:cs="仿宋_GB2312"/>
        </w:rPr>
        <w:t>项目主要噪声源包括交通噪声、工业企业噪声等。对于公路、道路等交通噪声源，应明确各车型（小型车、中型车、大型车）的数量及比例，并按《环境影响评价技术导则 声环境》（HJ 2.4-2021）相关要求转化为当量车流量。提供项目主要噪声源基本信息表（表2-2、表2-3）。</w:t>
      </w:r>
    </w:p>
    <w:p>
      <w:pPr>
        <w:ind w:firstLine="0" w:firstLineChars="0"/>
        <w:jc w:val="center"/>
        <w:rPr>
          <w:rFonts w:ascii="黑体" w:hAnsi="黑体" w:eastAsia="黑体" w:cs="黑体"/>
          <w:sz w:val="28"/>
          <w:szCs w:val="28"/>
        </w:rPr>
      </w:pPr>
      <w:r>
        <w:rPr>
          <w:rFonts w:hint="eastAsia" w:ascii="黑体" w:hAnsi="黑体" w:eastAsia="黑体" w:cs="黑体"/>
          <w:sz w:val="28"/>
          <w:szCs w:val="28"/>
        </w:rPr>
        <w:t>表 2-2 主要噪声源信息表（交通噪声）</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66"/>
        <w:gridCol w:w="649"/>
        <w:gridCol w:w="698"/>
        <w:gridCol w:w="2116"/>
        <w:gridCol w:w="937"/>
        <w:gridCol w:w="694"/>
        <w:gridCol w:w="791"/>
        <w:gridCol w:w="832"/>
        <w:gridCol w:w="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blHeader/>
          <w:jc w:val="center"/>
        </w:trPr>
        <w:tc>
          <w:tcPr>
            <w:tcW w:w="458"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噪声源</w:t>
            </w:r>
            <w:r>
              <w:rPr>
                <w:rFonts w:ascii="仿宋" w:hAnsi="仿宋" w:eastAsia="仿宋"/>
                <w:b/>
                <w:sz w:val="22"/>
              </w:rPr>
              <w:t>名称</w:t>
            </w:r>
          </w:p>
        </w:tc>
        <w:tc>
          <w:tcPr>
            <w:tcW w:w="388"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与项目的</w:t>
            </w:r>
            <w:r>
              <w:rPr>
                <w:rFonts w:ascii="仿宋" w:hAnsi="仿宋" w:eastAsia="仿宋"/>
                <w:b/>
                <w:sz w:val="22"/>
              </w:rPr>
              <w:t>相对位置关系</w:t>
            </w:r>
          </w:p>
        </w:tc>
        <w:tc>
          <w:tcPr>
            <w:tcW w:w="417"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与用地红线</w:t>
            </w:r>
            <w:r>
              <w:rPr>
                <w:rFonts w:ascii="仿宋" w:hAnsi="仿宋" w:eastAsia="仿宋"/>
                <w:b/>
                <w:sz w:val="22"/>
              </w:rPr>
              <w:t>的</w:t>
            </w:r>
            <w:r>
              <w:rPr>
                <w:rFonts w:hint="eastAsia" w:ascii="仿宋" w:hAnsi="仿宋" w:eastAsia="仿宋"/>
                <w:b/>
                <w:sz w:val="22"/>
              </w:rPr>
              <w:t>最近</w:t>
            </w:r>
            <w:r>
              <w:rPr>
                <w:rFonts w:ascii="仿宋" w:hAnsi="仿宋" w:eastAsia="仿宋"/>
                <w:b/>
                <w:sz w:val="22"/>
              </w:rPr>
              <w:t>距离</w:t>
            </w:r>
          </w:p>
        </w:tc>
        <w:tc>
          <w:tcPr>
            <w:tcW w:w="1265"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道路级别/交通噪声源类型</w:t>
            </w:r>
          </w:p>
        </w:tc>
        <w:tc>
          <w:tcPr>
            <w:tcW w:w="560"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设计车速</w:t>
            </w:r>
          </w:p>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(km/h)</w:t>
            </w:r>
          </w:p>
        </w:tc>
        <w:tc>
          <w:tcPr>
            <w:tcW w:w="415"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道路宽度</w:t>
            </w:r>
          </w:p>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(m)</w:t>
            </w:r>
          </w:p>
        </w:tc>
        <w:tc>
          <w:tcPr>
            <w:tcW w:w="473"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车道数量</w:t>
            </w:r>
          </w:p>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（个）</w:t>
            </w:r>
          </w:p>
        </w:tc>
        <w:tc>
          <w:tcPr>
            <w:tcW w:w="497"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平均当量车流量</w:t>
            </w:r>
          </w:p>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（辆/h）</w:t>
            </w:r>
          </w:p>
        </w:tc>
        <w:tc>
          <w:tcPr>
            <w:tcW w:w="522"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高峰期当量车流量</w:t>
            </w:r>
          </w:p>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（辆/h）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58" w:type="pct"/>
            <w:vAlign w:val="center"/>
          </w:tcPr>
          <w:p>
            <w:pPr>
              <w:adjustRightInd w:val="0"/>
              <w:snapToGrid w:val="0"/>
              <w:spacing w:line="240" w:lineRule="auto"/>
              <w:ind w:firstLine="0" w:firstLineChars="0"/>
              <w:jc w:val="center"/>
              <w:rPr>
                <w:rFonts w:ascii="仿宋" w:hAnsi="仿宋" w:eastAsia="仿宋"/>
                <w:sz w:val="22"/>
              </w:rPr>
            </w:pPr>
            <w:r>
              <w:rPr>
                <w:rFonts w:hint="eastAsia" w:ascii="仿宋" w:hAnsi="仿宋" w:eastAsia="仿宋"/>
                <w:sz w:val="22"/>
              </w:rPr>
              <w:t>比如：</w:t>
            </w:r>
          </w:p>
          <w:p>
            <w:pPr>
              <w:adjustRightInd w:val="0"/>
              <w:snapToGrid w:val="0"/>
              <w:spacing w:line="240" w:lineRule="auto"/>
              <w:ind w:firstLine="0" w:firstLineChars="0"/>
              <w:jc w:val="center"/>
              <w:rPr>
                <w:rFonts w:ascii="仿宋" w:hAnsi="仿宋" w:eastAsia="仿宋"/>
                <w:sz w:val="22"/>
              </w:rPr>
            </w:pPr>
            <w:r>
              <w:rPr>
                <w:rFonts w:hint="eastAsia" w:ascii="仿宋" w:hAnsi="仿宋" w:eastAsia="仿宋"/>
                <w:sz w:val="22"/>
              </w:rPr>
              <w:t>XX路</w:t>
            </w:r>
          </w:p>
        </w:tc>
        <w:tc>
          <w:tcPr>
            <w:tcW w:w="388" w:type="pct"/>
            <w:vAlign w:val="center"/>
          </w:tcPr>
          <w:p>
            <w:pPr>
              <w:adjustRightInd w:val="0"/>
              <w:snapToGrid w:val="0"/>
              <w:spacing w:line="240" w:lineRule="auto"/>
              <w:ind w:firstLine="0" w:firstLineChars="0"/>
              <w:jc w:val="center"/>
              <w:rPr>
                <w:rFonts w:ascii="仿宋" w:hAnsi="仿宋" w:eastAsia="仿宋"/>
                <w:sz w:val="22"/>
              </w:rPr>
            </w:pPr>
            <w:r>
              <w:rPr>
                <w:rFonts w:hint="eastAsia" w:ascii="仿宋" w:hAnsi="仿宋" w:eastAsia="仿宋"/>
                <w:sz w:val="22"/>
              </w:rPr>
              <w:t>南</w:t>
            </w:r>
            <w:r>
              <w:rPr>
                <w:rFonts w:ascii="仿宋" w:hAnsi="仿宋" w:eastAsia="仿宋"/>
                <w:sz w:val="22"/>
              </w:rPr>
              <w:t>侧</w:t>
            </w:r>
          </w:p>
        </w:tc>
        <w:tc>
          <w:tcPr>
            <w:tcW w:w="417" w:type="pct"/>
            <w:vAlign w:val="center"/>
          </w:tcPr>
          <w:p>
            <w:pPr>
              <w:adjustRightInd w:val="0"/>
              <w:snapToGrid w:val="0"/>
              <w:spacing w:line="240" w:lineRule="auto"/>
              <w:ind w:firstLine="0" w:firstLineChars="0"/>
              <w:jc w:val="center"/>
              <w:rPr>
                <w:rFonts w:ascii="仿宋" w:hAnsi="仿宋" w:eastAsia="仿宋"/>
                <w:sz w:val="22"/>
              </w:rPr>
            </w:pPr>
            <w:r>
              <w:rPr>
                <w:rFonts w:hint="eastAsia" w:ascii="仿宋" w:hAnsi="仿宋" w:eastAsia="仿宋"/>
                <w:sz w:val="22"/>
              </w:rPr>
              <w:t>xx</w:t>
            </w:r>
            <w:r>
              <w:rPr>
                <w:rFonts w:ascii="仿宋" w:hAnsi="仿宋" w:eastAsia="仿宋"/>
                <w:sz w:val="22"/>
              </w:rPr>
              <w:t>米</w:t>
            </w:r>
          </w:p>
        </w:tc>
        <w:tc>
          <w:tcPr>
            <w:tcW w:w="1265" w:type="pct"/>
            <w:vAlign w:val="center"/>
          </w:tcPr>
          <w:p>
            <w:pPr>
              <w:adjustRightInd w:val="0"/>
              <w:snapToGrid w:val="0"/>
              <w:spacing w:line="240" w:lineRule="auto"/>
              <w:ind w:firstLine="0" w:firstLineChars="0"/>
              <w:jc w:val="center"/>
              <w:rPr>
                <w:rFonts w:ascii="仿宋" w:hAnsi="仿宋" w:eastAsia="仿宋"/>
                <w:sz w:val="22"/>
              </w:rPr>
            </w:pPr>
            <w:r>
              <w:rPr>
                <w:rFonts w:hint="eastAsia" w:ascii="仿宋" w:hAnsi="仿宋" w:eastAsia="仿宋"/>
                <w:sz w:val="22"/>
              </w:rPr>
              <w:t>高速公路/快速路/主干道地铁/港口/码头/高铁/机场……</w:t>
            </w:r>
          </w:p>
        </w:tc>
        <w:tc>
          <w:tcPr>
            <w:tcW w:w="560" w:type="pct"/>
            <w:vAlign w:val="center"/>
          </w:tcPr>
          <w:p>
            <w:pPr>
              <w:adjustRightInd w:val="0"/>
              <w:snapToGrid w:val="0"/>
              <w:spacing w:line="240" w:lineRule="auto"/>
              <w:ind w:firstLine="0" w:firstLineChars="0"/>
              <w:jc w:val="left"/>
              <w:rPr>
                <w:rFonts w:ascii="仿宋" w:hAnsi="仿宋" w:eastAsia="仿宋"/>
                <w:sz w:val="22"/>
              </w:rPr>
            </w:pPr>
          </w:p>
        </w:tc>
        <w:tc>
          <w:tcPr>
            <w:tcW w:w="415" w:type="pct"/>
            <w:vAlign w:val="center"/>
          </w:tcPr>
          <w:p>
            <w:pPr>
              <w:adjustRightInd w:val="0"/>
              <w:snapToGrid w:val="0"/>
              <w:spacing w:line="240" w:lineRule="auto"/>
              <w:ind w:firstLine="0" w:firstLineChars="0"/>
              <w:jc w:val="center"/>
              <w:rPr>
                <w:rFonts w:ascii="仿宋" w:hAnsi="仿宋" w:eastAsia="仿宋"/>
                <w:sz w:val="22"/>
              </w:rPr>
            </w:pPr>
          </w:p>
        </w:tc>
        <w:tc>
          <w:tcPr>
            <w:tcW w:w="473" w:type="pct"/>
            <w:vAlign w:val="center"/>
          </w:tcPr>
          <w:p>
            <w:pPr>
              <w:adjustRightInd w:val="0"/>
              <w:snapToGrid w:val="0"/>
              <w:spacing w:line="240" w:lineRule="auto"/>
              <w:ind w:firstLine="0" w:firstLineChars="0"/>
              <w:jc w:val="center"/>
              <w:rPr>
                <w:rFonts w:ascii="仿宋" w:hAnsi="仿宋" w:eastAsia="仿宋"/>
                <w:sz w:val="22"/>
              </w:rPr>
            </w:pPr>
          </w:p>
        </w:tc>
        <w:tc>
          <w:tcPr>
            <w:tcW w:w="497" w:type="pct"/>
            <w:vAlign w:val="center"/>
          </w:tcPr>
          <w:p>
            <w:pPr>
              <w:adjustRightInd w:val="0"/>
              <w:snapToGrid w:val="0"/>
              <w:spacing w:line="240" w:lineRule="auto"/>
              <w:ind w:firstLine="0" w:firstLineChars="0"/>
              <w:jc w:val="center"/>
              <w:rPr>
                <w:rFonts w:ascii="仿宋" w:hAnsi="仿宋" w:eastAsia="仿宋"/>
                <w:sz w:val="22"/>
              </w:rPr>
            </w:pPr>
          </w:p>
        </w:tc>
        <w:tc>
          <w:tcPr>
            <w:tcW w:w="522" w:type="pct"/>
            <w:vAlign w:val="center"/>
          </w:tcPr>
          <w:p>
            <w:pPr>
              <w:adjustRightInd w:val="0"/>
              <w:snapToGrid w:val="0"/>
              <w:spacing w:line="240" w:lineRule="auto"/>
              <w:ind w:firstLine="0" w:firstLineChars="0"/>
              <w:jc w:val="center"/>
              <w:rPr>
                <w:rFonts w:ascii="仿宋" w:hAnsi="仿宋" w:eastAsia="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58" w:type="pct"/>
            <w:vAlign w:val="center"/>
          </w:tcPr>
          <w:p>
            <w:pPr>
              <w:adjustRightInd w:val="0"/>
              <w:snapToGrid w:val="0"/>
              <w:spacing w:line="240" w:lineRule="auto"/>
              <w:ind w:firstLine="0" w:firstLineChars="0"/>
              <w:jc w:val="center"/>
              <w:rPr>
                <w:rFonts w:ascii="仿宋" w:hAnsi="仿宋" w:eastAsia="仿宋"/>
                <w:sz w:val="22"/>
              </w:rPr>
            </w:pPr>
            <w:r>
              <w:rPr>
                <w:rFonts w:ascii="仿宋" w:hAnsi="仿宋" w:eastAsia="仿宋"/>
                <w:sz w:val="22"/>
              </w:rPr>
              <w:t>……</w:t>
            </w:r>
          </w:p>
        </w:tc>
        <w:tc>
          <w:tcPr>
            <w:tcW w:w="388" w:type="pct"/>
            <w:vAlign w:val="center"/>
          </w:tcPr>
          <w:p>
            <w:pPr>
              <w:adjustRightInd w:val="0"/>
              <w:snapToGrid w:val="0"/>
              <w:spacing w:line="240" w:lineRule="auto"/>
              <w:ind w:firstLine="0" w:firstLineChars="0"/>
              <w:jc w:val="center"/>
              <w:rPr>
                <w:rFonts w:ascii="仿宋" w:hAnsi="仿宋" w:eastAsia="仿宋"/>
                <w:sz w:val="22"/>
              </w:rPr>
            </w:pPr>
          </w:p>
        </w:tc>
        <w:tc>
          <w:tcPr>
            <w:tcW w:w="417" w:type="pct"/>
            <w:vAlign w:val="center"/>
          </w:tcPr>
          <w:p>
            <w:pPr>
              <w:adjustRightInd w:val="0"/>
              <w:snapToGrid w:val="0"/>
              <w:spacing w:line="240" w:lineRule="auto"/>
              <w:ind w:firstLine="0" w:firstLineChars="0"/>
              <w:jc w:val="center"/>
              <w:rPr>
                <w:rFonts w:ascii="仿宋" w:hAnsi="仿宋" w:eastAsia="仿宋"/>
                <w:sz w:val="22"/>
              </w:rPr>
            </w:pPr>
          </w:p>
        </w:tc>
        <w:tc>
          <w:tcPr>
            <w:tcW w:w="1265" w:type="pct"/>
            <w:vAlign w:val="center"/>
          </w:tcPr>
          <w:p>
            <w:pPr>
              <w:adjustRightInd w:val="0"/>
              <w:snapToGrid w:val="0"/>
              <w:spacing w:line="240" w:lineRule="auto"/>
              <w:ind w:firstLine="0" w:firstLineChars="0"/>
              <w:jc w:val="center"/>
              <w:rPr>
                <w:rFonts w:ascii="仿宋" w:hAnsi="仿宋" w:eastAsia="仿宋"/>
                <w:sz w:val="22"/>
              </w:rPr>
            </w:pPr>
          </w:p>
        </w:tc>
        <w:tc>
          <w:tcPr>
            <w:tcW w:w="560" w:type="pct"/>
            <w:vAlign w:val="center"/>
          </w:tcPr>
          <w:p>
            <w:pPr>
              <w:adjustRightInd w:val="0"/>
              <w:snapToGrid w:val="0"/>
              <w:spacing w:line="240" w:lineRule="auto"/>
              <w:ind w:firstLine="0" w:firstLineChars="0"/>
              <w:jc w:val="center"/>
              <w:rPr>
                <w:rFonts w:ascii="仿宋" w:hAnsi="仿宋" w:eastAsia="仿宋"/>
                <w:sz w:val="22"/>
              </w:rPr>
            </w:pPr>
          </w:p>
        </w:tc>
        <w:tc>
          <w:tcPr>
            <w:tcW w:w="415" w:type="pct"/>
            <w:vAlign w:val="center"/>
          </w:tcPr>
          <w:p>
            <w:pPr>
              <w:adjustRightInd w:val="0"/>
              <w:snapToGrid w:val="0"/>
              <w:spacing w:line="240" w:lineRule="auto"/>
              <w:ind w:firstLine="0" w:firstLineChars="0"/>
              <w:jc w:val="center"/>
              <w:rPr>
                <w:rFonts w:ascii="仿宋" w:hAnsi="仿宋" w:eastAsia="仿宋"/>
                <w:sz w:val="22"/>
              </w:rPr>
            </w:pPr>
          </w:p>
        </w:tc>
        <w:tc>
          <w:tcPr>
            <w:tcW w:w="473" w:type="pct"/>
            <w:vAlign w:val="center"/>
          </w:tcPr>
          <w:p>
            <w:pPr>
              <w:adjustRightInd w:val="0"/>
              <w:snapToGrid w:val="0"/>
              <w:spacing w:line="240" w:lineRule="auto"/>
              <w:ind w:firstLine="0" w:firstLineChars="0"/>
              <w:jc w:val="center"/>
              <w:rPr>
                <w:rFonts w:ascii="仿宋" w:hAnsi="仿宋" w:eastAsia="仿宋"/>
                <w:sz w:val="22"/>
              </w:rPr>
            </w:pPr>
          </w:p>
        </w:tc>
        <w:tc>
          <w:tcPr>
            <w:tcW w:w="497" w:type="pct"/>
            <w:vAlign w:val="center"/>
          </w:tcPr>
          <w:p>
            <w:pPr>
              <w:adjustRightInd w:val="0"/>
              <w:snapToGrid w:val="0"/>
              <w:spacing w:line="240" w:lineRule="auto"/>
              <w:ind w:firstLine="0" w:firstLineChars="0"/>
              <w:jc w:val="center"/>
              <w:rPr>
                <w:rFonts w:ascii="仿宋" w:hAnsi="仿宋" w:eastAsia="仿宋"/>
                <w:sz w:val="22"/>
              </w:rPr>
            </w:pPr>
          </w:p>
        </w:tc>
        <w:tc>
          <w:tcPr>
            <w:tcW w:w="522" w:type="pct"/>
            <w:vAlign w:val="center"/>
          </w:tcPr>
          <w:p>
            <w:pPr>
              <w:adjustRightInd w:val="0"/>
              <w:snapToGrid w:val="0"/>
              <w:spacing w:line="240" w:lineRule="auto"/>
              <w:ind w:firstLine="0" w:firstLineChars="0"/>
              <w:jc w:val="center"/>
              <w:rPr>
                <w:rFonts w:ascii="仿宋" w:hAnsi="仿宋" w:eastAsia="仿宋"/>
                <w:sz w:val="22"/>
              </w:rPr>
            </w:pPr>
          </w:p>
        </w:tc>
      </w:tr>
    </w:tbl>
    <w:p>
      <w:pPr>
        <w:ind w:firstLine="0" w:firstLineChars="0"/>
        <w:jc w:val="center"/>
        <w:rPr>
          <w:rFonts w:ascii="黑体" w:hAnsi="黑体" w:eastAsia="黑体" w:cs="黑体"/>
          <w:sz w:val="28"/>
          <w:szCs w:val="28"/>
        </w:rPr>
      </w:pPr>
      <w:r>
        <w:rPr>
          <w:rFonts w:hint="eastAsia" w:ascii="黑体" w:hAnsi="黑体" w:eastAsia="黑体" w:cs="黑体"/>
          <w:sz w:val="28"/>
          <w:szCs w:val="28"/>
        </w:rPr>
        <w:t>表2-3 主要噪声源信息表（工业企业噪声）</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218"/>
        <w:gridCol w:w="1291"/>
        <w:gridCol w:w="1291"/>
        <w:gridCol w:w="1617"/>
        <w:gridCol w:w="1502"/>
        <w:gridCol w:w="1062"/>
        <w:gridCol w:w="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blHeader/>
          <w:jc w:val="center"/>
        </w:trPr>
        <w:tc>
          <w:tcPr>
            <w:tcW w:w="728"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噪声源</w:t>
            </w:r>
            <w:r>
              <w:rPr>
                <w:rFonts w:ascii="仿宋" w:hAnsi="仿宋" w:eastAsia="仿宋"/>
                <w:b/>
                <w:sz w:val="22"/>
              </w:rPr>
              <w:t>名称</w:t>
            </w:r>
          </w:p>
        </w:tc>
        <w:tc>
          <w:tcPr>
            <w:tcW w:w="772"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与项目的</w:t>
            </w:r>
            <w:r>
              <w:rPr>
                <w:rFonts w:ascii="仿宋" w:hAnsi="仿宋" w:eastAsia="仿宋"/>
                <w:b/>
                <w:sz w:val="22"/>
              </w:rPr>
              <w:t>相对位置关系</w:t>
            </w:r>
          </w:p>
        </w:tc>
        <w:tc>
          <w:tcPr>
            <w:tcW w:w="772" w:type="pct"/>
            <w:vAlign w:val="center"/>
          </w:tcPr>
          <w:p>
            <w:pPr>
              <w:adjustRightInd w:val="0"/>
              <w:snapToGrid w:val="0"/>
              <w:spacing w:line="240" w:lineRule="auto"/>
              <w:ind w:firstLine="0" w:firstLineChars="0"/>
              <w:jc w:val="center"/>
              <w:rPr>
                <w:rFonts w:ascii="仿宋" w:hAnsi="仿宋" w:eastAsia="仿宋"/>
                <w:b/>
                <w:sz w:val="22"/>
              </w:rPr>
            </w:pPr>
            <w:r>
              <w:rPr>
                <w:rFonts w:ascii="仿宋" w:hAnsi="仿宋" w:eastAsia="仿宋"/>
                <w:b/>
                <w:sz w:val="22"/>
              </w:rPr>
              <w:t>与</w:t>
            </w:r>
            <w:r>
              <w:rPr>
                <w:rFonts w:hint="eastAsia" w:ascii="仿宋" w:hAnsi="仿宋" w:eastAsia="仿宋"/>
                <w:b/>
                <w:sz w:val="22"/>
              </w:rPr>
              <w:t>用地红线</w:t>
            </w:r>
            <w:r>
              <w:rPr>
                <w:rFonts w:ascii="仿宋" w:hAnsi="仿宋" w:eastAsia="仿宋"/>
                <w:b/>
                <w:sz w:val="22"/>
              </w:rPr>
              <w:t>的最近距离</w:t>
            </w:r>
          </w:p>
        </w:tc>
        <w:tc>
          <w:tcPr>
            <w:tcW w:w="967"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工业园厂界噪声值（昼间）</w:t>
            </w:r>
          </w:p>
        </w:tc>
        <w:tc>
          <w:tcPr>
            <w:tcW w:w="898"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工业园厂界噪声值（夜间）</w:t>
            </w:r>
          </w:p>
        </w:tc>
        <w:tc>
          <w:tcPr>
            <w:tcW w:w="635"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进出交通车辆情况</w:t>
            </w:r>
          </w:p>
        </w:tc>
        <w:tc>
          <w:tcPr>
            <w:tcW w:w="226" w:type="pct"/>
            <w:vAlign w:val="center"/>
          </w:tcPr>
          <w:p>
            <w:pPr>
              <w:adjustRightInd w:val="0"/>
              <w:snapToGrid w:val="0"/>
              <w:spacing w:line="240" w:lineRule="auto"/>
              <w:ind w:firstLine="0" w:firstLineChars="0"/>
              <w:jc w:val="center"/>
              <w:rPr>
                <w:rFonts w:ascii="仿宋" w:hAnsi="仿宋" w:eastAsia="仿宋"/>
                <w:b/>
                <w:sz w:val="22"/>
              </w:rPr>
            </w:pPr>
            <w:r>
              <w:rPr>
                <w:rFonts w:hint="eastAsia" w:ascii="仿宋" w:hAnsi="仿宋" w:eastAsia="仿宋"/>
                <w:b/>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728" w:type="pct"/>
            <w:vAlign w:val="center"/>
          </w:tcPr>
          <w:p>
            <w:pPr>
              <w:adjustRightInd w:val="0"/>
              <w:snapToGrid w:val="0"/>
              <w:spacing w:line="240" w:lineRule="auto"/>
              <w:ind w:firstLine="0" w:firstLineChars="0"/>
              <w:jc w:val="center"/>
              <w:rPr>
                <w:rFonts w:ascii="仿宋" w:hAnsi="仿宋" w:eastAsia="仿宋"/>
                <w:sz w:val="22"/>
              </w:rPr>
            </w:pPr>
            <w:r>
              <w:rPr>
                <w:rFonts w:hint="eastAsia" w:ascii="仿宋" w:hAnsi="仿宋" w:eastAsia="仿宋"/>
                <w:sz w:val="22"/>
              </w:rPr>
              <w:t>比如：</w:t>
            </w:r>
          </w:p>
          <w:p>
            <w:pPr>
              <w:adjustRightInd w:val="0"/>
              <w:snapToGrid w:val="0"/>
              <w:spacing w:line="240" w:lineRule="auto"/>
              <w:ind w:firstLine="0" w:firstLineChars="0"/>
              <w:jc w:val="center"/>
              <w:rPr>
                <w:rFonts w:ascii="仿宋" w:hAnsi="仿宋" w:eastAsia="仿宋"/>
                <w:sz w:val="22"/>
              </w:rPr>
            </w:pPr>
            <w:r>
              <w:rPr>
                <w:rFonts w:hint="eastAsia" w:ascii="仿宋" w:hAnsi="仿宋" w:eastAsia="仿宋"/>
                <w:sz w:val="22"/>
              </w:rPr>
              <w:t>XX企业/厂</w:t>
            </w:r>
          </w:p>
        </w:tc>
        <w:tc>
          <w:tcPr>
            <w:tcW w:w="772" w:type="pct"/>
            <w:vAlign w:val="center"/>
          </w:tcPr>
          <w:p>
            <w:pPr>
              <w:adjustRightInd w:val="0"/>
              <w:snapToGrid w:val="0"/>
              <w:spacing w:line="240" w:lineRule="auto"/>
              <w:ind w:firstLine="0" w:firstLineChars="0"/>
              <w:jc w:val="center"/>
              <w:rPr>
                <w:rFonts w:ascii="仿宋" w:hAnsi="仿宋" w:eastAsia="仿宋"/>
                <w:sz w:val="22"/>
              </w:rPr>
            </w:pPr>
            <w:r>
              <w:rPr>
                <w:rFonts w:hint="eastAsia" w:ascii="仿宋" w:hAnsi="仿宋" w:eastAsia="仿宋"/>
                <w:sz w:val="22"/>
              </w:rPr>
              <w:t>东</w:t>
            </w:r>
            <w:r>
              <w:rPr>
                <w:rFonts w:ascii="仿宋" w:hAnsi="仿宋" w:eastAsia="仿宋"/>
                <w:sz w:val="22"/>
              </w:rPr>
              <w:t>侧</w:t>
            </w:r>
          </w:p>
        </w:tc>
        <w:tc>
          <w:tcPr>
            <w:tcW w:w="772" w:type="pct"/>
            <w:vAlign w:val="center"/>
          </w:tcPr>
          <w:p>
            <w:pPr>
              <w:adjustRightInd w:val="0"/>
              <w:snapToGrid w:val="0"/>
              <w:spacing w:line="240" w:lineRule="auto"/>
              <w:ind w:firstLine="0" w:firstLineChars="0"/>
              <w:jc w:val="center"/>
              <w:rPr>
                <w:rFonts w:ascii="仿宋" w:hAnsi="仿宋" w:eastAsia="仿宋"/>
                <w:sz w:val="22"/>
              </w:rPr>
            </w:pPr>
            <w:r>
              <w:rPr>
                <w:rFonts w:hint="eastAsia" w:ascii="仿宋" w:hAnsi="仿宋" w:eastAsia="仿宋"/>
                <w:sz w:val="22"/>
              </w:rPr>
              <w:t>20</w:t>
            </w:r>
            <w:r>
              <w:rPr>
                <w:rFonts w:ascii="仿宋" w:hAnsi="仿宋" w:eastAsia="仿宋"/>
                <w:sz w:val="22"/>
              </w:rPr>
              <w:t>米</w:t>
            </w:r>
          </w:p>
        </w:tc>
        <w:tc>
          <w:tcPr>
            <w:tcW w:w="967" w:type="pct"/>
            <w:vAlign w:val="center"/>
          </w:tcPr>
          <w:p>
            <w:pPr>
              <w:adjustRightInd w:val="0"/>
              <w:snapToGrid w:val="0"/>
              <w:spacing w:line="240" w:lineRule="auto"/>
              <w:ind w:firstLine="0" w:firstLineChars="0"/>
              <w:jc w:val="center"/>
              <w:rPr>
                <w:rFonts w:ascii="仿宋" w:hAnsi="仿宋" w:eastAsia="仿宋"/>
                <w:sz w:val="22"/>
              </w:rPr>
            </w:pPr>
          </w:p>
        </w:tc>
        <w:tc>
          <w:tcPr>
            <w:tcW w:w="898" w:type="pct"/>
            <w:vAlign w:val="center"/>
          </w:tcPr>
          <w:p>
            <w:pPr>
              <w:adjustRightInd w:val="0"/>
              <w:snapToGrid w:val="0"/>
              <w:spacing w:line="240" w:lineRule="auto"/>
              <w:ind w:firstLine="0" w:firstLineChars="0"/>
              <w:jc w:val="center"/>
              <w:rPr>
                <w:rFonts w:ascii="仿宋" w:hAnsi="仿宋" w:eastAsia="仿宋"/>
                <w:sz w:val="22"/>
              </w:rPr>
            </w:pPr>
          </w:p>
        </w:tc>
        <w:tc>
          <w:tcPr>
            <w:tcW w:w="635" w:type="pct"/>
            <w:vAlign w:val="center"/>
          </w:tcPr>
          <w:p>
            <w:pPr>
              <w:adjustRightInd w:val="0"/>
              <w:snapToGrid w:val="0"/>
              <w:spacing w:line="240" w:lineRule="auto"/>
              <w:ind w:firstLine="0" w:firstLineChars="0"/>
              <w:jc w:val="center"/>
              <w:rPr>
                <w:rFonts w:ascii="仿宋" w:hAnsi="仿宋" w:eastAsia="仿宋"/>
                <w:sz w:val="22"/>
              </w:rPr>
            </w:pPr>
          </w:p>
        </w:tc>
        <w:tc>
          <w:tcPr>
            <w:tcW w:w="226" w:type="pct"/>
            <w:vAlign w:val="center"/>
          </w:tcPr>
          <w:p>
            <w:pPr>
              <w:adjustRightInd w:val="0"/>
              <w:snapToGrid w:val="0"/>
              <w:spacing w:line="240" w:lineRule="auto"/>
              <w:ind w:firstLine="0" w:firstLineChars="0"/>
              <w:jc w:val="center"/>
              <w:rPr>
                <w:rFonts w:ascii="仿宋" w:hAnsi="仿宋" w:eastAsia="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728" w:type="pct"/>
            <w:vAlign w:val="center"/>
          </w:tcPr>
          <w:p>
            <w:pPr>
              <w:adjustRightInd w:val="0"/>
              <w:snapToGrid w:val="0"/>
              <w:spacing w:line="240" w:lineRule="auto"/>
              <w:ind w:firstLine="0" w:firstLineChars="0"/>
              <w:jc w:val="center"/>
              <w:rPr>
                <w:rFonts w:ascii="仿宋" w:hAnsi="仿宋" w:eastAsia="仿宋"/>
                <w:sz w:val="22"/>
              </w:rPr>
            </w:pPr>
            <w:r>
              <w:rPr>
                <w:rFonts w:ascii="仿宋" w:hAnsi="仿宋" w:eastAsia="仿宋"/>
                <w:sz w:val="22"/>
              </w:rPr>
              <w:t>……</w:t>
            </w:r>
          </w:p>
        </w:tc>
        <w:tc>
          <w:tcPr>
            <w:tcW w:w="772" w:type="pct"/>
            <w:vAlign w:val="center"/>
          </w:tcPr>
          <w:p>
            <w:pPr>
              <w:adjustRightInd w:val="0"/>
              <w:snapToGrid w:val="0"/>
              <w:spacing w:line="240" w:lineRule="auto"/>
              <w:ind w:firstLine="0" w:firstLineChars="0"/>
              <w:jc w:val="center"/>
              <w:rPr>
                <w:rFonts w:ascii="仿宋" w:hAnsi="仿宋" w:eastAsia="仿宋"/>
                <w:sz w:val="22"/>
              </w:rPr>
            </w:pPr>
          </w:p>
        </w:tc>
        <w:tc>
          <w:tcPr>
            <w:tcW w:w="772" w:type="pct"/>
            <w:vAlign w:val="center"/>
          </w:tcPr>
          <w:p>
            <w:pPr>
              <w:adjustRightInd w:val="0"/>
              <w:snapToGrid w:val="0"/>
              <w:spacing w:line="240" w:lineRule="auto"/>
              <w:ind w:firstLine="0" w:firstLineChars="0"/>
              <w:jc w:val="center"/>
              <w:rPr>
                <w:rFonts w:ascii="仿宋" w:hAnsi="仿宋" w:eastAsia="仿宋"/>
                <w:sz w:val="22"/>
              </w:rPr>
            </w:pPr>
          </w:p>
        </w:tc>
        <w:tc>
          <w:tcPr>
            <w:tcW w:w="967" w:type="pct"/>
            <w:vAlign w:val="center"/>
          </w:tcPr>
          <w:p>
            <w:pPr>
              <w:adjustRightInd w:val="0"/>
              <w:snapToGrid w:val="0"/>
              <w:spacing w:line="240" w:lineRule="auto"/>
              <w:ind w:firstLine="0" w:firstLineChars="0"/>
              <w:jc w:val="center"/>
              <w:rPr>
                <w:rFonts w:ascii="仿宋" w:hAnsi="仿宋" w:eastAsia="仿宋"/>
                <w:sz w:val="22"/>
              </w:rPr>
            </w:pPr>
          </w:p>
        </w:tc>
        <w:tc>
          <w:tcPr>
            <w:tcW w:w="898" w:type="pct"/>
            <w:vAlign w:val="center"/>
          </w:tcPr>
          <w:p>
            <w:pPr>
              <w:adjustRightInd w:val="0"/>
              <w:snapToGrid w:val="0"/>
              <w:spacing w:line="240" w:lineRule="auto"/>
              <w:ind w:firstLine="0" w:firstLineChars="0"/>
              <w:jc w:val="center"/>
              <w:rPr>
                <w:rFonts w:ascii="仿宋" w:hAnsi="仿宋" w:eastAsia="仿宋"/>
                <w:sz w:val="22"/>
              </w:rPr>
            </w:pPr>
          </w:p>
        </w:tc>
        <w:tc>
          <w:tcPr>
            <w:tcW w:w="635" w:type="pct"/>
            <w:vAlign w:val="center"/>
          </w:tcPr>
          <w:p>
            <w:pPr>
              <w:adjustRightInd w:val="0"/>
              <w:snapToGrid w:val="0"/>
              <w:spacing w:line="240" w:lineRule="auto"/>
              <w:ind w:firstLine="0" w:firstLineChars="0"/>
              <w:jc w:val="center"/>
              <w:rPr>
                <w:rFonts w:ascii="仿宋" w:hAnsi="仿宋" w:eastAsia="仿宋"/>
                <w:sz w:val="22"/>
              </w:rPr>
            </w:pPr>
          </w:p>
        </w:tc>
        <w:tc>
          <w:tcPr>
            <w:tcW w:w="226" w:type="pct"/>
            <w:vAlign w:val="center"/>
          </w:tcPr>
          <w:p>
            <w:pPr>
              <w:adjustRightInd w:val="0"/>
              <w:snapToGrid w:val="0"/>
              <w:spacing w:line="240" w:lineRule="auto"/>
              <w:ind w:firstLine="0" w:firstLineChars="0"/>
              <w:jc w:val="center"/>
              <w:rPr>
                <w:rFonts w:ascii="仿宋" w:hAnsi="仿宋" w:eastAsia="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8" w:type="pct"/>
            <w:vAlign w:val="center"/>
          </w:tcPr>
          <w:p>
            <w:pPr>
              <w:adjustRightInd w:val="0"/>
              <w:snapToGrid w:val="0"/>
              <w:spacing w:line="240" w:lineRule="auto"/>
              <w:ind w:firstLine="0" w:firstLineChars="0"/>
              <w:jc w:val="center"/>
              <w:rPr>
                <w:rFonts w:ascii="仿宋" w:hAnsi="仿宋" w:eastAsia="仿宋"/>
                <w:sz w:val="22"/>
              </w:rPr>
            </w:pPr>
            <w:r>
              <w:rPr>
                <w:rFonts w:hint="eastAsia" w:ascii="仿宋" w:hAnsi="仿宋" w:eastAsia="仿宋"/>
                <w:sz w:val="22"/>
              </w:rPr>
              <w:t>……</w:t>
            </w:r>
          </w:p>
        </w:tc>
        <w:tc>
          <w:tcPr>
            <w:tcW w:w="772" w:type="pct"/>
            <w:vAlign w:val="center"/>
          </w:tcPr>
          <w:p>
            <w:pPr>
              <w:adjustRightInd w:val="0"/>
              <w:snapToGrid w:val="0"/>
              <w:spacing w:line="240" w:lineRule="auto"/>
              <w:ind w:firstLine="0" w:firstLineChars="0"/>
              <w:jc w:val="center"/>
              <w:rPr>
                <w:rFonts w:ascii="仿宋" w:hAnsi="仿宋" w:eastAsia="仿宋"/>
                <w:sz w:val="22"/>
              </w:rPr>
            </w:pPr>
          </w:p>
        </w:tc>
        <w:tc>
          <w:tcPr>
            <w:tcW w:w="772" w:type="pct"/>
            <w:vAlign w:val="center"/>
          </w:tcPr>
          <w:p>
            <w:pPr>
              <w:adjustRightInd w:val="0"/>
              <w:snapToGrid w:val="0"/>
              <w:spacing w:line="240" w:lineRule="auto"/>
              <w:ind w:firstLine="0" w:firstLineChars="0"/>
              <w:jc w:val="center"/>
              <w:rPr>
                <w:rFonts w:ascii="仿宋" w:hAnsi="仿宋" w:eastAsia="仿宋"/>
                <w:sz w:val="22"/>
              </w:rPr>
            </w:pPr>
          </w:p>
        </w:tc>
        <w:tc>
          <w:tcPr>
            <w:tcW w:w="967" w:type="pct"/>
            <w:vAlign w:val="center"/>
          </w:tcPr>
          <w:p>
            <w:pPr>
              <w:adjustRightInd w:val="0"/>
              <w:snapToGrid w:val="0"/>
              <w:spacing w:line="240" w:lineRule="auto"/>
              <w:ind w:firstLine="0" w:firstLineChars="0"/>
              <w:jc w:val="center"/>
              <w:rPr>
                <w:rFonts w:ascii="仿宋" w:hAnsi="仿宋" w:eastAsia="仿宋"/>
                <w:sz w:val="22"/>
              </w:rPr>
            </w:pPr>
          </w:p>
        </w:tc>
        <w:tc>
          <w:tcPr>
            <w:tcW w:w="898" w:type="pct"/>
            <w:vAlign w:val="center"/>
          </w:tcPr>
          <w:p>
            <w:pPr>
              <w:adjustRightInd w:val="0"/>
              <w:snapToGrid w:val="0"/>
              <w:spacing w:line="240" w:lineRule="auto"/>
              <w:ind w:firstLine="0" w:firstLineChars="0"/>
              <w:jc w:val="center"/>
              <w:rPr>
                <w:rFonts w:ascii="仿宋" w:hAnsi="仿宋" w:eastAsia="仿宋"/>
                <w:sz w:val="22"/>
              </w:rPr>
            </w:pPr>
          </w:p>
        </w:tc>
        <w:tc>
          <w:tcPr>
            <w:tcW w:w="635" w:type="pct"/>
            <w:vAlign w:val="center"/>
          </w:tcPr>
          <w:p>
            <w:pPr>
              <w:adjustRightInd w:val="0"/>
              <w:snapToGrid w:val="0"/>
              <w:spacing w:line="240" w:lineRule="auto"/>
              <w:ind w:firstLine="0" w:firstLineChars="0"/>
              <w:jc w:val="center"/>
              <w:rPr>
                <w:rFonts w:ascii="仿宋" w:hAnsi="仿宋" w:eastAsia="仿宋"/>
                <w:sz w:val="22"/>
              </w:rPr>
            </w:pPr>
          </w:p>
        </w:tc>
        <w:tc>
          <w:tcPr>
            <w:tcW w:w="226" w:type="pct"/>
            <w:vAlign w:val="center"/>
          </w:tcPr>
          <w:p>
            <w:pPr>
              <w:adjustRightInd w:val="0"/>
              <w:snapToGrid w:val="0"/>
              <w:spacing w:line="240" w:lineRule="auto"/>
              <w:ind w:firstLine="0" w:firstLineChars="0"/>
              <w:jc w:val="center"/>
              <w:rPr>
                <w:rFonts w:ascii="仿宋" w:hAnsi="仿宋" w:eastAsia="仿宋"/>
                <w:sz w:val="22"/>
              </w:rPr>
            </w:pPr>
          </w:p>
        </w:tc>
      </w:tr>
    </w:tbl>
    <w:p>
      <w:pPr>
        <w:pStyle w:val="3"/>
        <w:adjustRightInd w:val="0"/>
        <w:snapToGrid w:val="0"/>
        <w:ind w:firstLine="640"/>
        <w:rPr>
          <w:rFonts w:ascii="楷体_GB2312" w:hAnsi="楷体_GB2312" w:eastAsia="楷体_GB2312" w:cs="楷体_GB2312"/>
        </w:rPr>
      </w:pPr>
      <w:bookmarkStart w:id="52" w:name="_Toc13428"/>
      <w:bookmarkStart w:id="53" w:name="_Toc22431"/>
      <w:bookmarkStart w:id="54" w:name="_Toc15634"/>
      <w:bookmarkStart w:id="55" w:name="_Toc1660810456"/>
      <w:bookmarkStart w:id="56" w:name="_Toc6831"/>
      <w:bookmarkStart w:id="57" w:name="_Toc25000"/>
      <w:r>
        <w:rPr>
          <w:rFonts w:hint="eastAsia" w:ascii="楷体_GB2312" w:hAnsi="楷体_GB2312" w:eastAsia="楷体_GB2312" w:cs="楷体_GB2312"/>
        </w:rPr>
        <w:t>2.4</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现状声环境评价结论</w:t>
      </w:r>
      <w:bookmarkEnd w:id="52"/>
      <w:bookmarkEnd w:id="53"/>
      <w:bookmarkEnd w:id="54"/>
    </w:p>
    <w:p>
      <w:pPr>
        <w:pStyle w:val="5"/>
        <w:ind w:firstLine="640"/>
        <w:rPr>
          <w:rFonts w:hint="eastAsia"/>
        </w:rPr>
      </w:pPr>
      <w:r>
        <w:t>给出评价范围内</w:t>
      </w:r>
      <w:r>
        <w:rPr>
          <w:rFonts w:hint="eastAsia"/>
        </w:rPr>
        <w:t>的现状声环境评价结论，说明现状主要声源来源、项目建成后主要噪声源来源及其等效声级。</w:t>
      </w:r>
    </w:p>
    <w:p>
      <w:pPr>
        <w:pStyle w:val="2"/>
        <w:spacing w:before="156" w:beforeLines="50" w:line="560" w:lineRule="exact"/>
      </w:pPr>
      <w:bookmarkStart w:id="58" w:name="_Toc23578"/>
      <w:bookmarkStart w:id="59" w:name="_Toc15813"/>
      <w:bookmarkStart w:id="60" w:name="_Toc15320"/>
      <w:r>
        <w:rPr>
          <w:rFonts w:hint="eastAsia"/>
        </w:rPr>
        <w:t>3 声环境模拟预测</w:t>
      </w:r>
      <w:bookmarkEnd w:id="55"/>
      <w:bookmarkEnd w:id="56"/>
      <w:bookmarkEnd w:id="57"/>
      <w:bookmarkEnd w:id="58"/>
      <w:bookmarkEnd w:id="59"/>
      <w:bookmarkEnd w:id="60"/>
    </w:p>
    <w:p>
      <w:pPr>
        <w:pStyle w:val="3"/>
        <w:adjustRightInd w:val="0"/>
        <w:snapToGrid w:val="0"/>
        <w:ind w:firstLine="640"/>
        <w:rPr>
          <w:rFonts w:ascii="楷体_GB2312" w:hAnsi="楷体_GB2312" w:eastAsia="楷体_GB2312" w:cs="楷体_GB2312"/>
        </w:rPr>
      </w:pPr>
      <w:bookmarkStart w:id="61" w:name="_Toc2066775920"/>
      <w:bookmarkStart w:id="62" w:name="_Toc23076"/>
      <w:bookmarkStart w:id="63" w:name="_Toc12092"/>
      <w:bookmarkStart w:id="64" w:name="_Toc11010"/>
      <w:bookmarkStart w:id="65" w:name="_Toc22277"/>
      <w:bookmarkStart w:id="66" w:name="_Toc5463"/>
      <w:r>
        <w:rPr>
          <w:rFonts w:hint="eastAsia" w:ascii="楷体_GB2312" w:hAnsi="楷体_GB2312" w:eastAsia="楷体_GB2312" w:cs="楷体_GB2312"/>
        </w:rPr>
        <w:t>3.1</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模拟方法</w:t>
      </w:r>
      <w:bookmarkEnd w:id="61"/>
      <w:bookmarkEnd w:id="62"/>
      <w:bookmarkEnd w:id="63"/>
      <w:bookmarkEnd w:id="64"/>
      <w:bookmarkEnd w:id="65"/>
      <w:bookmarkEnd w:id="66"/>
    </w:p>
    <w:p>
      <w:pPr>
        <w:pStyle w:val="5"/>
        <w:adjustRightInd w:val="0"/>
        <w:snapToGrid w:val="0"/>
        <w:ind w:firstLine="640"/>
        <w:rPr>
          <w:rFonts w:ascii="仿宋_GB2312" w:hAnsi="仿宋_GB2312" w:cs="仿宋_GB2312"/>
        </w:rPr>
      </w:pPr>
      <w:r>
        <w:rPr>
          <w:rFonts w:hint="eastAsia" w:ascii="仿宋_GB2312" w:hAnsi="仿宋_GB2312" w:cs="仿宋_GB2312"/>
        </w:rPr>
        <w:t>介绍采用的声环境模拟分析方法，包括采用的声学模拟软件名称及版本、声学模拟软件的执行标准说明、噪声预测建模情况及计算原理、模拟分析参数详细设置（声源高度、地面吸收系数、空气吸收、温度湿度等）、模拟输出结果，便于审查和复现。模拟预测方法应符合《环境影响评价技术导则 声环境》（HJ2.4-2021）、《声学 户外声传播衰减》（GB/T 17247）、《声屏障声学设计和测量规范》（HJ/T 90）等标准规范要求。</w:t>
      </w:r>
    </w:p>
    <w:p>
      <w:pPr>
        <w:pStyle w:val="3"/>
        <w:ind w:firstLine="640"/>
        <w:rPr>
          <w:rFonts w:ascii="楷体_GB2312" w:hAnsi="楷体_GB2312" w:eastAsia="楷体_GB2312" w:cs="楷体_GB2312"/>
        </w:rPr>
      </w:pPr>
      <w:bookmarkStart w:id="67" w:name="_Toc3123"/>
      <w:bookmarkStart w:id="68" w:name="_Toc25197"/>
      <w:bookmarkStart w:id="69" w:name="_Toc1253963005"/>
      <w:bookmarkStart w:id="70" w:name="_Toc12276"/>
      <w:bookmarkStart w:id="71" w:name="_Toc26439"/>
      <w:bookmarkStart w:id="72" w:name="_Toc12180"/>
      <w:r>
        <w:rPr>
          <w:rFonts w:hint="eastAsia" w:ascii="楷体_GB2312" w:hAnsi="楷体_GB2312" w:eastAsia="楷体_GB2312" w:cs="楷体_GB2312"/>
        </w:rPr>
        <w:t>3.2</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现场实测校验</w:t>
      </w:r>
      <w:bookmarkEnd w:id="67"/>
      <w:bookmarkEnd w:id="68"/>
      <w:bookmarkEnd w:id="69"/>
      <w:bookmarkEnd w:id="70"/>
      <w:bookmarkEnd w:id="71"/>
      <w:bookmarkEnd w:id="72"/>
    </w:p>
    <w:p>
      <w:pPr>
        <w:widowControl/>
        <w:adjustRightInd w:val="0"/>
        <w:snapToGrid w:val="0"/>
        <w:ind w:firstLine="640"/>
        <w:jc w:val="left"/>
        <w:rPr>
          <w:rFonts w:ascii="仿宋_GB2312" w:hAnsi="仿宋_GB2312" w:cs="仿宋_GB2312"/>
          <w:szCs w:val="32"/>
        </w:rPr>
      </w:pPr>
      <w:r>
        <w:rPr>
          <w:rFonts w:hint="eastAsia"/>
          <w:szCs w:val="32"/>
        </w:rPr>
        <w:t>基于现状监测调查结果，开展</w:t>
      </w:r>
      <w:r>
        <w:rPr>
          <w:rFonts w:hint="eastAsia" w:ascii="仿宋_GB2312" w:hAnsi="仿宋_GB2312" w:cs="仿宋_GB2312"/>
          <w:szCs w:val="32"/>
        </w:rPr>
        <w:t>现场实测校验，对比现状模拟数据和现场实测数据，验证声环境模拟分析方法的准确性，现状模拟结果和实测结果在允许误差范围内（≤3dB）时，认为模拟有效，有效点位比例应≥80%。提供模拟数据和实测数据统计表（表3-1）。</w:t>
      </w:r>
    </w:p>
    <w:p>
      <w:pPr>
        <w:ind w:firstLine="0" w:firstLineChars="0"/>
        <w:jc w:val="center"/>
        <w:rPr>
          <w:rFonts w:ascii="黑体" w:hAnsi="黑体" w:eastAsia="黑体" w:cs="黑体"/>
          <w:sz w:val="28"/>
          <w:szCs w:val="28"/>
        </w:rPr>
      </w:pPr>
      <w:r>
        <w:rPr>
          <w:rFonts w:hint="eastAsia" w:ascii="黑体" w:hAnsi="黑体" w:eastAsia="黑体" w:cs="黑体"/>
          <w:sz w:val="28"/>
          <w:szCs w:val="28"/>
        </w:rPr>
        <w:t>表 3-1 典型点位声环境模拟及实测结果统计表</w:t>
      </w:r>
    </w:p>
    <w:tbl>
      <w:tblPr>
        <w:tblStyle w:val="20"/>
        <w:tblpPr w:leftFromText="180" w:rightFromText="180" w:vertAnchor="text" w:horzAnchor="page" w:tblpX="1794" w:tblpY="539"/>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93"/>
        <w:gridCol w:w="1005"/>
        <w:gridCol w:w="1024"/>
        <w:gridCol w:w="964"/>
        <w:gridCol w:w="1040"/>
        <w:gridCol w:w="989"/>
        <w:gridCol w:w="1171"/>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76" w:hRule="atLeast"/>
        </w:trPr>
        <w:tc>
          <w:tcPr>
            <w:tcW w:w="594"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b/>
                <w:sz w:val="22"/>
              </w:rPr>
            </w:pPr>
            <w:r>
              <w:rPr>
                <w:rFonts w:hint="eastAsia" w:ascii="仿宋" w:hAnsi="仿宋" w:eastAsia="仿宋"/>
                <w:b/>
                <w:sz w:val="22"/>
              </w:rPr>
              <w:t>监测点位</w:t>
            </w:r>
          </w:p>
        </w:tc>
        <w:tc>
          <w:tcPr>
            <w:tcW w:w="601"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b/>
                <w:sz w:val="22"/>
              </w:rPr>
            </w:pPr>
            <w:r>
              <w:rPr>
                <w:rFonts w:hint="eastAsia" w:ascii="仿宋" w:hAnsi="仿宋" w:eastAsia="仿宋"/>
                <w:b/>
                <w:sz w:val="22"/>
              </w:rPr>
              <w:t>模拟数据</w:t>
            </w:r>
          </w:p>
          <w:p>
            <w:pPr>
              <w:spacing w:line="360" w:lineRule="auto"/>
              <w:ind w:firstLine="0" w:firstLineChars="0"/>
              <w:jc w:val="center"/>
              <w:rPr>
                <w:rFonts w:ascii="宋体"/>
              </w:rPr>
            </w:pPr>
            <w:r>
              <w:rPr>
                <w:rFonts w:hint="eastAsia" w:ascii="仿宋" w:hAnsi="仿宋" w:eastAsia="仿宋"/>
                <w:b/>
                <w:sz w:val="22"/>
              </w:rPr>
              <w:t>（昼间）</w:t>
            </w:r>
          </w:p>
        </w:tc>
        <w:tc>
          <w:tcPr>
            <w:tcW w:w="612"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b/>
                <w:sz w:val="22"/>
              </w:rPr>
            </w:pPr>
            <w:r>
              <w:rPr>
                <w:rFonts w:hint="eastAsia" w:ascii="仿宋" w:hAnsi="仿宋" w:eastAsia="仿宋"/>
                <w:b/>
                <w:sz w:val="22"/>
              </w:rPr>
              <w:t>实测数据</w:t>
            </w:r>
          </w:p>
          <w:p>
            <w:pPr>
              <w:spacing w:line="360" w:lineRule="auto"/>
              <w:ind w:firstLine="0" w:firstLineChars="0"/>
              <w:jc w:val="center"/>
              <w:rPr>
                <w:rFonts w:ascii="宋体"/>
              </w:rPr>
            </w:pPr>
            <w:r>
              <w:rPr>
                <w:rFonts w:hint="eastAsia" w:ascii="仿宋" w:hAnsi="仿宋" w:eastAsia="仿宋"/>
                <w:b/>
                <w:sz w:val="22"/>
              </w:rPr>
              <w:t>（昼间）</w:t>
            </w:r>
          </w:p>
        </w:tc>
        <w:tc>
          <w:tcPr>
            <w:tcW w:w="576"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b/>
                <w:sz w:val="22"/>
              </w:rPr>
            </w:pPr>
            <w:r>
              <w:rPr>
                <w:rFonts w:hint="eastAsia" w:ascii="仿宋" w:hAnsi="仿宋" w:eastAsia="仿宋"/>
                <w:b/>
                <w:sz w:val="22"/>
              </w:rPr>
              <w:t>误差值</w:t>
            </w:r>
          </w:p>
          <w:p>
            <w:pPr>
              <w:spacing w:line="360" w:lineRule="auto"/>
              <w:ind w:firstLine="0" w:firstLineChars="0"/>
              <w:jc w:val="center"/>
              <w:rPr>
                <w:rFonts w:ascii="宋体"/>
              </w:rPr>
            </w:pPr>
            <w:r>
              <w:rPr>
                <w:rFonts w:hint="eastAsia" w:ascii="仿宋" w:hAnsi="仿宋" w:eastAsia="仿宋"/>
                <w:b/>
                <w:sz w:val="22"/>
              </w:rPr>
              <w:t>dB(A)</w:t>
            </w:r>
          </w:p>
        </w:tc>
        <w:tc>
          <w:tcPr>
            <w:tcW w:w="622"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b/>
                <w:sz w:val="22"/>
              </w:rPr>
            </w:pPr>
            <w:r>
              <w:rPr>
                <w:rFonts w:hint="eastAsia" w:ascii="仿宋" w:hAnsi="仿宋" w:eastAsia="仿宋"/>
                <w:b/>
                <w:sz w:val="22"/>
              </w:rPr>
              <w:t>模拟数据</w:t>
            </w:r>
          </w:p>
          <w:p>
            <w:pPr>
              <w:spacing w:line="360" w:lineRule="auto"/>
              <w:ind w:firstLine="0" w:firstLineChars="0"/>
              <w:jc w:val="center"/>
              <w:rPr>
                <w:rFonts w:ascii="仿宋" w:hAnsi="仿宋" w:eastAsia="仿宋"/>
                <w:b/>
                <w:sz w:val="22"/>
              </w:rPr>
            </w:pPr>
            <w:r>
              <w:rPr>
                <w:rFonts w:hint="eastAsia" w:ascii="仿宋" w:hAnsi="仿宋" w:eastAsia="仿宋"/>
                <w:b/>
                <w:sz w:val="22"/>
              </w:rPr>
              <w:t>（夜间）</w:t>
            </w:r>
          </w:p>
        </w:tc>
        <w:tc>
          <w:tcPr>
            <w:tcW w:w="591"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b/>
                <w:sz w:val="22"/>
              </w:rPr>
            </w:pPr>
            <w:r>
              <w:rPr>
                <w:rFonts w:hint="eastAsia" w:ascii="仿宋" w:hAnsi="仿宋" w:eastAsia="仿宋"/>
                <w:b/>
                <w:sz w:val="22"/>
              </w:rPr>
              <w:t>实测数据</w:t>
            </w:r>
          </w:p>
          <w:p>
            <w:pPr>
              <w:spacing w:line="360" w:lineRule="auto"/>
              <w:ind w:firstLine="0" w:firstLineChars="0"/>
              <w:jc w:val="center"/>
              <w:rPr>
                <w:rFonts w:ascii="仿宋" w:hAnsi="仿宋" w:eastAsia="仿宋"/>
                <w:b/>
                <w:sz w:val="22"/>
              </w:rPr>
            </w:pPr>
            <w:r>
              <w:rPr>
                <w:rFonts w:hint="eastAsia" w:ascii="仿宋" w:hAnsi="仿宋" w:eastAsia="仿宋"/>
                <w:b/>
                <w:sz w:val="22"/>
              </w:rPr>
              <w:t>（夜间）</w:t>
            </w: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b/>
                <w:sz w:val="22"/>
              </w:rPr>
            </w:pPr>
            <w:r>
              <w:rPr>
                <w:rFonts w:hint="eastAsia" w:ascii="仿宋" w:hAnsi="仿宋" w:eastAsia="仿宋"/>
                <w:b/>
                <w:sz w:val="22"/>
              </w:rPr>
              <w:t>误差值</w:t>
            </w:r>
          </w:p>
          <w:p>
            <w:pPr>
              <w:spacing w:line="360" w:lineRule="auto"/>
              <w:ind w:firstLine="0" w:firstLineChars="0"/>
              <w:jc w:val="center"/>
              <w:rPr>
                <w:rFonts w:ascii="宋体"/>
              </w:rPr>
            </w:pPr>
            <w:r>
              <w:rPr>
                <w:rFonts w:hint="eastAsia" w:ascii="仿宋" w:hAnsi="仿宋" w:eastAsia="仿宋"/>
                <w:b/>
                <w:sz w:val="22"/>
              </w:rPr>
              <w:t>dB(A)</w:t>
            </w: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b/>
                <w:sz w:val="22"/>
              </w:rPr>
            </w:pPr>
            <w:r>
              <w:rPr>
                <w:rFonts w:hint="eastAsia" w:ascii="仿宋" w:hAnsi="仿宋" w:eastAsia="仿宋"/>
                <w:b/>
                <w:sz w:val="22"/>
              </w:rPr>
              <w:t>是否有效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94"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r>
              <w:rPr>
                <w:rFonts w:hint="eastAsia" w:ascii="仿宋" w:hAnsi="仿宋" w:eastAsia="仿宋"/>
                <w:sz w:val="22"/>
              </w:rPr>
              <w:t>点位1</w:t>
            </w:r>
          </w:p>
        </w:tc>
        <w:tc>
          <w:tcPr>
            <w:tcW w:w="601"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612"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576"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622"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591"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94"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r>
              <w:rPr>
                <w:rFonts w:hint="eastAsia" w:ascii="仿宋" w:hAnsi="仿宋" w:eastAsia="仿宋"/>
                <w:sz w:val="22"/>
              </w:rPr>
              <w:t>点位2</w:t>
            </w:r>
          </w:p>
        </w:tc>
        <w:tc>
          <w:tcPr>
            <w:tcW w:w="601"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612"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576"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622"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591"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94"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r>
              <w:rPr>
                <w:rFonts w:hint="eastAsia" w:ascii="仿宋" w:hAnsi="仿宋" w:eastAsia="仿宋"/>
                <w:sz w:val="22"/>
              </w:rPr>
              <w:t>点位3</w:t>
            </w:r>
          </w:p>
        </w:tc>
        <w:tc>
          <w:tcPr>
            <w:tcW w:w="601"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612"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576"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622"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591"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94"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r>
              <w:rPr>
                <w:rFonts w:hint="eastAsia" w:ascii="仿宋" w:hAnsi="仿宋" w:eastAsia="仿宋"/>
                <w:sz w:val="22"/>
              </w:rPr>
              <w:t>……</w:t>
            </w:r>
          </w:p>
        </w:tc>
        <w:tc>
          <w:tcPr>
            <w:tcW w:w="601"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612"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576"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622"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591"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0" w:firstLineChars="0"/>
              <w:jc w:val="center"/>
              <w:rPr>
                <w:rFonts w:ascii="仿宋" w:hAnsi="仿宋" w:eastAsia="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94" w:type="pct"/>
            <w:tcBorders>
              <w:top w:val="single" w:color="auto" w:sz="4" w:space="0"/>
              <w:left w:val="single" w:color="auto" w:sz="4" w:space="0"/>
              <w:bottom w:val="single" w:color="auto" w:sz="4" w:space="0"/>
              <w:right w:val="single" w:color="auto" w:sz="4" w:space="0"/>
              <w:tl2br w:val="nil"/>
              <w:tr2bl w:val="nil"/>
            </w:tcBorders>
          </w:tcPr>
          <w:p>
            <w:pPr>
              <w:spacing w:line="360" w:lineRule="auto"/>
              <w:ind w:firstLine="0" w:firstLineChars="0"/>
              <w:jc w:val="center"/>
              <w:rPr>
                <w:rFonts w:ascii="仿宋" w:hAnsi="仿宋" w:eastAsia="仿宋"/>
                <w:sz w:val="22"/>
              </w:rPr>
            </w:pPr>
            <w:r>
              <w:rPr>
                <w:rFonts w:hint="eastAsia" w:ascii="仿宋" w:hAnsi="仿宋" w:eastAsia="仿宋"/>
                <w:sz w:val="22"/>
              </w:rPr>
              <w:t>有效点位比例</w:t>
            </w:r>
          </w:p>
        </w:tc>
        <w:tc>
          <w:tcPr>
            <w:tcW w:w="601" w:type="pct"/>
            <w:tcBorders>
              <w:top w:val="single" w:color="auto" w:sz="4" w:space="0"/>
              <w:left w:val="single" w:color="auto" w:sz="4" w:space="0"/>
              <w:bottom w:val="single" w:color="auto" w:sz="4" w:space="0"/>
              <w:right w:val="single" w:color="auto" w:sz="4" w:space="0"/>
              <w:tl2br w:val="nil"/>
              <w:tr2bl w:val="nil"/>
            </w:tcBorders>
          </w:tcPr>
          <w:p>
            <w:pPr>
              <w:spacing w:line="360" w:lineRule="auto"/>
              <w:ind w:firstLine="0" w:firstLineChars="0"/>
              <w:jc w:val="center"/>
              <w:rPr>
                <w:rFonts w:ascii="仿宋" w:hAnsi="仿宋" w:eastAsia="仿宋"/>
                <w:sz w:val="22"/>
              </w:rPr>
            </w:pPr>
            <w:r>
              <w:rPr>
                <w:rFonts w:hint="eastAsia" w:ascii="仿宋" w:hAnsi="仿宋" w:eastAsia="仿宋"/>
                <w:sz w:val="22"/>
              </w:rPr>
              <w:t>-</w:t>
            </w:r>
          </w:p>
        </w:tc>
        <w:tc>
          <w:tcPr>
            <w:tcW w:w="612" w:type="pct"/>
            <w:tcBorders>
              <w:top w:val="single" w:color="auto" w:sz="4" w:space="0"/>
              <w:left w:val="single" w:color="auto" w:sz="4" w:space="0"/>
              <w:bottom w:val="single" w:color="auto" w:sz="4" w:space="0"/>
              <w:right w:val="single" w:color="auto" w:sz="4" w:space="0"/>
              <w:tl2br w:val="nil"/>
              <w:tr2bl w:val="nil"/>
            </w:tcBorders>
          </w:tcPr>
          <w:p>
            <w:pPr>
              <w:spacing w:line="360" w:lineRule="auto"/>
              <w:ind w:firstLine="0" w:firstLineChars="0"/>
              <w:jc w:val="center"/>
              <w:rPr>
                <w:rFonts w:ascii="仿宋" w:hAnsi="仿宋" w:eastAsia="仿宋"/>
                <w:sz w:val="22"/>
              </w:rPr>
            </w:pPr>
            <w:r>
              <w:rPr>
                <w:rFonts w:hint="eastAsia" w:ascii="仿宋" w:hAnsi="仿宋" w:eastAsia="仿宋"/>
                <w:sz w:val="22"/>
              </w:rPr>
              <w:t>-</w:t>
            </w:r>
          </w:p>
        </w:tc>
        <w:tc>
          <w:tcPr>
            <w:tcW w:w="576" w:type="pct"/>
            <w:tcBorders>
              <w:top w:val="single" w:color="auto" w:sz="4" w:space="0"/>
              <w:left w:val="single" w:color="auto" w:sz="4" w:space="0"/>
              <w:bottom w:val="single" w:color="auto" w:sz="4" w:space="0"/>
              <w:right w:val="single" w:color="auto" w:sz="4" w:space="0"/>
              <w:tl2br w:val="nil"/>
              <w:tr2bl w:val="nil"/>
            </w:tcBorders>
          </w:tcPr>
          <w:p>
            <w:pPr>
              <w:spacing w:line="360" w:lineRule="auto"/>
              <w:ind w:firstLine="0" w:firstLineChars="0"/>
              <w:jc w:val="center"/>
              <w:rPr>
                <w:rFonts w:ascii="仿宋" w:hAnsi="仿宋" w:eastAsia="仿宋"/>
                <w:sz w:val="22"/>
              </w:rPr>
            </w:pPr>
            <w:r>
              <w:rPr>
                <w:rFonts w:hint="eastAsia" w:ascii="仿宋" w:hAnsi="仿宋" w:eastAsia="仿宋"/>
                <w:sz w:val="22"/>
              </w:rPr>
              <w:t>-</w:t>
            </w:r>
          </w:p>
        </w:tc>
        <w:tc>
          <w:tcPr>
            <w:tcW w:w="622" w:type="pct"/>
            <w:tcBorders>
              <w:top w:val="single" w:color="auto" w:sz="4" w:space="0"/>
              <w:left w:val="single" w:color="auto" w:sz="4" w:space="0"/>
              <w:bottom w:val="single" w:color="auto" w:sz="4" w:space="0"/>
              <w:right w:val="single" w:color="auto" w:sz="4" w:space="0"/>
              <w:tl2br w:val="nil"/>
              <w:tr2bl w:val="nil"/>
            </w:tcBorders>
          </w:tcPr>
          <w:p>
            <w:pPr>
              <w:spacing w:line="360" w:lineRule="auto"/>
              <w:ind w:firstLine="0" w:firstLineChars="0"/>
              <w:jc w:val="center"/>
              <w:rPr>
                <w:rFonts w:ascii="仿宋" w:hAnsi="仿宋" w:eastAsia="仿宋"/>
                <w:sz w:val="22"/>
              </w:rPr>
            </w:pPr>
            <w:r>
              <w:rPr>
                <w:rFonts w:hint="eastAsia" w:ascii="仿宋" w:hAnsi="仿宋" w:eastAsia="仿宋"/>
                <w:sz w:val="22"/>
              </w:rPr>
              <w:t>-</w:t>
            </w:r>
          </w:p>
        </w:tc>
        <w:tc>
          <w:tcPr>
            <w:tcW w:w="591" w:type="pct"/>
            <w:tcBorders>
              <w:top w:val="single" w:color="auto" w:sz="4" w:space="0"/>
              <w:left w:val="single" w:color="auto" w:sz="4" w:space="0"/>
              <w:bottom w:val="single" w:color="auto" w:sz="4" w:space="0"/>
              <w:right w:val="single" w:color="auto" w:sz="4" w:space="0"/>
              <w:tl2br w:val="nil"/>
              <w:tr2bl w:val="nil"/>
            </w:tcBorders>
          </w:tcPr>
          <w:p>
            <w:pPr>
              <w:spacing w:line="360" w:lineRule="auto"/>
              <w:ind w:firstLine="0" w:firstLineChars="0"/>
              <w:jc w:val="center"/>
              <w:rPr>
                <w:rFonts w:ascii="仿宋" w:hAnsi="仿宋" w:eastAsia="仿宋"/>
                <w:sz w:val="22"/>
              </w:rPr>
            </w:pPr>
            <w:r>
              <w:rPr>
                <w:rFonts w:hint="eastAsia" w:ascii="仿宋" w:hAnsi="仿宋" w:eastAsia="仿宋"/>
                <w:sz w:val="22"/>
              </w:rPr>
              <w:t>-</w:t>
            </w:r>
          </w:p>
        </w:tc>
        <w:tc>
          <w:tcPr>
            <w:tcW w:w="700" w:type="pct"/>
            <w:tcBorders>
              <w:top w:val="single" w:color="auto" w:sz="4" w:space="0"/>
              <w:left w:val="single" w:color="auto" w:sz="4" w:space="0"/>
              <w:bottom w:val="single" w:color="auto" w:sz="4" w:space="0"/>
              <w:right w:val="single" w:color="auto" w:sz="4" w:space="0"/>
              <w:tl2br w:val="nil"/>
              <w:tr2bl w:val="nil"/>
            </w:tcBorders>
          </w:tcPr>
          <w:p>
            <w:pPr>
              <w:spacing w:line="360" w:lineRule="auto"/>
              <w:ind w:firstLine="0" w:firstLineChars="0"/>
              <w:jc w:val="center"/>
              <w:rPr>
                <w:rFonts w:ascii="仿宋" w:hAnsi="仿宋" w:eastAsia="仿宋"/>
                <w:sz w:val="22"/>
              </w:rPr>
            </w:pPr>
            <w:r>
              <w:rPr>
                <w:rFonts w:hint="eastAsia" w:ascii="仿宋" w:hAnsi="仿宋" w:eastAsia="仿宋"/>
                <w:sz w:val="22"/>
              </w:rPr>
              <w:t>-</w:t>
            </w:r>
          </w:p>
        </w:tc>
        <w:tc>
          <w:tcPr>
            <w:tcW w:w="700" w:type="pct"/>
            <w:tcBorders>
              <w:top w:val="single" w:color="auto" w:sz="4" w:space="0"/>
              <w:left w:val="single" w:color="auto" w:sz="4" w:space="0"/>
              <w:bottom w:val="single" w:color="auto" w:sz="4" w:space="0"/>
              <w:right w:val="single" w:color="auto" w:sz="4" w:space="0"/>
              <w:tl2br w:val="nil"/>
              <w:tr2bl w:val="nil"/>
            </w:tcBorders>
          </w:tcPr>
          <w:p>
            <w:pPr>
              <w:spacing w:line="360" w:lineRule="auto"/>
              <w:ind w:firstLine="0" w:firstLineChars="0"/>
              <w:jc w:val="center"/>
              <w:rPr>
                <w:rFonts w:ascii="仿宋" w:hAnsi="仿宋" w:eastAsia="仿宋"/>
                <w:sz w:val="22"/>
              </w:rPr>
            </w:pPr>
          </w:p>
        </w:tc>
      </w:tr>
    </w:tbl>
    <w:p>
      <w:pPr>
        <w:ind w:firstLine="0" w:firstLineChars="0"/>
        <w:rPr>
          <w:rFonts w:ascii="黑体" w:hAnsi="黑体" w:eastAsia="黑体" w:cs="黑体"/>
          <w:sz w:val="28"/>
          <w:szCs w:val="28"/>
        </w:rPr>
      </w:pPr>
    </w:p>
    <w:p>
      <w:pPr>
        <w:pStyle w:val="3"/>
        <w:adjustRightInd w:val="0"/>
        <w:snapToGrid w:val="0"/>
        <w:ind w:firstLine="640"/>
        <w:rPr>
          <w:rFonts w:ascii="楷体_GB2312" w:hAnsi="楷体_GB2312" w:eastAsia="楷体_GB2312" w:cs="楷体_GB2312"/>
        </w:rPr>
      </w:pPr>
      <w:bookmarkStart w:id="73" w:name="_Toc3569"/>
      <w:bookmarkStart w:id="74" w:name="_Toc32562"/>
      <w:bookmarkStart w:id="75" w:name="_Toc12020"/>
      <w:bookmarkStart w:id="76" w:name="_Toc1870483342"/>
      <w:bookmarkStart w:id="77" w:name="_Toc22405"/>
      <w:bookmarkStart w:id="78" w:name="_Toc5099"/>
      <w:r>
        <w:rPr>
          <w:rFonts w:hint="eastAsia" w:ascii="楷体_GB2312" w:hAnsi="楷体_GB2312" w:eastAsia="楷体_GB2312" w:cs="楷体_GB2312"/>
        </w:rPr>
        <w:t>3.3</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未采取噪声防治措施的规划方案模拟</w:t>
      </w:r>
      <w:bookmarkEnd w:id="73"/>
      <w:bookmarkEnd w:id="74"/>
      <w:bookmarkEnd w:id="75"/>
    </w:p>
    <w:p>
      <w:pPr>
        <w:pStyle w:val="5"/>
        <w:ind w:firstLine="640"/>
        <w:rPr>
          <w:rFonts w:ascii="仿宋_GB2312" w:hAnsi="仿宋_GB2312" w:cs="仿宋_GB2312"/>
        </w:rPr>
      </w:pPr>
      <w:r>
        <w:rPr>
          <w:rFonts w:hint="eastAsia" w:ascii="仿宋_GB2312" w:hAnsi="仿宋_GB2312" w:cs="仿宋_GB2312"/>
        </w:rPr>
        <w:t>对未采取噪声防治措施的规划方案进行噪声预测模拟，评价拟建敏感建筑物的超标情况。列表给出评价范围内的拟建敏感建筑物超标和达标情况，展示关键数据和统计结论。</w:t>
      </w:r>
    </w:p>
    <w:p>
      <w:pPr>
        <w:pStyle w:val="5"/>
        <w:ind w:firstLine="640"/>
        <w:rPr>
          <w:rFonts w:ascii="仿宋_GB2312" w:hAnsi="仿宋_GB2312" w:cs="仿宋_GB2312"/>
        </w:rPr>
      </w:pPr>
      <w:r>
        <w:rPr>
          <w:rFonts w:hint="eastAsia" w:ascii="仿宋_GB2312" w:hAnsi="仿宋_GB2312" w:cs="仿宋_GB2312"/>
        </w:rPr>
        <w:t>评价</w:t>
      </w:r>
      <w:r>
        <w:rPr>
          <w:rFonts w:hint="eastAsia" w:ascii="仿宋_GB2312" w:hAnsi="仿宋_GB2312" w:eastAsia="仿宋_GB2312" w:cs="仿宋_GB2312"/>
        </w:rPr>
        <w:t>未采取噪声防治措施</w:t>
      </w:r>
      <w:r>
        <w:rPr>
          <w:rFonts w:hint="eastAsia" w:ascii="仿宋_GB2312" w:hAnsi="仿宋_GB2312" w:cs="仿宋_GB2312"/>
        </w:rPr>
        <w:t>规划方案拟建敏感建筑物超标时间、超标值等。噪声预测模拟应至少包括以下成果：</w:t>
      </w:r>
    </w:p>
    <w:p>
      <w:pPr>
        <w:pStyle w:val="5"/>
        <w:adjustRightInd w:val="0"/>
        <w:snapToGrid w:val="0"/>
        <w:ind w:firstLine="640"/>
        <w:outlineLvl w:val="2"/>
        <w:rPr>
          <w:rFonts w:ascii="仿宋_GB2312" w:hAnsi="仿宋_GB2312" w:cs="仿宋_GB2312"/>
        </w:rPr>
      </w:pPr>
      <w:r>
        <w:rPr>
          <w:rFonts w:ascii="仿宋_GB2312" w:hAnsi="仿宋_GB2312" w:cs="仿宋_GB2312"/>
        </w:rPr>
        <w:t>1</w:t>
      </w:r>
      <w:r>
        <w:rPr>
          <w:rFonts w:hint="eastAsia" w:ascii="仿宋_GB2312" w:hAnsi="仿宋_GB2312" w:cs="仿宋_GB2312"/>
        </w:rPr>
        <w:t>）噪声预测模型图</w:t>
      </w:r>
    </w:p>
    <w:p>
      <w:pPr>
        <w:pStyle w:val="5"/>
        <w:adjustRightInd w:val="0"/>
        <w:snapToGrid w:val="0"/>
        <w:ind w:firstLine="640"/>
        <w:rPr>
          <w:rFonts w:ascii="仿宋_GB2312" w:hAnsi="仿宋_GB2312" w:cs="仿宋_GB2312"/>
        </w:rPr>
      </w:pPr>
      <w:r>
        <w:rPr>
          <w:rFonts w:hint="eastAsia" w:ascii="仿宋_GB2312" w:hAnsi="仿宋_GB2312" w:cs="仿宋_GB2312"/>
        </w:rPr>
        <w:t>对项目的建筑总平面图进行简化，仅保留道路中心线及建筑轮廓。</w:t>
      </w:r>
    </w:p>
    <w:p>
      <w:pPr>
        <w:pStyle w:val="31"/>
        <w:rPr>
          <w:rFonts w:hint="default"/>
        </w:rPr>
      </w:pPr>
      <w:r>
        <w:rPr>
          <w:rFonts w:hint="default"/>
        </w:rPr>
        <w:drawing>
          <wp:inline distT="0" distB="0" distL="0" distR="0">
            <wp:extent cx="2532380" cy="2167890"/>
            <wp:effectExtent l="0" t="0" r="1270" b="3810"/>
            <wp:docPr id="716174724" name="图片 716174724" descr="模型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74724" name="图片 716174724" descr="模型平面图"/>
                    <pic:cNvPicPr>
                      <a:picLocks noChangeAspect="1" noChangeArrowheads="1"/>
                    </pic:cNvPicPr>
                  </pic:nvPicPr>
                  <pic:blipFill>
                    <a:blip r:embed="rId18" cstate="print">
                      <a:extLst>
                        <a:ext uri="{28A0092B-C50C-407E-A947-70E740481C1C}">
                          <a14:useLocalDpi xmlns:a14="http://schemas.microsoft.com/office/drawing/2010/main" val="0"/>
                        </a:ext>
                      </a:extLst>
                    </a:blip>
                    <a:srcRect t="5161" b="10642"/>
                    <a:stretch>
                      <a:fillRect/>
                    </a:stretch>
                  </pic:blipFill>
                  <pic:spPr>
                    <a:xfrm>
                      <a:off x="0" y="0"/>
                      <a:ext cx="2532380" cy="2167890"/>
                    </a:xfrm>
                    <a:prstGeom prst="rect">
                      <a:avLst/>
                    </a:prstGeom>
                    <a:noFill/>
                    <a:ln>
                      <a:noFill/>
                    </a:ln>
                  </pic:spPr>
                </pic:pic>
              </a:graphicData>
            </a:graphic>
          </wp:inline>
        </w:drawing>
      </w:r>
    </w:p>
    <w:p>
      <w:pPr>
        <w:ind w:firstLine="440" w:firstLineChars="0"/>
        <w:jc w:val="center"/>
      </w:pPr>
      <w:r>
        <w:rPr>
          <w:rFonts w:hint="eastAsia" w:ascii="仿宋_GB2312" w:hAnsi="仿宋_GB2312" w:cs="仿宋_GB2312"/>
          <w:sz w:val="22"/>
          <w:szCs w:val="20"/>
        </w:rPr>
        <w:t>项目总平面图</w:t>
      </w:r>
    </w:p>
    <w:p>
      <w:pPr>
        <w:widowControl w:val="0"/>
        <w:adjustRightInd w:val="0"/>
        <w:snapToGrid w:val="0"/>
        <w:spacing w:line="560" w:lineRule="exact"/>
        <w:ind w:firstLine="640" w:firstLineChars="200"/>
        <w:jc w:val="both"/>
        <w:outlineLvl w:val="2"/>
        <w:rPr>
          <w:rFonts w:hint="eastAsia" w:ascii="仿宋_GB2312" w:hAnsi="仿宋_GB2312" w:eastAsia="仿宋_GB2312" w:cs="仿宋_GB2312"/>
          <w:kern w:val="2"/>
          <w:sz w:val="32"/>
          <w:szCs w:val="24"/>
          <w:highlight w:val="none"/>
          <w:lang w:val="en-US" w:eastAsia="zh-CN" w:bidi="ar-SA"/>
        </w:rPr>
      </w:pPr>
      <w:bookmarkStart w:id="79" w:name="_Toc24219"/>
      <w:bookmarkStart w:id="80" w:name="_Toc17455"/>
      <w:r>
        <w:rPr>
          <w:rFonts w:ascii="仿宋_GB2312" w:hAnsi="仿宋_GB2312" w:eastAsia="仿宋_GB2312" w:cs="仿宋_GB2312"/>
          <w:kern w:val="2"/>
          <w:sz w:val="32"/>
          <w:szCs w:val="24"/>
          <w:highlight w:val="none"/>
          <w:lang w:val="en-US" w:eastAsia="zh-CN" w:bidi="ar-SA"/>
        </w:rPr>
        <w:t>2</w:t>
      </w:r>
      <w:r>
        <w:rPr>
          <w:rFonts w:hint="eastAsia" w:ascii="仿宋_GB2312" w:hAnsi="仿宋_GB2312" w:eastAsia="仿宋_GB2312" w:cs="仿宋_GB2312"/>
          <w:kern w:val="2"/>
          <w:sz w:val="32"/>
          <w:szCs w:val="24"/>
          <w:highlight w:val="none"/>
          <w:lang w:val="en-US" w:eastAsia="zh-CN" w:bidi="ar-SA"/>
        </w:rPr>
        <w:t>）项目1.5m高度处声压级平面分布图4张（昼间高峰时段、昼间常规时段、夜间高峰时段、夜间常规时段）</w:t>
      </w:r>
    </w:p>
    <w:p>
      <w:pPr>
        <w:widowControl w:val="0"/>
        <w:spacing w:line="240" w:lineRule="auto"/>
        <w:ind w:firstLine="0" w:firstLineChars="0"/>
        <w:jc w:val="center"/>
        <w:rPr>
          <w:rFonts w:hint="default" w:ascii="Times New Roman" w:hAnsi="Times New Roman" w:eastAsia="仿宋_GB2312" w:cs="Times New Roman"/>
          <w:kern w:val="2"/>
          <w:sz w:val="32"/>
          <w:szCs w:val="24"/>
          <w:highlight w:val="none"/>
          <w:lang w:val="en-US" w:eastAsia="zh-CN" w:bidi="ar-SA"/>
        </w:rPr>
      </w:pPr>
      <w:r>
        <w:rPr>
          <w:rFonts w:hint="default" w:ascii="Times New Roman" w:hAnsi="Times New Roman" w:eastAsia="仿宋_GB2312" w:cs="Times New Roman"/>
          <w:kern w:val="2"/>
          <w:sz w:val="32"/>
          <w:szCs w:val="24"/>
          <w:highlight w:val="none"/>
          <w:lang w:val="en-US" w:eastAsia="zh-CN" w:bidi="ar-SA"/>
        </w:rPr>
        <w:drawing>
          <wp:inline distT="0" distB="0" distL="114300" distR="114300">
            <wp:extent cx="2593340" cy="1892300"/>
            <wp:effectExtent l="0" t="0" r="6985" b="3175"/>
            <wp:docPr id="768874822" name="图片 768874822" descr="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74822" name="图片 768874822" descr="图_01"/>
                    <pic:cNvPicPr>
                      <a:picLocks noChangeAspect="1"/>
                    </pic:cNvPicPr>
                  </pic:nvPicPr>
                  <pic:blipFill>
                    <a:blip r:embed="rId19"/>
                    <a:srcRect l="3665" r="49813" b="54749"/>
                    <a:stretch>
                      <a:fillRect/>
                    </a:stretch>
                  </pic:blipFill>
                  <pic:spPr>
                    <a:xfrm>
                      <a:off x="0" y="0"/>
                      <a:ext cx="2594344" cy="1893142"/>
                    </a:xfrm>
                    <a:prstGeom prst="rect">
                      <a:avLst/>
                    </a:prstGeom>
                    <a:ln>
                      <a:noFill/>
                    </a:ln>
                  </pic:spPr>
                </pic:pic>
              </a:graphicData>
            </a:graphic>
          </wp:inline>
        </w:drawing>
      </w:r>
    </w:p>
    <w:p>
      <w:pPr>
        <w:ind w:firstLine="440"/>
        <w:jc w:val="center"/>
        <w:rPr>
          <w:rFonts w:hint="default" w:ascii="Times New Roman" w:hAnsi="Times New Roman" w:cs="Times New Roman"/>
          <w:sz w:val="22"/>
          <w:szCs w:val="20"/>
          <w:highlight w:val="none"/>
        </w:rPr>
      </w:pPr>
      <w:r>
        <w:rPr>
          <w:rFonts w:hint="eastAsia" w:ascii="仿宋_GB2312" w:hAnsi="仿宋_GB2312" w:cs="仿宋_GB2312"/>
          <w:sz w:val="22"/>
          <w:szCs w:val="20"/>
          <w:highlight w:val="none"/>
        </w:rPr>
        <w:t>项目1.5m高度处声压级平面分布图（昼间高峰时段）</w:t>
      </w:r>
    </w:p>
    <w:p>
      <w:pPr>
        <w:pStyle w:val="4"/>
        <w:adjustRightInd w:val="0"/>
        <w:snapToGrid w:val="0"/>
        <w:spacing w:line="560" w:lineRule="exact"/>
        <w:ind w:firstLine="640"/>
        <w:rPr>
          <w:highlight w:val="none"/>
        </w:rPr>
      </w:pPr>
      <w:r>
        <w:rPr>
          <w:rFonts w:ascii="仿宋_GB2312" w:hAnsi="仿宋_GB2312" w:cs="仿宋_GB2312"/>
          <w:highlight w:val="none"/>
        </w:rPr>
        <w:t>3</w:t>
      </w:r>
      <w:r>
        <w:rPr>
          <w:rFonts w:hint="eastAsia" w:ascii="仿宋_GB2312" w:hAnsi="仿宋_GB2312" w:cs="仿宋_GB2312"/>
          <w:highlight w:val="none"/>
        </w:rPr>
        <w:t>）建筑立面噪声级分布图4张（昼间高峰时段、昼间常规时段、夜间高峰时段、夜间常规时段）</w:t>
      </w:r>
    </w:p>
    <w:p>
      <w:pPr>
        <w:widowControl w:val="0"/>
        <w:spacing w:line="240" w:lineRule="auto"/>
        <w:ind w:firstLine="0" w:firstLineChars="0"/>
        <w:jc w:val="center"/>
        <w:rPr>
          <w:rFonts w:hint="default" w:ascii="Times New Roman" w:hAnsi="Times New Roman" w:eastAsia="仿宋_GB2312" w:cs="Times New Roman"/>
          <w:kern w:val="2"/>
          <w:sz w:val="32"/>
          <w:szCs w:val="24"/>
          <w:highlight w:val="none"/>
          <w:lang w:val="en-US" w:eastAsia="zh-CN" w:bidi="ar-SA"/>
        </w:rPr>
      </w:pPr>
      <w:r>
        <w:rPr>
          <w:rFonts w:hint="default" w:ascii="Times New Roman" w:hAnsi="Times New Roman" w:eastAsia="仿宋_GB2312" w:cs="Times New Roman"/>
          <w:kern w:val="2"/>
          <w:sz w:val="32"/>
          <w:szCs w:val="24"/>
          <w:highlight w:val="none"/>
          <w:lang w:val="en-US" w:eastAsia="zh-CN" w:bidi="ar-SA"/>
        </w:rPr>
        <w:drawing>
          <wp:inline distT="0" distB="0" distL="114300" distR="114300">
            <wp:extent cx="2615565" cy="1732915"/>
            <wp:effectExtent l="0" t="0" r="3810" b="635"/>
            <wp:docPr id="335053727" name="图片 335053727" descr="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53727" name="图片 335053727" descr="图_01"/>
                    <pic:cNvPicPr>
                      <a:picLocks noChangeAspect="1"/>
                    </pic:cNvPicPr>
                  </pic:nvPicPr>
                  <pic:blipFill>
                    <a:blip r:embed="rId19"/>
                    <a:srcRect l="3665" t="51312" r="49524" b="7342"/>
                    <a:stretch>
                      <a:fillRect/>
                    </a:stretch>
                  </pic:blipFill>
                  <pic:spPr>
                    <a:xfrm>
                      <a:off x="0" y="0"/>
                      <a:ext cx="2615609" cy="1733135"/>
                    </a:xfrm>
                    <a:prstGeom prst="rect">
                      <a:avLst/>
                    </a:prstGeom>
                    <a:ln>
                      <a:noFill/>
                    </a:ln>
                  </pic:spPr>
                </pic:pic>
              </a:graphicData>
            </a:graphic>
          </wp:inline>
        </w:drawing>
      </w:r>
    </w:p>
    <w:p>
      <w:pPr>
        <w:ind w:firstLine="440"/>
        <w:jc w:val="center"/>
        <w:rPr>
          <w:rFonts w:hint="default" w:ascii="Times New Roman" w:hAnsi="Times New Roman" w:cs="Times New Roman"/>
          <w:sz w:val="22"/>
          <w:szCs w:val="20"/>
          <w:highlight w:val="none"/>
        </w:rPr>
      </w:pPr>
      <w:r>
        <w:rPr>
          <w:rFonts w:hint="eastAsia" w:ascii="仿宋_GB2312" w:hAnsi="仿宋_GB2312" w:cs="仿宋_GB2312"/>
          <w:sz w:val="22"/>
          <w:szCs w:val="20"/>
          <w:highlight w:val="none"/>
        </w:rPr>
        <w:t>建筑立面噪声级分布图（昼间高峰时段）</w:t>
      </w:r>
    </w:p>
    <w:p>
      <w:pPr>
        <w:pStyle w:val="3"/>
        <w:adjustRightInd w:val="0"/>
        <w:snapToGrid w:val="0"/>
        <w:ind w:firstLine="640"/>
        <w:rPr>
          <w:rFonts w:ascii="楷体_GB2312" w:hAnsi="楷体_GB2312" w:eastAsia="楷体_GB2312" w:cs="楷体_GB2312"/>
          <w:u w:val="single"/>
        </w:rPr>
      </w:pPr>
      <w:r>
        <w:rPr>
          <w:rFonts w:hint="eastAsia" w:ascii="楷体_GB2312" w:hAnsi="楷体_GB2312" w:eastAsia="楷体_GB2312" w:cs="楷体_GB2312"/>
        </w:rPr>
        <w:t>3.4</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规划方案的声环境评价结论</w:t>
      </w:r>
      <w:bookmarkEnd w:id="79"/>
      <w:bookmarkEnd w:id="80"/>
    </w:p>
    <w:p>
      <w:pPr>
        <w:ind w:firstLine="640"/>
      </w:pPr>
      <w:r>
        <w:rPr>
          <w:rFonts w:hint="eastAsia"/>
        </w:rPr>
        <w:t>根据深圳市各区声环境功能区划分</w:t>
      </w:r>
      <w:r>
        <w:rPr>
          <w:rFonts w:hint="eastAsia"/>
          <w:lang w:val="en-US" w:eastAsia="zh-CN"/>
        </w:rPr>
        <w:t>方案</w:t>
      </w:r>
      <w:r>
        <w:rPr>
          <w:rFonts w:hint="eastAsia"/>
        </w:rPr>
        <w:t>、《声环境质量标准》（GB 3096）等，分析项目声环境需求，明确项目规划方案的声环境功能区等级及各类噪声敏感建筑物/房间的声环境执行标准。依照未采用噪声防治措施的规划方案，分析项目范围内的敏感建筑物室外声环境情况。图示标出噪声超标区域，并提供项目的噪声预测情况汇总表。</w:t>
      </w:r>
    </w:p>
    <w:p>
      <w:pPr>
        <w:ind w:firstLine="640"/>
        <w:rPr>
          <w:rFonts w:ascii="仿宋_GB2312" w:hAnsi="仿宋_GB2312" w:cs="仿宋_GB2312"/>
        </w:rPr>
      </w:pPr>
      <w:r>
        <w:rPr>
          <w:rFonts w:hint="eastAsia"/>
          <w:lang w:val="en-US" w:eastAsia="zh-CN"/>
        </w:rPr>
        <w:t>评价结论</w:t>
      </w:r>
      <w:r>
        <w:rPr>
          <w:rFonts w:hint="eastAsia"/>
        </w:rPr>
        <w:t>表述可参考：</w:t>
      </w:r>
      <w:r>
        <w:rPr>
          <w:rFonts w:hint="eastAsia" w:ascii="仿宋_GB2312" w:hAnsi="仿宋_GB2312" w:cs="仿宋_GB2312"/>
        </w:rPr>
        <w:t>1.5m高度处声压级平面分布图显示，项目有噪声超标情况的</w:t>
      </w:r>
      <w:r>
        <w:rPr>
          <w:rFonts w:hint="eastAsia" w:ascii="仿宋_GB2312" w:hAnsi="仿宋_GB2312" w:cs="仿宋_GB2312"/>
          <w:lang w:val="en-US" w:eastAsia="zh-CN"/>
        </w:rPr>
        <w:t>XX</w:t>
      </w:r>
      <w:r>
        <w:rPr>
          <w:rFonts w:hint="eastAsia" w:ascii="仿宋_GB2312" w:hAnsi="仿宋_GB2312" w:cs="仿宋_GB2312"/>
        </w:rPr>
        <w:t>区域</w:t>
      </w:r>
      <w:r>
        <w:rPr>
          <w:rFonts w:hint="eastAsia" w:ascii="仿宋_GB2312" w:hAnsi="仿宋_GB2312" w:cs="仿宋_GB2312"/>
          <w:lang w:val="en-US" w:eastAsia="zh-CN"/>
        </w:rPr>
        <w:t>与XX时间段、</w:t>
      </w:r>
      <w:r>
        <w:rPr>
          <w:rFonts w:hint="eastAsia" w:ascii="仿宋_GB2312" w:hAnsi="仿宋_GB2312" w:cs="仿宋_GB2312"/>
        </w:rPr>
        <w:t>超出XX标准X</w:t>
      </w:r>
      <w:r>
        <w:rPr>
          <w:rFonts w:hint="eastAsia" w:ascii="仿宋_GB2312" w:hAnsi="仿宋_GB2312" w:cs="仿宋_GB2312"/>
          <w:lang w:val="en-US" w:eastAsia="zh-CN"/>
        </w:rPr>
        <w:t xml:space="preserve"> </w:t>
      </w:r>
      <w:r>
        <w:rPr>
          <w:rFonts w:hint="eastAsia" w:ascii="仿宋_GB2312" w:hAnsi="仿宋_GB2312" w:cs="仿宋_GB2312"/>
        </w:rPr>
        <w:t>dB；建筑立面噪声级分布图显示，X栋建筑</w:t>
      </w:r>
      <w:r>
        <w:rPr>
          <w:rFonts w:hint="eastAsia" w:ascii="仿宋_GB2312" w:hAnsi="仿宋_GB2312" w:cs="仿宋_GB2312"/>
          <w:lang w:val="en-US" w:eastAsia="zh-CN"/>
        </w:rPr>
        <w:t>XX</w:t>
      </w:r>
      <w:r>
        <w:rPr>
          <w:rFonts w:hint="eastAsia" w:ascii="仿宋_GB2312" w:hAnsi="仿宋_GB2312" w:cs="仿宋_GB2312"/>
        </w:rPr>
        <w:t>区域</w:t>
      </w:r>
      <w:r>
        <w:rPr>
          <w:rFonts w:hint="eastAsia" w:ascii="仿宋_GB2312" w:hAnsi="仿宋_GB2312" w:cs="仿宋_GB2312"/>
          <w:lang w:eastAsia="zh-CN"/>
        </w:rPr>
        <w:t>、</w:t>
      </w:r>
      <w:r>
        <w:rPr>
          <w:rFonts w:hint="eastAsia" w:ascii="仿宋_GB2312" w:hAnsi="仿宋_GB2312" w:cs="仿宋_GB2312"/>
          <w:lang w:val="en-US" w:eastAsia="zh-CN"/>
        </w:rPr>
        <w:t>XX时间段、XX</w:t>
      </w:r>
      <w:r>
        <w:rPr>
          <w:rFonts w:hint="eastAsia" w:ascii="仿宋_GB2312" w:hAnsi="仿宋_GB2312" w:cs="仿宋_GB2312"/>
        </w:rPr>
        <w:t>高度（约X层）有噪声超标情况、超出XX标准X</w:t>
      </w:r>
      <w:r>
        <w:rPr>
          <w:rFonts w:hint="eastAsia" w:ascii="仿宋_GB2312" w:hAnsi="仿宋_GB2312" w:cs="仿宋_GB2312"/>
          <w:lang w:val="en-US" w:eastAsia="zh-CN"/>
        </w:rPr>
        <w:t xml:space="preserve"> </w:t>
      </w:r>
      <w:r>
        <w:rPr>
          <w:rFonts w:hint="eastAsia" w:ascii="仿宋_GB2312" w:hAnsi="仿宋_GB2312" w:cs="仿宋_GB2312"/>
        </w:rPr>
        <w:t>dB；X预测点XX-XX层有噪声超标情况，超出XX标准X</w:t>
      </w:r>
      <w:r>
        <w:rPr>
          <w:rFonts w:hint="eastAsia" w:ascii="仿宋_GB2312" w:hAnsi="仿宋_GB2312" w:cs="仿宋_GB2312"/>
          <w:lang w:val="en-US" w:eastAsia="zh-CN"/>
        </w:rPr>
        <w:t xml:space="preserve"> </w:t>
      </w:r>
      <w:r>
        <w:rPr>
          <w:rFonts w:hint="eastAsia" w:ascii="仿宋_GB2312" w:hAnsi="仿宋_GB2312" w:cs="仿宋_GB2312"/>
        </w:rPr>
        <w:t>dB。</w:t>
      </w:r>
    </w:p>
    <w:p>
      <w:pPr>
        <w:keepNext/>
        <w:ind w:firstLine="0" w:firstLineChars="0"/>
        <w:jc w:val="center"/>
        <w:rPr>
          <w:rFonts w:ascii="黑体" w:hAnsi="黑体" w:eastAsia="黑体" w:cs="黑体"/>
          <w:sz w:val="28"/>
          <w:szCs w:val="28"/>
        </w:rPr>
      </w:pPr>
      <w:bookmarkStart w:id="81" w:name="_Hlk230341004"/>
      <w:r>
        <w:rPr>
          <w:rFonts w:hint="eastAsia" w:ascii="黑体" w:hAnsi="黑体" w:eastAsia="黑体" w:cs="黑体"/>
          <w:sz w:val="28"/>
          <w:szCs w:val="28"/>
        </w:rPr>
        <w:t>表 3-</w:t>
      </w:r>
      <w:r>
        <w:rPr>
          <w:rFonts w:ascii="黑体" w:hAnsi="黑体" w:eastAsia="黑体" w:cs="黑体"/>
          <w:sz w:val="28"/>
          <w:szCs w:val="28"/>
          <w:lang w:val="en"/>
        </w:rPr>
        <w:t>2</w:t>
      </w:r>
      <w:r>
        <w:rPr>
          <w:rFonts w:hint="eastAsia" w:ascii="黑体" w:hAnsi="黑体" w:eastAsia="黑体" w:cs="黑体"/>
          <w:sz w:val="28"/>
          <w:szCs w:val="28"/>
        </w:rPr>
        <w:t>项目的噪声超标区域汇总表</w:t>
      </w:r>
      <w:bookmarkEnd w:id="81"/>
      <w:r>
        <w:rPr>
          <w:rFonts w:hint="eastAsia" w:ascii="黑体" w:hAnsi="黑体" w:eastAsia="黑体" w:cs="黑体"/>
          <w:sz w:val="28"/>
          <w:szCs w:val="28"/>
        </w:rPr>
        <w:t>，单位： dB(A)</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482"/>
        <w:gridCol w:w="982"/>
        <w:gridCol w:w="1144"/>
        <w:gridCol w:w="865"/>
        <w:gridCol w:w="3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53" w:type="dxa"/>
            <w:tcBorders>
              <w:top w:val="single" w:color="000000" w:sz="12" w:space="0"/>
              <w:left w:val="single" w:color="000000" w:sz="12"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r>
              <w:rPr>
                <w:rFonts w:hint="eastAsia" w:ascii="仿宋_GB2312" w:hAnsi="仿宋_GB2312" w:cs="仿宋_GB2312"/>
                <w:b/>
                <w:kern w:val="0"/>
                <w:sz w:val="22"/>
                <w:szCs w:val="22"/>
                <w:lang w:bidi="ar"/>
              </w:rPr>
              <w:t>序号</w:t>
            </w:r>
          </w:p>
        </w:tc>
        <w:tc>
          <w:tcPr>
            <w:tcW w:w="1482" w:type="dxa"/>
            <w:tcBorders>
              <w:top w:val="single" w:color="000000" w:sz="12"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r>
              <w:rPr>
                <w:rFonts w:hint="eastAsia" w:ascii="仿宋_GB2312" w:hAnsi="仿宋_GB2312" w:cs="仿宋_GB2312"/>
                <w:b/>
                <w:kern w:val="0"/>
                <w:sz w:val="22"/>
                <w:szCs w:val="22"/>
                <w:lang w:bidi="ar"/>
              </w:rPr>
              <w:t>预测区域/点位</w:t>
            </w:r>
          </w:p>
        </w:tc>
        <w:tc>
          <w:tcPr>
            <w:tcW w:w="982" w:type="dxa"/>
            <w:tcBorders>
              <w:top w:val="single" w:color="000000" w:sz="12"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kern w:val="0"/>
                <w:sz w:val="22"/>
                <w:szCs w:val="22"/>
                <w:lang w:bidi="ar"/>
              </w:rPr>
            </w:pPr>
            <w:r>
              <w:rPr>
                <w:rFonts w:hint="eastAsia" w:ascii="仿宋_GB2312" w:hAnsi="仿宋_GB2312" w:cs="仿宋_GB2312"/>
                <w:b/>
                <w:kern w:val="0"/>
                <w:sz w:val="22"/>
                <w:szCs w:val="22"/>
                <w:lang w:bidi="ar"/>
              </w:rPr>
              <w:t>声环境功能区类型</w:t>
            </w:r>
          </w:p>
        </w:tc>
        <w:tc>
          <w:tcPr>
            <w:tcW w:w="1144" w:type="dxa"/>
            <w:tcBorders>
              <w:top w:val="single" w:color="000000" w:sz="12"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r>
              <w:rPr>
                <w:rFonts w:hint="eastAsia" w:ascii="仿宋_GB2312" w:hAnsi="仿宋_GB2312" w:cs="仿宋_GB2312"/>
                <w:b/>
                <w:kern w:val="0"/>
                <w:sz w:val="22"/>
                <w:szCs w:val="22"/>
                <w:lang w:bidi="ar"/>
              </w:rPr>
              <w:t>标准限值</w:t>
            </w:r>
          </w:p>
        </w:tc>
        <w:tc>
          <w:tcPr>
            <w:tcW w:w="865" w:type="dxa"/>
            <w:tcBorders>
              <w:top w:val="single" w:color="000000" w:sz="12"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kern w:val="0"/>
                <w:sz w:val="22"/>
                <w:szCs w:val="22"/>
                <w:lang w:bidi="ar"/>
              </w:rPr>
            </w:pPr>
            <w:r>
              <w:rPr>
                <w:rFonts w:hint="eastAsia" w:ascii="仿宋_GB2312" w:hAnsi="仿宋_GB2312" w:cs="仿宋_GB2312"/>
                <w:b/>
                <w:kern w:val="0"/>
                <w:sz w:val="22"/>
                <w:szCs w:val="22"/>
                <w:lang w:bidi="ar"/>
              </w:rPr>
              <w:t>预测值</w:t>
            </w:r>
          </w:p>
        </w:tc>
        <w:tc>
          <w:tcPr>
            <w:tcW w:w="3296" w:type="dxa"/>
            <w:tcBorders>
              <w:top w:val="single" w:color="000000" w:sz="12"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r>
              <w:rPr>
                <w:rFonts w:hint="eastAsia" w:ascii="仿宋_GB2312" w:hAnsi="仿宋_GB2312" w:cs="仿宋_GB2312"/>
                <w:b/>
                <w:kern w:val="0"/>
                <w:sz w:val="22"/>
                <w:szCs w:val="22"/>
                <w:lang w:bidi="ar"/>
              </w:rPr>
              <w:t>达标/超标情况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dxa"/>
            <w:tcBorders>
              <w:top w:val="single" w:color="000000" w:sz="4" w:space="0"/>
              <w:left w:val="single" w:color="000000" w:sz="12"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r>
              <w:rPr>
                <w:rFonts w:hint="eastAsia" w:ascii="仿宋_GB2312" w:hAnsi="仿宋_GB2312" w:cs="仿宋_GB2312"/>
                <w:kern w:val="0"/>
                <w:sz w:val="28"/>
                <w:szCs w:val="22"/>
                <w:lang w:bidi="ar"/>
              </w:rPr>
              <w:t>1</w:t>
            </w:r>
          </w:p>
        </w:tc>
        <w:tc>
          <w:tcPr>
            <w:tcW w:w="1482"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r>
              <w:rPr>
                <w:rFonts w:ascii="仿宋_GB2312" w:hAnsi="仿宋_GB2312" w:cs="仿宋_GB2312"/>
                <w:b/>
                <w:sz w:val="22"/>
                <w:szCs w:val="28"/>
              </w:rPr>
              <w:t>X</w:t>
            </w:r>
            <w:r>
              <w:rPr>
                <w:rFonts w:hint="eastAsia" w:ascii="仿宋_GB2312" w:hAnsi="仿宋_GB2312" w:cs="仿宋_GB2312"/>
                <w:b/>
                <w:sz w:val="22"/>
                <w:szCs w:val="28"/>
              </w:rPr>
              <w:t>位置</w:t>
            </w:r>
          </w:p>
        </w:tc>
        <w:tc>
          <w:tcPr>
            <w:tcW w:w="982"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c>
          <w:tcPr>
            <w:tcW w:w="114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c>
          <w:tcPr>
            <w:tcW w:w="865" w:type="dxa"/>
            <w:tcBorders>
              <w:top w:val="single" w:color="000000" w:sz="4" w:space="0"/>
              <w:left w:val="single" w:color="000000" w:sz="4" w:space="0"/>
              <w:bottom w:val="single" w:color="000000" w:sz="4" w:space="0"/>
              <w:right w:val="single" w:color="000000" w:sz="4" w:space="0"/>
              <w:tl2br w:val="nil"/>
              <w:tr2bl w:val="nil"/>
            </w:tcBorders>
            <w:shd w:val="clear" w:color="auto" w:fill="FFFFFF"/>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c>
          <w:tcPr>
            <w:tcW w:w="3296"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r>
              <w:rPr>
                <w:rFonts w:hint="eastAsia" w:ascii="仿宋_GB2312" w:hAnsi="仿宋_GB2312" w:cs="仿宋_GB2312"/>
                <w:b/>
                <w:sz w:val="22"/>
                <w:szCs w:val="28"/>
              </w:rPr>
              <w:t>具体超标的时段和数值，超标影响的区域有多大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dxa"/>
            <w:tcBorders>
              <w:top w:val="single" w:color="000000" w:sz="4" w:space="0"/>
              <w:left w:val="single" w:color="000000" w:sz="12"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r>
              <w:rPr>
                <w:rFonts w:hint="eastAsia" w:ascii="仿宋_GB2312" w:hAnsi="仿宋_GB2312" w:cs="仿宋_GB2312"/>
                <w:kern w:val="0"/>
                <w:sz w:val="28"/>
                <w:szCs w:val="22"/>
                <w:lang w:bidi="ar"/>
              </w:rPr>
              <w:t>2</w:t>
            </w:r>
          </w:p>
        </w:tc>
        <w:tc>
          <w:tcPr>
            <w:tcW w:w="1482"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r>
              <w:rPr>
                <w:rFonts w:hint="eastAsia" w:ascii="仿宋_GB2312" w:hAnsi="仿宋_GB2312" w:cs="仿宋_GB2312"/>
                <w:b/>
                <w:sz w:val="22"/>
                <w:szCs w:val="28"/>
              </w:rPr>
              <w:t>X栋X高度</w:t>
            </w:r>
          </w:p>
        </w:tc>
        <w:tc>
          <w:tcPr>
            <w:tcW w:w="982"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c>
          <w:tcPr>
            <w:tcW w:w="114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c>
          <w:tcPr>
            <w:tcW w:w="865" w:type="dxa"/>
            <w:tcBorders>
              <w:top w:val="single" w:color="000000" w:sz="4" w:space="0"/>
              <w:left w:val="single" w:color="000000" w:sz="4" w:space="0"/>
              <w:bottom w:val="single" w:color="000000" w:sz="4" w:space="0"/>
              <w:right w:val="single" w:color="000000" w:sz="4" w:space="0"/>
              <w:tl2br w:val="nil"/>
              <w:tr2bl w:val="nil"/>
            </w:tcBorders>
            <w:shd w:val="clear" w:color="auto" w:fill="FFFFFF"/>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c>
          <w:tcPr>
            <w:tcW w:w="3296"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r>
              <w:rPr>
                <w:rFonts w:hint="eastAsia" w:ascii="仿宋_GB2312" w:hAnsi="仿宋_GB2312" w:cs="仿宋_GB2312"/>
                <w:b/>
                <w:sz w:val="22"/>
                <w:szCs w:val="28"/>
              </w:rPr>
              <w:t>达标/超标XX 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3" w:type="dxa"/>
            <w:tcBorders>
              <w:top w:val="single" w:color="000000" w:sz="4" w:space="0"/>
              <w:left w:val="single" w:color="000000" w:sz="12"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r>
              <w:rPr>
                <w:rFonts w:hint="eastAsia" w:ascii="仿宋_GB2312" w:hAnsi="仿宋_GB2312" w:cs="仿宋_GB2312"/>
                <w:kern w:val="0"/>
                <w:sz w:val="28"/>
                <w:szCs w:val="22"/>
                <w:lang w:bidi="ar"/>
              </w:rPr>
              <w:t>3</w:t>
            </w:r>
          </w:p>
        </w:tc>
        <w:tc>
          <w:tcPr>
            <w:tcW w:w="1482"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p>
        </w:tc>
        <w:tc>
          <w:tcPr>
            <w:tcW w:w="982"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c>
          <w:tcPr>
            <w:tcW w:w="114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c>
          <w:tcPr>
            <w:tcW w:w="865" w:type="dxa"/>
            <w:tcBorders>
              <w:top w:val="single" w:color="000000" w:sz="4" w:space="0"/>
              <w:left w:val="single" w:color="000000" w:sz="4" w:space="0"/>
              <w:bottom w:val="single" w:color="000000" w:sz="4" w:space="0"/>
              <w:right w:val="single" w:color="000000" w:sz="4" w:space="0"/>
              <w:tl2br w:val="nil"/>
              <w:tr2bl w:val="nil"/>
            </w:tcBorders>
            <w:shd w:val="clear" w:color="auto" w:fill="FFFFFF"/>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c>
          <w:tcPr>
            <w:tcW w:w="3296"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dxa"/>
            <w:tcBorders>
              <w:top w:val="single" w:color="000000" w:sz="4" w:space="0"/>
              <w:left w:val="single" w:color="000000" w:sz="12"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r>
              <w:rPr>
                <w:rFonts w:hint="eastAsia" w:ascii="仿宋_GB2312" w:hAnsi="仿宋_GB2312" w:cs="仿宋_GB2312"/>
                <w:kern w:val="0"/>
                <w:sz w:val="28"/>
                <w:szCs w:val="22"/>
                <w:lang w:bidi="ar"/>
              </w:rPr>
              <w:t>4</w:t>
            </w:r>
          </w:p>
        </w:tc>
        <w:tc>
          <w:tcPr>
            <w:tcW w:w="1482"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p>
        </w:tc>
        <w:tc>
          <w:tcPr>
            <w:tcW w:w="982"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c>
          <w:tcPr>
            <w:tcW w:w="114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c>
          <w:tcPr>
            <w:tcW w:w="865" w:type="dxa"/>
            <w:tcBorders>
              <w:top w:val="single" w:color="000000" w:sz="4" w:space="0"/>
              <w:left w:val="single" w:color="000000" w:sz="4" w:space="0"/>
              <w:bottom w:val="single" w:color="000000" w:sz="4" w:space="0"/>
              <w:right w:val="single" w:color="000000" w:sz="4" w:space="0"/>
              <w:tl2br w:val="nil"/>
              <w:tr2bl w:val="nil"/>
            </w:tcBorders>
            <w:shd w:val="clear" w:color="auto" w:fill="FFFFFF"/>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c>
          <w:tcPr>
            <w:tcW w:w="3296"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b/>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dxa"/>
            <w:tcBorders>
              <w:top w:val="single" w:color="000000" w:sz="4" w:space="0"/>
              <w:left w:val="single" w:color="000000" w:sz="12"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r>
              <w:rPr>
                <w:rFonts w:hint="eastAsia" w:ascii="仿宋_GB2312" w:hAnsi="仿宋_GB2312" w:cs="仿宋_GB2312"/>
                <w:kern w:val="0"/>
                <w:sz w:val="28"/>
                <w:szCs w:val="22"/>
                <w:lang w:bidi="ar"/>
              </w:rPr>
              <w:t>5</w:t>
            </w:r>
          </w:p>
        </w:tc>
        <w:tc>
          <w:tcPr>
            <w:tcW w:w="1482"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p>
        </w:tc>
        <w:tc>
          <w:tcPr>
            <w:tcW w:w="982"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p>
        </w:tc>
        <w:tc>
          <w:tcPr>
            <w:tcW w:w="114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p>
        </w:tc>
        <w:tc>
          <w:tcPr>
            <w:tcW w:w="865" w:type="dxa"/>
            <w:tcBorders>
              <w:top w:val="single" w:color="000000" w:sz="4" w:space="0"/>
              <w:left w:val="single" w:color="000000" w:sz="4" w:space="0"/>
              <w:bottom w:val="single" w:color="000000" w:sz="4" w:space="0"/>
              <w:right w:val="single" w:color="000000" w:sz="4" w:space="0"/>
              <w:tl2br w:val="nil"/>
              <w:tr2bl w:val="nil"/>
            </w:tcBorders>
            <w:shd w:val="clear" w:color="auto" w:fill="FFFFFF"/>
          </w:tcPr>
          <w:p>
            <w:pPr>
              <w:keepNext/>
              <w:widowControl/>
              <w:snapToGrid w:val="0"/>
              <w:spacing w:line="240" w:lineRule="auto"/>
              <w:ind w:firstLine="0" w:firstLineChars="0"/>
              <w:jc w:val="center"/>
              <w:textAlignment w:val="center"/>
              <w:rPr>
                <w:rFonts w:ascii="仿宋_GB2312" w:hAnsi="仿宋_GB2312" w:cs="仿宋_GB2312"/>
                <w:sz w:val="28"/>
                <w:szCs w:val="22"/>
              </w:rPr>
            </w:pPr>
          </w:p>
        </w:tc>
        <w:tc>
          <w:tcPr>
            <w:tcW w:w="3296"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dxa"/>
            <w:tcBorders>
              <w:top w:val="single" w:color="000000" w:sz="4" w:space="0"/>
              <w:left w:val="single" w:color="000000" w:sz="12" w:space="0"/>
              <w:bottom w:val="single" w:color="000000" w:sz="12"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r>
              <w:rPr>
                <w:rFonts w:hint="eastAsia" w:ascii="仿宋_GB2312" w:hAnsi="仿宋_GB2312" w:cs="仿宋_GB2312"/>
                <w:sz w:val="28"/>
                <w:szCs w:val="28"/>
              </w:rPr>
              <w:t>……</w:t>
            </w:r>
          </w:p>
        </w:tc>
        <w:tc>
          <w:tcPr>
            <w:tcW w:w="1482" w:type="dxa"/>
            <w:tcBorders>
              <w:top w:val="single" w:color="000000" w:sz="4" w:space="0"/>
              <w:left w:val="single" w:color="000000" w:sz="4" w:space="0"/>
              <w:bottom w:val="single" w:color="000000" w:sz="12"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p>
        </w:tc>
        <w:tc>
          <w:tcPr>
            <w:tcW w:w="982" w:type="dxa"/>
            <w:tcBorders>
              <w:top w:val="single" w:color="000000" w:sz="4" w:space="0"/>
              <w:left w:val="single" w:color="000000" w:sz="4" w:space="0"/>
              <w:bottom w:val="single" w:color="000000" w:sz="12"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p>
        </w:tc>
        <w:tc>
          <w:tcPr>
            <w:tcW w:w="1144" w:type="dxa"/>
            <w:tcBorders>
              <w:top w:val="single" w:color="000000" w:sz="4" w:space="0"/>
              <w:left w:val="single" w:color="000000" w:sz="4" w:space="0"/>
              <w:bottom w:val="single" w:color="000000" w:sz="12"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8"/>
              </w:rPr>
            </w:pPr>
          </w:p>
        </w:tc>
        <w:tc>
          <w:tcPr>
            <w:tcW w:w="865" w:type="dxa"/>
            <w:tcBorders>
              <w:top w:val="single" w:color="000000" w:sz="4" w:space="0"/>
              <w:left w:val="single" w:color="000000" w:sz="4" w:space="0"/>
              <w:bottom w:val="single" w:color="000000" w:sz="12" w:space="0"/>
              <w:right w:val="single" w:color="000000" w:sz="4" w:space="0"/>
              <w:tl2br w:val="nil"/>
              <w:tr2bl w:val="nil"/>
            </w:tcBorders>
            <w:shd w:val="clear" w:color="auto" w:fill="FFFFFF"/>
          </w:tcPr>
          <w:p>
            <w:pPr>
              <w:keepNext/>
              <w:widowControl/>
              <w:snapToGrid w:val="0"/>
              <w:spacing w:line="240" w:lineRule="auto"/>
              <w:ind w:firstLine="0" w:firstLineChars="0"/>
              <w:jc w:val="center"/>
              <w:textAlignment w:val="center"/>
              <w:rPr>
                <w:rFonts w:ascii="仿宋_GB2312" w:hAnsi="仿宋_GB2312" w:cs="仿宋_GB2312"/>
                <w:sz w:val="28"/>
                <w:szCs w:val="22"/>
              </w:rPr>
            </w:pPr>
          </w:p>
        </w:tc>
        <w:tc>
          <w:tcPr>
            <w:tcW w:w="3296" w:type="dxa"/>
            <w:tcBorders>
              <w:top w:val="single" w:color="000000" w:sz="4" w:space="0"/>
              <w:left w:val="single" w:color="000000" w:sz="4" w:space="0"/>
              <w:bottom w:val="single" w:color="000000" w:sz="12" w:space="0"/>
              <w:right w:val="single" w:color="000000" w:sz="4" w:space="0"/>
              <w:tl2br w:val="nil"/>
              <w:tr2bl w:val="nil"/>
            </w:tcBorders>
            <w:shd w:val="clear" w:color="auto" w:fill="FFFFFF"/>
            <w:vAlign w:val="center"/>
          </w:tcPr>
          <w:p>
            <w:pPr>
              <w:keepNext/>
              <w:widowControl/>
              <w:snapToGrid w:val="0"/>
              <w:spacing w:line="240" w:lineRule="auto"/>
              <w:ind w:firstLine="0" w:firstLineChars="0"/>
              <w:jc w:val="center"/>
              <w:textAlignment w:val="center"/>
              <w:rPr>
                <w:rFonts w:ascii="仿宋_GB2312" w:hAnsi="仿宋_GB2312" w:cs="仿宋_GB2312"/>
                <w:sz w:val="28"/>
                <w:szCs w:val="22"/>
              </w:rPr>
            </w:pPr>
          </w:p>
        </w:tc>
      </w:tr>
    </w:tbl>
    <w:p>
      <w:pPr>
        <w:ind w:firstLine="640"/>
      </w:pPr>
    </w:p>
    <w:p>
      <w:pPr>
        <w:pStyle w:val="2"/>
        <w:spacing w:line="560" w:lineRule="exact"/>
      </w:pPr>
      <w:bookmarkStart w:id="82" w:name="_Toc16337"/>
      <w:bookmarkStart w:id="83" w:name="_Toc1827"/>
      <w:bookmarkStart w:id="84" w:name="_Toc25524"/>
      <w:r>
        <w:rPr>
          <w:rFonts w:hint="eastAsia"/>
        </w:rPr>
        <w:t>4 拟采取的防治措施</w:t>
      </w:r>
      <w:bookmarkEnd w:id="82"/>
      <w:bookmarkEnd w:id="83"/>
      <w:bookmarkEnd w:id="84"/>
    </w:p>
    <w:p>
      <w:pPr>
        <w:pStyle w:val="5"/>
        <w:adjustRightInd w:val="0"/>
        <w:snapToGrid w:val="0"/>
        <w:ind w:firstLine="640"/>
        <w:outlineLvl w:val="1"/>
        <w:rPr>
          <w:rFonts w:ascii="仿宋_GB2312" w:hAnsi="仿宋_GB2312" w:cs="仿宋_GB2312"/>
        </w:rPr>
      </w:pPr>
      <w:bookmarkStart w:id="85" w:name="_Toc28594"/>
      <w:bookmarkStart w:id="86" w:name="_Toc15260"/>
      <w:bookmarkStart w:id="87" w:name="_Toc16750"/>
      <w:r>
        <w:rPr>
          <w:rFonts w:hint="eastAsia" w:ascii="仿宋_GB2312" w:hAnsi="仿宋_GB2312" w:cs="仿宋_GB2312"/>
        </w:rPr>
        <w:t xml:space="preserve">4.1 </w:t>
      </w:r>
      <w:bookmarkEnd w:id="85"/>
      <w:r>
        <w:rPr>
          <w:rFonts w:hint="eastAsia" w:ascii="楷体_GB2312" w:hAnsi="楷体_GB2312" w:eastAsia="楷体_GB2312" w:cs="楷体_GB2312"/>
        </w:rPr>
        <w:t>明确噪声防治措施选型方案</w:t>
      </w:r>
      <w:bookmarkEnd w:id="86"/>
      <w:bookmarkEnd w:id="87"/>
    </w:p>
    <w:p>
      <w:pPr>
        <w:pStyle w:val="5"/>
        <w:adjustRightInd w:val="0"/>
        <w:snapToGrid w:val="0"/>
        <w:ind w:firstLine="640"/>
        <w:rPr>
          <w:rFonts w:ascii="仿宋_GB2312" w:hAnsi="仿宋_GB2312" w:cs="仿宋_GB2312"/>
        </w:rPr>
      </w:pPr>
      <w:r>
        <w:rPr>
          <w:rFonts w:hint="eastAsia" w:ascii="仿宋_GB2312" w:hAnsi="仿宋_GB2312" w:cs="仿宋_GB2312"/>
        </w:rPr>
        <w:t>以</w:t>
      </w:r>
      <w:r>
        <w:rPr>
          <w:rFonts w:hint="eastAsia"/>
        </w:rPr>
        <w:t>未采用噪声防治措施的</w:t>
      </w:r>
      <w:r>
        <w:rPr>
          <w:rFonts w:hint="eastAsia" w:ascii="仿宋_GB2312" w:hAnsi="仿宋_GB2312" w:cs="仿宋_GB2312"/>
        </w:rPr>
        <w:t>规划方案噪声预测模拟结果为参照，明确项目范围内的噪声防治措施选型方案，并通过图示方式明确标出拟采用的噪声防治措施类型、位置布局及规模等。</w:t>
      </w:r>
    </w:p>
    <w:p>
      <w:pPr>
        <w:pStyle w:val="5"/>
        <w:adjustRightInd w:val="0"/>
        <w:snapToGrid w:val="0"/>
        <w:ind w:firstLine="640"/>
        <w:rPr>
          <w:rFonts w:ascii="楷体_GB2312" w:hAnsi="楷体_GB2312" w:eastAsia="楷体_GB2312" w:cs="楷体_GB2312"/>
        </w:rPr>
      </w:pPr>
      <w:r>
        <w:rPr>
          <w:rFonts w:hint="eastAsia" w:ascii="仿宋_GB2312" w:hAnsi="仿宋_GB2312" w:cs="仿宋_GB2312"/>
        </w:rPr>
        <w:t>如：在项目临路一侧综合采取建筑退距、设置隔声屏障、隔声窗、种植高大乔木等措施，缓解交通噪声对规划项目造成的影响；优化调整建筑物平面及功能布局，合理布局房间功能，避免卧室、书房等需安静的房间朝向道路一侧；合理布局中央空调、公交站、垃圾转运站等设施，避免设施在运营过程中产生的噪声扰民；使用降噪的产品和材料，明确门窗隔声量等。</w:t>
      </w:r>
    </w:p>
    <w:p>
      <w:pPr>
        <w:pStyle w:val="5"/>
        <w:adjustRightInd w:val="0"/>
        <w:snapToGrid w:val="0"/>
        <w:ind w:firstLine="640"/>
        <w:rPr>
          <w:rFonts w:ascii="仿宋_GB2312" w:hAnsi="仿宋_GB2312" w:cs="仿宋_GB2312"/>
        </w:rPr>
      </w:pPr>
      <w:r>
        <w:rPr>
          <w:rFonts w:hint="eastAsia" w:ascii="仿宋_GB2312" w:hAnsi="仿宋_GB2312" w:cs="仿宋_GB2312"/>
        </w:rPr>
        <w:t>提供噪声防治措施的执行标准和降噪效能说明，如：对于隔声屏障，应提供屏障高度、长度、与道路距离；对于隔声窗，应提供隔声性能等级；对于临噪声源一侧绿化带，应提供绿化带宽度、长度、植物配置与叶面积指数等；对于建筑墙体、建材与施工工艺，应提供建筑墙体构造、建材密度、气密性施工工艺、防共振建材等；采取噪声防治措施后噪声敏感房间应能够满足《民用建筑隔声设计规范》（GB 50118）、《住宅项目规范》（GB55038）和《建筑环境通用规范》（GB 55016）等标准所规定的室内噪声要求。</w:t>
      </w:r>
    </w:p>
    <w:p>
      <w:pPr>
        <w:pStyle w:val="5"/>
        <w:adjustRightInd w:val="0"/>
        <w:snapToGrid w:val="0"/>
        <w:ind w:firstLine="640"/>
        <w:outlineLvl w:val="1"/>
        <w:rPr>
          <w:rFonts w:ascii="仿宋_GB2312" w:hAnsi="仿宋_GB2312" w:cs="仿宋_GB2312"/>
        </w:rPr>
      </w:pPr>
      <w:bookmarkStart w:id="88" w:name="_Toc7764"/>
      <w:bookmarkStart w:id="89" w:name="_Toc19028"/>
      <w:bookmarkStart w:id="90" w:name="_Toc22766"/>
      <w:r>
        <w:rPr>
          <w:rFonts w:hint="eastAsia" w:ascii="仿宋_GB2312" w:hAnsi="仿宋_GB2312" w:cs="仿宋_GB2312"/>
        </w:rPr>
        <w:t>4.2 拟</w:t>
      </w:r>
      <w:r>
        <w:rPr>
          <w:rFonts w:hint="eastAsia" w:ascii="楷体_GB2312" w:hAnsi="楷体_GB2312" w:eastAsia="楷体_GB2312" w:cs="楷体_GB2312"/>
        </w:rPr>
        <w:t>采取噪声防治措施的规划方案</w:t>
      </w:r>
      <w:r>
        <w:rPr>
          <w:rFonts w:hint="eastAsia" w:ascii="仿宋_GB2312" w:hAnsi="仿宋_GB2312" w:cs="仿宋_GB2312"/>
        </w:rPr>
        <w:t>模拟</w:t>
      </w:r>
      <w:bookmarkEnd w:id="88"/>
      <w:bookmarkEnd w:id="89"/>
      <w:bookmarkEnd w:id="90"/>
    </w:p>
    <w:p>
      <w:pPr>
        <w:pStyle w:val="9"/>
        <w:adjustRightInd w:val="0"/>
        <w:snapToGrid w:val="0"/>
        <w:ind w:firstLine="640"/>
        <w:rPr>
          <w:rFonts w:ascii="仿宋_GB2312" w:hAnsi="仿宋_GB2312" w:cs="仿宋_GB2312"/>
        </w:rPr>
      </w:pPr>
      <w:r>
        <w:rPr>
          <w:rFonts w:hint="eastAsia" w:ascii="仿宋_GB2312" w:hAnsi="仿宋_GB2312" w:cs="仿宋_GB2312"/>
        </w:rPr>
        <w:t>对</w:t>
      </w:r>
      <w:r>
        <w:rPr>
          <w:rFonts w:hint="eastAsia"/>
        </w:rPr>
        <w:t>规划方案拟采取的噪声防治措施</w:t>
      </w:r>
      <w:r>
        <w:rPr>
          <w:rFonts w:hint="eastAsia" w:ascii="仿宋_GB2312" w:hAnsi="仿宋_GB2312" w:cs="仿宋_GB2312"/>
        </w:rPr>
        <w:t>进行模拟，需对拟采取的噪声防治措施进行建模，提供模拟分析图，包括但不限于项目1.5m高度处声压级平面分布图4张（昼间高峰时段、昼间常规时段、夜间高峰时段、夜间常规时段），建筑立面噪声级分布图4张（昼间高峰时段、昼间常规时段、夜间高峰时段、夜间常规时段）。</w:t>
      </w:r>
    </w:p>
    <w:bookmarkEnd w:id="76"/>
    <w:bookmarkEnd w:id="77"/>
    <w:bookmarkEnd w:id="78"/>
    <w:p>
      <w:pPr>
        <w:pStyle w:val="3"/>
        <w:adjustRightInd w:val="0"/>
        <w:snapToGrid w:val="0"/>
        <w:ind w:firstLine="640"/>
        <w:rPr>
          <w:rFonts w:ascii="楷体_GB2312" w:hAnsi="楷体_GB2312" w:eastAsia="楷体_GB2312" w:cs="楷体_GB2312"/>
        </w:rPr>
      </w:pPr>
      <w:bookmarkStart w:id="91" w:name="_Toc1677"/>
      <w:bookmarkStart w:id="92" w:name="_Toc1428"/>
      <w:bookmarkStart w:id="93" w:name="_Toc16277"/>
      <w:bookmarkStart w:id="94" w:name="_Toc1601339968"/>
      <w:bookmarkStart w:id="95" w:name="_Toc30858"/>
      <w:bookmarkStart w:id="96" w:name="_Toc11775"/>
      <w:r>
        <w:rPr>
          <w:rFonts w:hint="eastAsia" w:ascii="楷体_GB2312" w:hAnsi="楷体_GB2312" w:eastAsia="楷体_GB2312" w:cs="楷体_GB2312"/>
        </w:rPr>
        <w:t>4.3 噪声防治措施的有效性评价结论</w:t>
      </w:r>
      <w:bookmarkEnd w:id="91"/>
      <w:bookmarkEnd w:id="92"/>
      <w:bookmarkEnd w:id="93"/>
      <w:bookmarkEnd w:id="94"/>
      <w:bookmarkEnd w:id="95"/>
      <w:bookmarkEnd w:id="96"/>
    </w:p>
    <w:p>
      <w:pPr>
        <w:pStyle w:val="5"/>
        <w:adjustRightInd w:val="0"/>
        <w:snapToGrid w:val="0"/>
        <w:ind w:firstLine="640"/>
        <w:rPr>
          <w:rFonts w:ascii="仿宋_GB2312" w:hAnsi="仿宋_GB2312" w:cs="仿宋_GB2312"/>
        </w:rPr>
      </w:pPr>
      <w:r>
        <w:rPr>
          <w:rFonts w:hint="eastAsia" w:ascii="仿宋_GB2312" w:hAnsi="仿宋_GB2312" w:cs="仿宋_GB2312"/>
        </w:rPr>
        <w:t>通过对比噪声敏感建筑采取噪声防治措施前、后的项目室内/外声环境达标情况，展示关键数据和采取噪声防治措施后是否达标的评价结论。给出敏感建筑物噪声超标区域的降噪效果汇总表（表4-</w:t>
      </w:r>
      <w:r>
        <w:rPr>
          <w:rFonts w:ascii="仿宋_GB2312" w:hAnsi="仿宋_GB2312" w:cs="仿宋_GB2312"/>
          <w:lang w:val="en"/>
        </w:rPr>
        <w:t>1</w:t>
      </w:r>
      <w:r>
        <w:rPr>
          <w:rFonts w:hint="eastAsia" w:ascii="仿宋_GB2312" w:hAnsi="仿宋_GB2312" w:cs="仿宋_GB2312"/>
        </w:rPr>
        <w:t>），并提供超标区域前后达标对比模拟图。</w:t>
      </w:r>
    </w:p>
    <w:p>
      <w:pPr>
        <w:keepNext/>
        <w:ind w:firstLine="0" w:firstLineChars="0"/>
        <w:jc w:val="center"/>
        <w:rPr>
          <w:rFonts w:ascii="黑体" w:hAnsi="黑体" w:eastAsia="黑体" w:cs="黑体"/>
          <w:sz w:val="28"/>
          <w:szCs w:val="28"/>
        </w:rPr>
      </w:pPr>
      <w:r>
        <w:rPr>
          <w:rFonts w:hint="eastAsia" w:ascii="黑体" w:hAnsi="黑体" w:eastAsia="黑体" w:cs="黑体"/>
          <w:sz w:val="28"/>
          <w:szCs w:val="28"/>
        </w:rPr>
        <w:t>表 4-</w:t>
      </w:r>
      <w:r>
        <w:rPr>
          <w:rFonts w:ascii="黑体" w:hAnsi="黑体" w:eastAsia="黑体" w:cs="黑体"/>
          <w:sz w:val="28"/>
          <w:szCs w:val="28"/>
          <w:lang w:val="en"/>
        </w:rPr>
        <w:t>1</w:t>
      </w:r>
      <w:r>
        <w:rPr>
          <w:rFonts w:hint="eastAsia" w:ascii="黑体" w:hAnsi="黑体" w:eastAsia="黑体" w:cs="黑体"/>
          <w:sz w:val="28"/>
          <w:szCs w:val="28"/>
        </w:rPr>
        <w:t>项目的降噪效果汇总表，单位： dB(A)</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263"/>
        <w:gridCol w:w="1013"/>
        <w:gridCol w:w="658"/>
        <w:gridCol w:w="1238"/>
        <w:gridCol w:w="1942"/>
        <w:gridCol w:w="1255"/>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287" w:type="pct"/>
            <w:tcBorders>
              <w:top w:val="single" w:color="000000" w:sz="12" w:space="0"/>
              <w:left w:val="single" w:color="000000" w:sz="12"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cs="仿宋_GB2312"/>
                <w:b/>
                <w:sz w:val="22"/>
                <w:szCs w:val="28"/>
              </w:rPr>
            </w:pPr>
            <w:r>
              <w:rPr>
                <w:rFonts w:hint="eastAsia" w:ascii="仿宋_GB2312" w:hAnsi="仿宋_GB2312" w:cs="仿宋_GB2312"/>
                <w:b/>
                <w:kern w:val="0"/>
                <w:sz w:val="22"/>
                <w:szCs w:val="22"/>
                <w:lang w:bidi="ar"/>
              </w:rPr>
              <w:t>序号</w:t>
            </w:r>
          </w:p>
        </w:tc>
        <w:tc>
          <w:tcPr>
            <w:tcW w:w="741" w:type="pct"/>
            <w:tcBorders>
              <w:top w:val="single" w:color="000000" w:sz="12"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cs="仿宋_GB2312"/>
                <w:b/>
                <w:sz w:val="22"/>
                <w:szCs w:val="28"/>
              </w:rPr>
            </w:pPr>
            <w:r>
              <w:rPr>
                <w:rFonts w:hint="eastAsia" w:ascii="仿宋_GB2312" w:hAnsi="仿宋_GB2312" w:cs="仿宋_GB2312"/>
                <w:b/>
                <w:kern w:val="0"/>
                <w:sz w:val="22"/>
                <w:szCs w:val="22"/>
                <w:lang w:bidi="ar"/>
              </w:rPr>
              <w:t>超标区域</w:t>
            </w:r>
          </w:p>
        </w:tc>
        <w:tc>
          <w:tcPr>
            <w:tcW w:w="594" w:type="pct"/>
            <w:tcBorders>
              <w:top w:val="single" w:color="000000" w:sz="12"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cs="仿宋_GB2312"/>
                <w:b/>
                <w:kern w:val="0"/>
                <w:sz w:val="22"/>
                <w:szCs w:val="22"/>
                <w:lang w:bidi="ar"/>
              </w:rPr>
            </w:pPr>
            <w:r>
              <w:rPr>
                <w:rFonts w:hint="eastAsia" w:ascii="仿宋_GB2312" w:hAnsi="仿宋_GB2312" w:cs="仿宋_GB2312"/>
                <w:b/>
                <w:kern w:val="0"/>
                <w:sz w:val="22"/>
                <w:szCs w:val="22"/>
                <w:lang w:bidi="ar"/>
              </w:rPr>
              <w:t>声环境功能区类型</w:t>
            </w:r>
          </w:p>
        </w:tc>
        <w:tc>
          <w:tcPr>
            <w:tcW w:w="386" w:type="pct"/>
            <w:tcBorders>
              <w:top w:val="single" w:color="000000" w:sz="12"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cs="仿宋_GB2312"/>
                <w:b/>
                <w:sz w:val="22"/>
                <w:szCs w:val="28"/>
              </w:rPr>
            </w:pPr>
            <w:r>
              <w:rPr>
                <w:rFonts w:hint="eastAsia" w:ascii="仿宋_GB2312" w:hAnsi="仿宋_GB2312" w:cs="仿宋_GB2312"/>
                <w:b/>
                <w:kern w:val="0"/>
                <w:sz w:val="22"/>
                <w:szCs w:val="22"/>
                <w:lang w:bidi="ar"/>
              </w:rPr>
              <w:t>标准限值</w:t>
            </w:r>
          </w:p>
        </w:tc>
        <w:tc>
          <w:tcPr>
            <w:tcW w:w="726" w:type="pct"/>
            <w:tcBorders>
              <w:top w:val="single" w:color="000000" w:sz="12"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cs="仿宋_GB2312"/>
                <w:b/>
                <w:sz w:val="22"/>
                <w:szCs w:val="28"/>
              </w:rPr>
            </w:pPr>
            <w:r>
              <w:rPr>
                <w:rFonts w:hint="eastAsia" w:ascii="仿宋_GB2312" w:hAnsi="仿宋_GB2312" w:cs="仿宋_GB2312"/>
                <w:b/>
                <w:kern w:val="0"/>
                <w:sz w:val="22"/>
                <w:szCs w:val="22"/>
                <w:lang w:bidi="ar"/>
              </w:rPr>
              <w:t>采取降噪措施前预测值</w:t>
            </w:r>
          </w:p>
        </w:tc>
        <w:tc>
          <w:tcPr>
            <w:tcW w:w="1139" w:type="pct"/>
            <w:tcBorders>
              <w:top w:val="single" w:color="000000" w:sz="12"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cs="仿宋_GB2312"/>
                <w:b/>
                <w:sz w:val="22"/>
                <w:szCs w:val="28"/>
              </w:rPr>
            </w:pPr>
            <w:r>
              <w:rPr>
                <w:rFonts w:hint="eastAsia" w:ascii="仿宋_GB2312" w:hAnsi="仿宋_GB2312" w:cs="仿宋_GB2312"/>
                <w:b/>
                <w:kern w:val="0"/>
                <w:sz w:val="22"/>
                <w:szCs w:val="22"/>
                <w:lang w:bidi="ar"/>
              </w:rPr>
              <w:t>拟采取降噪措施名称</w:t>
            </w:r>
          </w:p>
        </w:tc>
        <w:tc>
          <w:tcPr>
            <w:tcW w:w="736" w:type="pct"/>
            <w:tcBorders>
              <w:top w:val="single" w:color="000000" w:sz="12"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cs="仿宋_GB2312"/>
                <w:b/>
                <w:sz w:val="22"/>
                <w:szCs w:val="28"/>
              </w:rPr>
            </w:pPr>
            <w:r>
              <w:rPr>
                <w:rFonts w:hint="eastAsia" w:ascii="仿宋_GB2312" w:hAnsi="仿宋_GB2312" w:cs="仿宋_GB2312"/>
                <w:b/>
                <w:kern w:val="0"/>
                <w:sz w:val="22"/>
                <w:szCs w:val="22"/>
                <w:lang w:bidi="ar"/>
              </w:rPr>
              <w:t>采取措施后噪声预测值</w:t>
            </w:r>
          </w:p>
        </w:tc>
        <w:tc>
          <w:tcPr>
            <w:tcW w:w="387" w:type="pct"/>
            <w:tcBorders>
              <w:top w:val="single" w:color="000000" w:sz="12" w:space="0"/>
              <w:left w:val="single" w:color="000000" w:sz="4" w:space="0"/>
              <w:bottom w:val="single" w:color="000000" w:sz="4" w:space="0"/>
              <w:right w:val="single" w:color="000000" w:sz="12"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cs="仿宋_GB2312"/>
                <w:b/>
                <w:sz w:val="22"/>
                <w:szCs w:val="28"/>
              </w:rPr>
            </w:pPr>
            <w:r>
              <w:rPr>
                <w:rFonts w:hint="eastAsia" w:ascii="仿宋_GB2312" w:hAnsi="仿宋_GB2312" w:cs="仿宋_GB2312"/>
                <w:b/>
                <w:sz w:val="22"/>
                <w:szCs w:val="28"/>
              </w:rPr>
              <w:t>是否达标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7" w:type="pct"/>
            <w:tcBorders>
              <w:top w:val="single" w:color="000000" w:sz="4" w:space="0"/>
              <w:left w:val="single" w:color="000000" w:sz="12"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8"/>
              </w:rPr>
            </w:pPr>
            <w:r>
              <w:rPr>
                <w:rFonts w:hint="eastAsia" w:ascii="仿宋_GB2312" w:hAnsi="仿宋_GB2312" w:eastAsia="仿宋_GB2312" w:cs="仿宋_GB2312"/>
                <w:kern w:val="0"/>
                <w:sz w:val="22"/>
                <w:szCs w:val="22"/>
                <w:lang w:bidi="ar"/>
              </w:rPr>
              <w:t>1</w:t>
            </w:r>
          </w:p>
        </w:tc>
        <w:tc>
          <w:tcPr>
            <w:tcW w:w="741"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left"/>
              <w:textAlignment w:val="center"/>
              <w:rPr>
                <w:rFonts w:ascii="仿宋_GB2312" w:hAnsi="仿宋_GB2312" w:eastAsia="仿宋_GB2312" w:cs="仿宋_GB2312"/>
                <w:b/>
                <w:sz w:val="22"/>
                <w:szCs w:val="28"/>
              </w:rPr>
            </w:pPr>
            <w:r>
              <w:rPr>
                <w:rFonts w:ascii="仿宋_GB2312" w:hAnsi="仿宋_GB2312" w:eastAsia="仿宋_GB2312" w:cs="仿宋_GB2312"/>
                <w:b/>
                <w:sz w:val="22"/>
                <w:szCs w:val="28"/>
              </w:rPr>
              <w:t>X</w:t>
            </w:r>
            <w:r>
              <w:rPr>
                <w:rFonts w:hint="eastAsia" w:ascii="仿宋_GB2312" w:hAnsi="仿宋_GB2312" w:eastAsia="仿宋_GB2312" w:cs="仿宋_GB2312"/>
                <w:b/>
                <w:sz w:val="22"/>
                <w:szCs w:val="28"/>
              </w:rPr>
              <w:t>位置</w:t>
            </w:r>
          </w:p>
        </w:tc>
        <w:tc>
          <w:tcPr>
            <w:tcW w:w="594"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38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72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r>
              <w:rPr>
                <w:rFonts w:hint="eastAsia" w:ascii="仿宋_GB2312" w:hAnsi="仿宋_GB2312" w:eastAsia="仿宋_GB2312" w:cs="仿宋_GB2312"/>
                <w:b/>
                <w:sz w:val="22"/>
                <w:szCs w:val="28"/>
              </w:rPr>
              <w:t>具体超标的时段和数值</w:t>
            </w:r>
          </w:p>
        </w:tc>
        <w:tc>
          <w:tcPr>
            <w:tcW w:w="1139"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left"/>
              <w:textAlignment w:val="center"/>
              <w:rPr>
                <w:rFonts w:ascii="仿宋_GB2312" w:hAnsi="仿宋_GB2312" w:eastAsia="仿宋_GB2312" w:cs="仿宋_GB2312"/>
                <w:b/>
                <w:sz w:val="22"/>
                <w:szCs w:val="28"/>
              </w:rPr>
            </w:pPr>
            <w:r>
              <w:rPr>
                <w:rFonts w:hint="eastAsia" w:ascii="仿宋_GB2312" w:hAnsi="仿宋_GB2312" w:eastAsia="仿宋_GB2312" w:cs="仿宋_GB2312"/>
                <w:b/>
                <w:sz w:val="22"/>
                <w:szCs w:val="28"/>
              </w:rPr>
              <w:t>具体描述在哪里采取了什么措施、拟采取措施位置布局及规模等</w:t>
            </w:r>
          </w:p>
        </w:tc>
        <w:tc>
          <w:tcPr>
            <w:tcW w:w="73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r>
              <w:rPr>
                <w:rFonts w:hint="eastAsia" w:ascii="仿宋_GB2312" w:hAnsi="仿宋_GB2312" w:eastAsia="仿宋_GB2312" w:cs="仿宋_GB2312"/>
                <w:b/>
                <w:sz w:val="22"/>
                <w:szCs w:val="28"/>
              </w:rPr>
              <w:t>对应之前超标的时段和数值</w:t>
            </w:r>
          </w:p>
        </w:tc>
        <w:tc>
          <w:tcPr>
            <w:tcW w:w="387" w:type="pct"/>
            <w:tcBorders>
              <w:top w:val="single" w:color="000000" w:sz="4" w:space="0"/>
              <w:left w:val="single" w:color="000000" w:sz="4" w:space="0"/>
              <w:bottom w:val="single" w:color="000000" w:sz="4" w:space="0"/>
              <w:right w:val="single" w:color="000000" w:sz="12"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7" w:type="pct"/>
            <w:tcBorders>
              <w:top w:val="single" w:color="000000" w:sz="4" w:space="0"/>
              <w:left w:val="single" w:color="000000" w:sz="12"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8"/>
              </w:rPr>
            </w:pPr>
            <w:r>
              <w:rPr>
                <w:rFonts w:hint="eastAsia" w:ascii="仿宋_GB2312" w:hAnsi="仿宋_GB2312" w:eastAsia="仿宋_GB2312" w:cs="仿宋_GB2312"/>
                <w:kern w:val="0"/>
                <w:sz w:val="22"/>
                <w:szCs w:val="22"/>
                <w:lang w:bidi="ar"/>
              </w:rPr>
              <w:t>2</w:t>
            </w:r>
          </w:p>
        </w:tc>
        <w:tc>
          <w:tcPr>
            <w:tcW w:w="741"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left"/>
              <w:textAlignment w:val="center"/>
              <w:rPr>
                <w:rFonts w:ascii="仿宋_GB2312" w:hAnsi="仿宋_GB2312" w:eastAsia="仿宋_GB2312" w:cs="仿宋_GB2312"/>
                <w:b/>
                <w:sz w:val="22"/>
                <w:szCs w:val="28"/>
              </w:rPr>
            </w:pPr>
            <w:r>
              <w:rPr>
                <w:rFonts w:hint="eastAsia" w:ascii="仿宋_GB2312" w:hAnsi="仿宋_GB2312" w:eastAsia="仿宋_GB2312" w:cs="仿宋_GB2312"/>
                <w:b/>
                <w:sz w:val="22"/>
                <w:szCs w:val="28"/>
              </w:rPr>
              <w:t>X栋X高度</w:t>
            </w:r>
          </w:p>
        </w:tc>
        <w:tc>
          <w:tcPr>
            <w:tcW w:w="594"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38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72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1139"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left"/>
              <w:textAlignment w:val="center"/>
              <w:rPr>
                <w:rFonts w:ascii="仿宋_GB2312" w:hAnsi="仿宋_GB2312" w:eastAsia="仿宋_GB2312" w:cs="仿宋_GB2312"/>
                <w:b/>
                <w:sz w:val="22"/>
                <w:szCs w:val="28"/>
              </w:rPr>
            </w:pPr>
          </w:p>
        </w:tc>
        <w:tc>
          <w:tcPr>
            <w:tcW w:w="73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387" w:type="pct"/>
            <w:tcBorders>
              <w:top w:val="single" w:color="000000" w:sz="4" w:space="0"/>
              <w:left w:val="single" w:color="000000" w:sz="4" w:space="0"/>
              <w:bottom w:val="single" w:color="000000" w:sz="4" w:space="0"/>
              <w:right w:val="single" w:color="000000" w:sz="12"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7" w:type="pct"/>
            <w:tcBorders>
              <w:top w:val="single" w:color="000000" w:sz="4" w:space="0"/>
              <w:left w:val="single" w:color="000000" w:sz="12"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8"/>
              </w:rPr>
            </w:pPr>
            <w:r>
              <w:rPr>
                <w:rFonts w:hint="eastAsia" w:ascii="仿宋_GB2312" w:hAnsi="仿宋_GB2312" w:eastAsia="仿宋_GB2312" w:cs="仿宋_GB2312"/>
                <w:kern w:val="0"/>
                <w:sz w:val="22"/>
                <w:szCs w:val="22"/>
                <w:lang w:bidi="ar"/>
              </w:rPr>
              <w:t>3</w:t>
            </w:r>
          </w:p>
        </w:tc>
        <w:tc>
          <w:tcPr>
            <w:tcW w:w="741"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left"/>
              <w:textAlignment w:val="center"/>
              <w:rPr>
                <w:rFonts w:ascii="仿宋_GB2312" w:hAnsi="仿宋_GB2312" w:eastAsia="仿宋_GB2312" w:cs="仿宋_GB2312"/>
                <w:sz w:val="22"/>
                <w:szCs w:val="28"/>
              </w:rPr>
            </w:pPr>
          </w:p>
        </w:tc>
        <w:tc>
          <w:tcPr>
            <w:tcW w:w="594"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38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72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1139"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left"/>
              <w:textAlignment w:val="center"/>
              <w:rPr>
                <w:rFonts w:ascii="仿宋_GB2312" w:hAnsi="仿宋_GB2312" w:eastAsia="仿宋_GB2312" w:cs="仿宋_GB2312"/>
                <w:b/>
                <w:sz w:val="22"/>
                <w:szCs w:val="28"/>
              </w:rPr>
            </w:pPr>
          </w:p>
        </w:tc>
        <w:tc>
          <w:tcPr>
            <w:tcW w:w="73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387" w:type="pct"/>
            <w:tcBorders>
              <w:top w:val="single" w:color="000000" w:sz="4" w:space="0"/>
              <w:left w:val="single" w:color="000000" w:sz="4" w:space="0"/>
              <w:bottom w:val="single" w:color="000000" w:sz="4" w:space="0"/>
              <w:right w:val="single" w:color="000000" w:sz="12"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7" w:type="pct"/>
            <w:tcBorders>
              <w:top w:val="single" w:color="000000" w:sz="4" w:space="0"/>
              <w:left w:val="single" w:color="000000" w:sz="12"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8"/>
              </w:rPr>
            </w:pPr>
            <w:r>
              <w:rPr>
                <w:rFonts w:hint="eastAsia" w:ascii="仿宋_GB2312" w:hAnsi="仿宋_GB2312" w:eastAsia="仿宋_GB2312" w:cs="仿宋_GB2312"/>
                <w:kern w:val="0"/>
                <w:sz w:val="22"/>
                <w:szCs w:val="22"/>
                <w:lang w:bidi="ar"/>
              </w:rPr>
              <w:t>4</w:t>
            </w:r>
          </w:p>
        </w:tc>
        <w:tc>
          <w:tcPr>
            <w:tcW w:w="741"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left"/>
              <w:textAlignment w:val="center"/>
              <w:rPr>
                <w:rFonts w:ascii="仿宋_GB2312" w:hAnsi="仿宋_GB2312" w:eastAsia="仿宋_GB2312" w:cs="仿宋_GB2312"/>
                <w:sz w:val="22"/>
                <w:szCs w:val="28"/>
              </w:rPr>
            </w:pPr>
          </w:p>
        </w:tc>
        <w:tc>
          <w:tcPr>
            <w:tcW w:w="594"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38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72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1139"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left"/>
              <w:textAlignment w:val="center"/>
              <w:rPr>
                <w:rFonts w:ascii="仿宋_GB2312" w:hAnsi="仿宋_GB2312" w:eastAsia="仿宋_GB2312" w:cs="仿宋_GB2312"/>
                <w:b/>
                <w:sz w:val="22"/>
                <w:szCs w:val="28"/>
              </w:rPr>
            </w:pPr>
          </w:p>
        </w:tc>
        <w:tc>
          <w:tcPr>
            <w:tcW w:w="73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c>
          <w:tcPr>
            <w:tcW w:w="387" w:type="pct"/>
            <w:tcBorders>
              <w:top w:val="single" w:color="000000" w:sz="4" w:space="0"/>
              <w:left w:val="single" w:color="000000" w:sz="4" w:space="0"/>
              <w:bottom w:val="single" w:color="000000" w:sz="4" w:space="0"/>
              <w:right w:val="single" w:color="000000" w:sz="12"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b/>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7" w:type="pct"/>
            <w:tcBorders>
              <w:top w:val="single" w:color="000000" w:sz="4" w:space="0"/>
              <w:left w:val="single" w:color="000000" w:sz="12"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8"/>
              </w:rPr>
            </w:pPr>
            <w:r>
              <w:rPr>
                <w:rFonts w:hint="eastAsia" w:ascii="仿宋_GB2312" w:hAnsi="仿宋_GB2312" w:eastAsia="仿宋_GB2312" w:cs="仿宋_GB2312"/>
                <w:kern w:val="0"/>
                <w:sz w:val="22"/>
                <w:szCs w:val="22"/>
                <w:lang w:bidi="ar"/>
              </w:rPr>
              <w:t>5</w:t>
            </w:r>
          </w:p>
        </w:tc>
        <w:tc>
          <w:tcPr>
            <w:tcW w:w="741"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left"/>
              <w:textAlignment w:val="center"/>
              <w:rPr>
                <w:rFonts w:ascii="仿宋_GB2312" w:hAnsi="仿宋_GB2312" w:eastAsia="仿宋_GB2312" w:cs="仿宋_GB2312"/>
                <w:sz w:val="22"/>
                <w:szCs w:val="28"/>
              </w:rPr>
            </w:pPr>
          </w:p>
        </w:tc>
        <w:tc>
          <w:tcPr>
            <w:tcW w:w="594"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8"/>
              </w:rPr>
            </w:pPr>
          </w:p>
        </w:tc>
        <w:tc>
          <w:tcPr>
            <w:tcW w:w="38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8"/>
              </w:rPr>
            </w:pPr>
          </w:p>
        </w:tc>
        <w:tc>
          <w:tcPr>
            <w:tcW w:w="72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2"/>
              </w:rPr>
            </w:pPr>
          </w:p>
        </w:tc>
        <w:tc>
          <w:tcPr>
            <w:tcW w:w="1139"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left"/>
              <w:textAlignment w:val="center"/>
              <w:rPr>
                <w:rFonts w:ascii="仿宋_GB2312" w:hAnsi="仿宋_GB2312" w:eastAsia="仿宋_GB2312" w:cs="仿宋_GB2312"/>
                <w:sz w:val="22"/>
                <w:szCs w:val="28"/>
              </w:rPr>
            </w:pPr>
          </w:p>
        </w:tc>
        <w:tc>
          <w:tcPr>
            <w:tcW w:w="736" w:type="pct"/>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2"/>
              </w:rPr>
            </w:pPr>
          </w:p>
        </w:tc>
        <w:tc>
          <w:tcPr>
            <w:tcW w:w="387" w:type="pct"/>
            <w:tcBorders>
              <w:top w:val="single" w:color="000000" w:sz="4" w:space="0"/>
              <w:left w:val="single" w:color="000000" w:sz="4" w:space="0"/>
              <w:bottom w:val="single" w:color="000000" w:sz="4" w:space="0"/>
              <w:right w:val="single" w:color="000000" w:sz="12"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7" w:type="pct"/>
            <w:tcBorders>
              <w:top w:val="single" w:color="000000" w:sz="4" w:space="0"/>
              <w:left w:val="single" w:color="000000" w:sz="12" w:space="0"/>
              <w:bottom w:val="single" w:color="000000" w:sz="12"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8"/>
              </w:rPr>
            </w:pPr>
            <w:r>
              <w:rPr>
                <w:rFonts w:hint="eastAsia" w:ascii="仿宋_GB2312" w:hAnsi="仿宋_GB2312" w:eastAsia="仿宋_GB2312" w:cs="仿宋_GB2312"/>
                <w:sz w:val="22"/>
                <w:szCs w:val="28"/>
              </w:rPr>
              <w:t>……</w:t>
            </w:r>
          </w:p>
        </w:tc>
        <w:tc>
          <w:tcPr>
            <w:tcW w:w="741" w:type="pct"/>
            <w:tcBorders>
              <w:top w:val="single" w:color="000000" w:sz="4" w:space="0"/>
              <w:left w:val="single" w:color="000000" w:sz="4" w:space="0"/>
              <w:bottom w:val="single" w:color="000000" w:sz="12"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left"/>
              <w:textAlignment w:val="center"/>
              <w:rPr>
                <w:rFonts w:ascii="仿宋_GB2312" w:hAnsi="仿宋_GB2312" w:eastAsia="仿宋_GB2312" w:cs="仿宋_GB2312"/>
                <w:sz w:val="22"/>
                <w:szCs w:val="28"/>
              </w:rPr>
            </w:pPr>
          </w:p>
        </w:tc>
        <w:tc>
          <w:tcPr>
            <w:tcW w:w="594" w:type="pct"/>
            <w:tcBorders>
              <w:top w:val="single" w:color="000000" w:sz="4" w:space="0"/>
              <w:left w:val="single" w:color="000000" w:sz="4" w:space="0"/>
              <w:bottom w:val="single" w:color="000000" w:sz="12"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8"/>
              </w:rPr>
            </w:pPr>
          </w:p>
        </w:tc>
        <w:tc>
          <w:tcPr>
            <w:tcW w:w="386" w:type="pct"/>
            <w:tcBorders>
              <w:top w:val="single" w:color="000000" w:sz="4" w:space="0"/>
              <w:left w:val="single" w:color="000000" w:sz="4" w:space="0"/>
              <w:bottom w:val="single" w:color="000000" w:sz="12"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8"/>
              </w:rPr>
            </w:pPr>
          </w:p>
        </w:tc>
        <w:tc>
          <w:tcPr>
            <w:tcW w:w="726" w:type="pct"/>
            <w:tcBorders>
              <w:top w:val="single" w:color="000000" w:sz="4" w:space="0"/>
              <w:left w:val="single" w:color="000000" w:sz="4" w:space="0"/>
              <w:bottom w:val="single" w:color="000000" w:sz="12"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2"/>
              </w:rPr>
            </w:pPr>
          </w:p>
        </w:tc>
        <w:tc>
          <w:tcPr>
            <w:tcW w:w="1139" w:type="pct"/>
            <w:tcBorders>
              <w:top w:val="single" w:color="000000" w:sz="4" w:space="0"/>
              <w:left w:val="single" w:color="000000" w:sz="4" w:space="0"/>
              <w:bottom w:val="single" w:color="000000" w:sz="12"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left"/>
              <w:textAlignment w:val="center"/>
              <w:rPr>
                <w:rFonts w:ascii="仿宋_GB2312" w:hAnsi="仿宋_GB2312" w:eastAsia="仿宋_GB2312" w:cs="仿宋_GB2312"/>
                <w:sz w:val="22"/>
                <w:szCs w:val="28"/>
              </w:rPr>
            </w:pPr>
          </w:p>
        </w:tc>
        <w:tc>
          <w:tcPr>
            <w:tcW w:w="736" w:type="pct"/>
            <w:tcBorders>
              <w:top w:val="single" w:color="000000" w:sz="4" w:space="0"/>
              <w:left w:val="single" w:color="000000" w:sz="4" w:space="0"/>
              <w:bottom w:val="single" w:color="000000" w:sz="12" w:space="0"/>
              <w:right w:val="single" w:color="000000" w:sz="4"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2"/>
              </w:rPr>
            </w:pPr>
          </w:p>
        </w:tc>
        <w:tc>
          <w:tcPr>
            <w:tcW w:w="387" w:type="pct"/>
            <w:tcBorders>
              <w:top w:val="single" w:color="000000" w:sz="4" w:space="0"/>
              <w:left w:val="single" w:color="000000" w:sz="4" w:space="0"/>
              <w:bottom w:val="single" w:color="000000" w:sz="12" w:space="0"/>
              <w:right w:val="single" w:color="000000" w:sz="12" w:space="0"/>
              <w:tl2br w:val="nil"/>
              <w:tr2bl w:val="nil"/>
            </w:tcBorders>
            <w:shd w:val="clear" w:color="auto" w:fill="FFFFFF"/>
            <w:vAlign w:val="center"/>
          </w:tcPr>
          <w:p>
            <w:pPr>
              <w:keepNext/>
              <w:widowControl/>
              <w:snapToGrid w:val="0"/>
              <w:spacing w:line="240" w:lineRule="auto"/>
              <w:ind w:left="0" w:leftChars="0" w:right="0" w:rightChars="0" w:firstLine="0" w:firstLineChars="0"/>
              <w:jc w:val="center"/>
              <w:textAlignment w:val="center"/>
              <w:rPr>
                <w:rFonts w:ascii="仿宋_GB2312" w:hAnsi="仿宋_GB2312" w:eastAsia="仿宋_GB2312" w:cs="仿宋_GB2312"/>
                <w:sz w:val="22"/>
                <w:szCs w:val="22"/>
              </w:rPr>
            </w:pPr>
          </w:p>
        </w:tc>
      </w:tr>
    </w:tbl>
    <w:p>
      <w:pPr>
        <w:pStyle w:val="5"/>
        <w:adjustRightInd w:val="0"/>
        <w:snapToGrid w:val="0"/>
        <w:ind w:firstLine="0" w:firstLineChars="0"/>
        <w:rPr>
          <w:rFonts w:ascii="仿宋_GB2312" w:hAnsi="仿宋_GB2312" w:cs="仿宋_GB2312"/>
        </w:rPr>
      </w:pPr>
    </w:p>
    <w:p>
      <w:pPr>
        <w:pStyle w:val="2"/>
        <w:spacing w:line="560" w:lineRule="exact"/>
      </w:pPr>
      <w:bookmarkStart w:id="97" w:name="_Toc26307"/>
      <w:bookmarkStart w:id="98" w:name="_Toc16350"/>
      <w:bookmarkStart w:id="99" w:name="_Toc2128534684"/>
      <w:bookmarkStart w:id="100" w:name="_Toc28377"/>
      <w:bookmarkStart w:id="101" w:name="_Toc3254"/>
      <w:bookmarkStart w:id="102" w:name="_Toc16110"/>
      <w:r>
        <w:rPr>
          <w:rFonts w:hint="eastAsia"/>
        </w:rPr>
        <w:t xml:space="preserve">5 </w:t>
      </w:r>
      <w:bookmarkEnd w:id="97"/>
      <w:bookmarkEnd w:id="98"/>
      <w:bookmarkEnd w:id="99"/>
      <w:r>
        <w:rPr>
          <w:rFonts w:hint="eastAsia"/>
        </w:rPr>
        <w:t>总结与建议</w:t>
      </w:r>
      <w:bookmarkEnd w:id="100"/>
      <w:bookmarkEnd w:id="101"/>
      <w:bookmarkEnd w:id="102"/>
    </w:p>
    <w:p>
      <w:pPr>
        <w:pStyle w:val="5"/>
        <w:adjustRightInd w:val="0"/>
        <w:snapToGrid w:val="0"/>
        <w:ind w:firstLine="640"/>
        <w:rPr>
          <w:rFonts w:ascii="仿宋_GB2312" w:hAnsi="仿宋_GB2312" w:cs="仿宋_GB2312"/>
        </w:rPr>
      </w:pPr>
      <w:r>
        <w:rPr>
          <w:rFonts w:hint="eastAsia" w:ascii="仿宋_GB2312" w:hAnsi="仿宋_GB2312" w:cs="仿宋_GB2312"/>
        </w:rPr>
        <w:t>总结本专篇评价结果及拟采取的降噪措施。</w:t>
      </w:r>
    </w:p>
    <w:p>
      <w:pPr>
        <w:pStyle w:val="5"/>
        <w:adjustRightInd w:val="0"/>
        <w:snapToGrid w:val="0"/>
        <w:ind w:firstLine="640"/>
        <w:rPr>
          <w:rFonts w:hint="eastAsia" w:ascii="仿宋_GB2312" w:hAnsi="仿宋_GB2312" w:eastAsia="仿宋_GB2312" w:cs="仿宋_GB2312"/>
          <w:lang w:eastAsia="zh-CN"/>
        </w:rPr>
      </w:pPr>
      <w:r>
        <w:rPr>
          <w:rFonts w:hint="eastAsia" w:ascii="仿宋_GB2312" w:hAnsi="仿宋_GB2312" w:cs="仿宋_GB2312"/>
        </w:rPr>
        <w:t>提出项目规划方案衔接本项目噪声污染防治专篇结论的意见建议，说明拟采取的噪声防治措施在本项目“规划－设计－施工－运维”等各阶段的落实计划。</w:t>
      </w:r>
      <w:r>
        <w:rPr>
          <w:rFonts w:hint="eastAsia" w:ascii="仿宋_GB2312" w:hAnsi="仿宋_GB2312" w:cs="仿宋_GB2312"/>
          <w:lang w:val="en-US" w:eastAsia="zh-CN"/>
        </w:rPr>
        <w:t>项目</w:t>
      </w:r>
      <w:r>
        <w:rPr>
          <w:rFonts w:hint="eastAsia" w:ascii="仿宋_GB2312" w:hAnsi="仿宋_GB2312" w:cs="仿宋_GB2312"/>
        </w:rPr>
        <w:t>建设单位应在后续阶段落实噪声防治措施的投资预算</w:t>
      </w:r>
      <w:r>
        <w:rPr>
          <w:rFonts w:hint="eastAsia" w:ascii="仿宋_GB2312" w:hAnsi="仿宋_GB2312" w:cs="仿宋_GB2312"/>
          <w:lang w:eastAsia="zh-CN"/>
        </w:rPr>
        <w:t>。</w:t>
      </w:r>
    </w:p>
    <w:p>
      <w:pPr>
        <w:pStyle w:val="5"/>
        <w:adjustRightInd w:val="0"/>
        <w:snapToGrid w:val="0"/>
        <w:ind w:firstLine="640" w:firstLineChars="0"/>
        <w:rPr>
          <w:rFonts w:ascii="仿宋_GB2312" w:hAnsi="仿宋_GB2312" w:cs="仿宋_GB2312"/>
        </w:rPr>
        <w:sectPr>
          <w:footerReference r:id="rId12" w:type="default"/>
          <w:pgSz w:w="11906" w:h="16838"/>
          <w:pgMar w:top="1440" w:right="1800" w:bottom="1440" w:left="1800" w:header="851" w:footer="992" w:gutter="0"/>
          <w:pgNumType w:start="1"/>
          <w:cols w:space="425" w:num="1"/>
          <w:docGrid w:type="lines" w:linePitch="312" w:charSpace="0"/>
        </w:sectPr>
      </w:pPr>
      <w:r>
        <w:rPr>
          <w:rFonts w:hint="eastAsia" w:ascii="仿宋_GB2312" w:hAnsi="仿宋_GB2312" w:cs="仿宋_GB2312"/>
        </w:rPr>
        <w:t>对于室外声环境不满足《声环境质量标准》（GB 3096）限值或室内声环境不满足《建筑环境通用规范》（GB 55016）、《民用建筑隔声设计规范》（GB 50118）、《住宅项目规范》（GB 55038）等标准的居住类项目（临近城市主干路、轨道交通干线等），应将建筑声学设计要求与噪声防治措施纳入项目主规划方案附件或建议章节，作为后续施工图设计的前置性技术依据。</w:t>
      </w:r>
    </w:p>
    <w:p>
      <w:pPr>
        <w:pStyle w:val="2"/>
        <w:spacing w:line="560" w:lineRule="exact"/>
      </w:pPr>
      <w:bookmarkStart w:id="103" w:name="_Toc6215"/>
      <w:r>
        <w:rPr>
          <w:rFonts w:hint="eastAsia"/>
        </w:rPr>
        <w:t>附件</w:t>
      </w:r>
      <w:bookmarkEnd w:id="103"/>
    </w:p>
    <w:p>
      <w:pPr>
        <w:ind w:firstLine="640" w:firstLineChars="0"/>
      </w:pPr>
    </w:p>
    <w:tbl>
      <w:tblPr>
        <w:tblStyle w:val="21"/>
        <w:tblW w:w="13108" w:type="dxa"/>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78"/>
        <w:gridCol w:w="2034"/>
        <w:gridCol w:w="1258"/>
        <w:gridCol w:w="5522"/>
        <w:gridCol w:w="1582"/>
        <w:gridCol w:w="20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13108" w:type="dxa"/>
            <w:gridSpan w:val="6"/>
            <w:noWrap/>
          </w:tcPr>
          <w:p>
            <w:pPr>
              <w:widowControl/>
              <w:spacing w:line="240" w:lineRule="auto"/>
              <w:ind w:firstLine="0" w:firstLineChars="0"/>
              <w:jc w:val="center"/>
              <w:textAlignment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kern w:val="0"/>
                <w:sz w:val="28"/>
                <w:szCs w:val="28"/>
                <w:lang w:bidi="ar"/>
              </w:rPr>
              <w:t>噪声污染防治专篇</w:t>
            </w:r>
            <w:r>
              <w:rPr>
                <w:rFonts w:hint="eastAsia" w:ascii="仿宋_GB2312" w:hAnsi="仿宋_GB2312" w:cs="仿宋_GB2312"/>
                <w:b/>
                <w:bCs/>
                <w:kern w:val="0"/>
                <w:sz w:val="28"/>
                <w:szCs w:val="28"/>
                <w:lang w:eastAsia="zh-CN" w:bidi="ar"/>
              </w:rPr>
              <w:t>自</w:t>
            </w:r>
            <w:r>
              <w:rPr>
                <w:rFonts w:hint="eastAsia" w:ascii="仿宋_GB2312" w:hAnsi="仿宋_GB2312" w:eastAsia="仿宋_GB2312" w:cs="仿宋_GB2312"/>
                <w:b/>
                <w:bCs/>
                <w:kern w:val="0"/>
                <w:sz w:val="28"/>
                <w:szCs w:val="28"/>
                <w:lang w:bidi="ar"/>
              </w:rPr>
              <w:t>查表</w:t>
            </w:r>
            <w:r>
              <w:rPr>
                <w:rStyle w:val="25"/>
                <w:rFonts w:hint="eastAsia" w:ascii="仿宋_GB2312" w:hAnsi="仿宋_GB2312" w:eastAsia="仿宋_GB2312" w:cs="仿宋_GB2312"/>
                <w:b/>
                <w:bCs/>
                <w:kern w:val="0"/>
                <w:sz w:val="28"/>
                <w:szCs w:val="28"/>
                <w:lang w:bidi="ar"/>
              </w:rPr>
              <w:footnoteReference w:id="4"/>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2712" w:type="dxa"/>
            <w:gridSpan w:val="2"/>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项目名称</w:t>
            </w:r>
          </w:p>
        </w:tc>
        <w:tc>
          <w:tcPr>
            <w:tcW w:w="10396" w:type="dxa"/>
            <w:gridSpan w:val="4"/>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2712" w:type="dxa"/>
            <w:gridSpan w:val="2"/>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申报主体</w:t>
            </w:r>
          </w:p>
        </w:tc>
        <w:tc>
          <w:tcPr>
            <w:tcW w:w="10396" w:type="dxa"/>
            <w:gridSpan w:val="4"/>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2712" w:type="dxa"/>
            <w:gridSpan w:val="2"/>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地块位置</w:t>
            </w:r>
          </w:p>
        </w:tc>
        <w:tc>
          <w:tcPr>
            <w:tcW w:w="10396" w:type="dxa"/>
            <w:gridSpan w:val="4"/>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2712" w:type="dxa"/>
            <w:gridSpan w:val="2"/>
          </w:tcPr>
          <w:p>
            <w:pPr>
              <w:widowControl/>
              <w:spacing w:line="240" w:lineRule="auto"/>
              <w:ind w:firstLine="0" w:firstLineChars="0"/>
              <w:jc w:val="center"/>
              <w:textAlignment w:val="center"/>
              <w:rPr>
                <w:rFonts w:hint="eastAsia" w:ascii="仿宋_GB2312" w:hAnsi="仿宋_GB2312" w:eastAsia="仿宋_GB2312" w:cs="仿宋_GB2312"/>
                <w:b/>
                <w:bCs/>
                <w:kern w:val="0"/>
                <w:sz w:val="18"/>
                <w:szCs w:val="18"/>
                <w:lang w:bidi="ar"/>
              </w:rPr>
            </w:pPr>
            <w:r>
              <w:rPr>
                <w:rFonts w:hint="eastAsia" w:ascii="仿宋_GB2312" w:hAnsi="仿宋_GB2312" w:eastAsia="仿宋_GB2312" w:cs="仿宋_GB2312"/>
                <w:b/>
                <w:bCs/>
                <w:kern w:val="0"/>
                <w:sz w:val="18"/>
                <w:szCs w:val="18"/>
                <w:lang w:bidi="ar"/>
              </w:rPr>
              <w:t>宗地号</w:t>
            </w:r>
          </w:p>
        </w:tc>
        <w:tc>
          <w:tcPr>
            <w:tcW w:w="10396" w:type="dxa"/>
            <w:gridSpan w:val="4"/>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2712" w:type="dxa"/>
            <w:gridSpan w:val="2"/>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用地面积</w:t>
            </w:r>
          </w:p>
        </w:tc>
        <w:tc>
          <w:tcPr>
            <w:tcW w:w="10396" w:type="dxa"/>
            <w:gridSpan w:val="4"/>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2712" w:type="dxa"/>
            <w:gridSpan w:val="2"/>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更新方向</w:t>
            </w:r>
          </w:p>
        </w:tc>
        <w:tc>
          <w:tcPr>
            <w:tcW w:w="10396" w:type="dxa"/>
            <w:gridSpan w:val="4"/>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2712" w:type="dxa"/>
            <w:gridSpan w:val="2"/>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审查日期</w:t>
            </w:r>
          </w:p>
        </w:tc>
        <w:tc>
          <w:tcPr>
            <w:tcW w:w="10396" w:type="dxa"/>
            <w:gridSpan w:val="4"/>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3108" w:type="dxa"/>
            <w:gridSpan w:val="6"/>
            <w:noWrap/>
          </w:tcPr>
          <w:p>
            <w:pPr>
              <w:widowControl/>
              <w:spacing w:line="240" w:lineRule="auto"/>
              <w:ind w:firstLine="0" w:firstLineChars="0"/>
              <w:jc w:val="center"/>
              <w:rPr>
                <w:rFonts w:hint="eastAsia" w:ascii="仿宋_GB2312" w:hAnsi="仿宋_GB2312" w:eastAsia="仿宋_GB2312" w:cs="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序号</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审查要点</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选择类型</w:t>
            </w:r>
          </w:p>
        </w:tc>
        <w:tc>
          <w:tcPr>
            <w:tcW w:w="5522" w:type="dxa"/>
          </w:tcPr>
          <w:p>
            <w:pPr>
              <w:widowControl/>
              <w:spacing w:line="240" w:lineRule="auto"/>
              <w:ind w:firstLine="0" w:firstLineChars="0"/>
              <w:jc w:val="center"/>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审查内容</w:t>
            </w:r>
          </w:p>
        </w:tc>
        <w:tc>
          <w:tcPr>
            <w:tcW w:w="1582" w:type="dxa"/>
          </w:tcPr>
          <w:p>
            <w:pPr>
              <w:widowControl/>
              <w:spacing w:line="240" w:lineRule="auto"/>
              <w:ind w:firstLine="0" w:firstLineChars="0"/>
              <w:jc w:val="center"/>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审查情况</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0" w:type="auto"/>
            <w:gridSpan w:val="6"/>
            <w:noWrap/>
          </w:tcPr>
          <w:p>
            <w:pPr>
              <w:widowControl/>
              <w:spacing w:line="240" w:lineRule="auto"/>
              <w:ind w:firstLine="0" w:firstLineChars="0"/>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一、形式与条件审查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1</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专篇规范性</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专篇是否规范完整：封面含项目名称、编制单位（公章）、编制时间及地块名称（编号）；章节完整覆盖编制要点全部内容；编制单位具备相应技术能力或资质；图纸表格编号连续、引用规范</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2</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评价条件与范围</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cs="仿宋_GB2312"/>
                <w:kern w:val="0"/>
                <w:sz w:val="18"/>
                <w:szCs w:val="18"/>
                <w:lang w:bidi="ar"/>
              </w:rPr>
              <w:t>项目规划建设范围涉及交通干边界线外110米范围内或涉及铁路（地面段）边界线外200米范围内</w:t>
            </w:r>
            <w:r>
              <w:rPr>
                <w:rFonts w:hint="eastAsia" w:ascii="仿宋_GB2312" w:hAnsi="仿宋_GB2312" w:eastAsia="仿宋_GB2312" w:cs="仿宋_GB2312"/>
                <w:kern w:val="0"/>
                <w:sz w:val="18"/>
                <w:szCs w:val="18"/>
                <w:lang w:bidi="ar"/>
              </w:rPr>
              <w:t>；评价范围是否覆盖用地红线范围内敏感建筑物，重点关注交通噪声、工业噪声影响明显的区域</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3</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编制依据与标准</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完整列明法律法规依据（如《中华人民共和国噪声污染防治法》等）、规划政策依据（如《深圳市宁静城市建设规划》等）、评价标准（GB55016、GB50118、GB55038、GB3096等）及声环境功能区划分；引用法律法规是否最新版本</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0" w:type="auto"/>
            <w:gridSpan w:val="6"/>
            <w:noWrap/>
          </w:tcPr>
          <w:p>
            <w:pPr>
              <w:widowControl/>
              <w:spacing w:line="240" w:lineRule="auto"/>
              <w:ind w:firstLine="0" w:firstLineChars="0"/>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二、项目概况审查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4</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项目概述与区位</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是否介绍项目区位、建筑主体情况并提供体现项目区位及周边环境的总平面图</w:t>
            </w:r>
            <w:r>
              <w:rPr>
                <w:rFonts w:hint="eastAsia" w:ascii="仿宋_GB2312" w:hAnsi="仿宋_GB2312" w:eastAsia="仿宋_GB2312" w:cs="仿宋_GB2312"/>
                <w:sz w:val="18"/>
                <w:szCs w:val="18"/>
              </w:rPr>
              <w:t xml:space="preserve"> </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5</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声功能区判定</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是否调查并准确判定项目所在区域声环境功能区类别（含4a/4b类区临街建筑修正说明）</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0" w:type="auto"/>
            <w:gridSpan w:val="6"/>
            <w:noWrap/>
          </w:tcPr>
          <w:p>
            <w:pPr>
              <w:widowControl/>
              <w:spacing w:line="240" w:lineRule="auto"/>
              <w:ind w:firstLine="0" w:firstLineChars="0"/>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三、声环境现状监测审查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6</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监测方法</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监测方法是否符合规范和编制要点要求</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7</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监测点位布设</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是否提供声环境质量监测点位布设方案示意图，监测点位是否覆盖评价范围和项目用地红线，数量不少于5个，位置有代表性；如存在较大固定噪声源是否在源与项目间增加点位</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8</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监测结果与超标分析</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是否提供声环境现状监测结果数据，对现状超标情况进行分析</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9</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现状评价结论</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是否给出现状声环境评价结论，说明现状及项目建成后主要声源来源与等效声级</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0" w:type="auto"/>
            <w:gridSpan w:val="6"/>
            <w:noWrap/>
          </w:tcPr>
          <w:p>
            <w:pPr>
              <w:widowControl/>
              <w:spacing w:line="240" w:lineRule="auto"/>
              <w:ind w:firstLine="0" w:firstLineChars="0"/>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四、主要噪声源审查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10</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噪声源识别与分析</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是否分析评价范围内主要噪声源种类、数量、噪声级、噪声特性及声源分布；是否考虑规划用地可能产生的噪声源</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11</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交通噪声源信息表</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是否提供主要噪声源信息表（交通噪声），包含噪声源名称、相对位置、距离、道路级别、设计车速、车道数量、车流量等</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12</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工业噪声源信息表</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选填</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如适用，是否提供主要噪声源信息表（工业企业噪声），包含噪声源名称、相对位置、距离、主要产噪设施、降噪措施等</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0" w:type="auto"/>
            <w:gridSpan w:val="6"/>
            <w:noWrap/>
          </w:tcPr>
          <w:p>
            <w:pPr>
              <w:widowControl/>
              <w:spacing w:line="240" w:lineRule="auto"/>
              <w:ind w:firstLine="0" w:firstLineChars="0"/>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五、声环境模拟预测审查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13</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模拟方法与参数</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是否说明模拟分析方法：软件名称及版本、执行标准（HJ2.4-2021、GB/T 17247、HJ/T 90等）、建模情况及计算原理、模拟参数详细设置（声源高度、地面吸收系数、空气吸收、温度湿度等），且方法符合规范要求</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0" w:type="auto"/>
            <w:gridSpan w:val="6"/>
            <w:noWrap/>
          </w:tcPr>
          <w:p>
            <w:pPr>
              <w:widowControl/>
              <w:spacing w:line="240" w:lineRule="auto"/>
              <w:ind w:firstLine="0" w:firstLineChars="0"/>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六、现场实测校验审查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14</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校验结果与有效性</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是否基于现状监测开展现场实测校验，对比模拟与实测数据；误差≤3dB的有效点位比例是否≥80%；是否提供模拟与实测数据统计表；对不在误差范围内的点位是否备注分析原因</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0" w:type="auto"/>
            <w:gridSpan w:val="6"/>
            <w:noWrap/>
          </w:tcPr>
          <w:p>
            <w:pPr>
              <w:widowControl/>
              <w:spacing w:line="240" w:lineRule="auto"/>
              <w:ind w:firstLine="0" w:firstLineChars="0"/>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七、规划方案模拟与评价审查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15</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未采取措施方案模拟</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是否对未采用噪声防治措施的规划方案进行噪声预测模拟，评价敏感建筑物超标情况</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16</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模拟成果图件</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是否提供噪声预测模型图、1.5m高度声压级平面分布图（昼间高峰时段、昼间常规时段、夜间高峰时段、夜间常规时段）、建筑立面噪声级分布图（昼间高峰时段、昼间常规时段、夜间高峰时段、夜间常规时段）</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17</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声环境评价结论</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是否根据声环境功能区等级和超标情况给出规划方案的声环境评价结论及具体分析</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0" w:type="auto"/>
            <w:gridSpan w:val="6"/>
            <w:noWrap/>
          </w:tcPr>
          <w:p>
            <w:pPr>
              <w:widowControl/>
              <w:spacing w:line="240" w:lineRule="auto"/>
              <w:ind w:firstLine="0" w:firstLineChars="0"/>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八、噪声防治措施审查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18</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措施选型与依据</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是否基于预测模拟结果明确噪声防治措施选型方案；是否提供措施的执行标准和降噪效能说明</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19</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建筑布局优化</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选填</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是否考虑优化建筑物平面及功能布局（卧室、书房等安静房间避免朝向噪声源一侧）；是否合理布局噪声产生设施（空调室外机、公交站、垃圾转运站等）避免运营噪声扰民</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20</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隔声屏障参数</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选填</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如采用隔声屏障，是否提供高度、长度、与道路距离、材料面密度、插入损失估算值等关键参数</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21</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隔声窗参数</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选填</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如采用隔声窗，是否提供窗框型材、开启方式、密封形式、玻璃形式与规格、插入损失等关键参数</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22</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绿化与墙体措施</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选填</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如采用绿化带，是否提供宽度、长度、植物配置等；如涉及建筑墙体，是否提供墙体构造、建材密度、气密性施工工艺、防共振建材等说明</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23</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室内声环境达标措施</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选填</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是否说明隔声构件满足《民用建筑隔声设计规范》（GB 50118）、《住宅项目规范》（GB 55038）和《建筑环境通用规范》（GB 55016）规定的室内噪声目标；对立面噪声超标的临路建筑，是否针对性提出隔声窗等立面降噪措施</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24</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建筑声学与系统性隔声措施</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选填</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是否从建筑声学角度说明室内隔声设计（墙体隔声量、楼板撞击声、分户墙等）；各措施之间是否形成系统性配合（窗-墙-密封-施工）</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kern w:val="0"/>
                <w:sz w:val="18"/>
                <w:szCs w:val="18"/>
                <w:lang w:bidi="ar"/>
              </w:rPr>
            </w:pPr>
            <w:r>
              <w:rPr>
                <w:rFonts w:hint="eastAsia" w:ascii="仿宋_GB2312" w:hAnsi="仿宋_GB2312" w:eastAsia="仿宋_GB2312" w:cs="仿宋_GB2312"/>
                <w:kern w:val="0"/>
                <w:sz w:val="18"/>
                <w:szCs w:val="18"/>
                <w:lang w:bidi="ar"/>
              </w:rPr>
              <w:t>25</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kern w:val="0"/>
                <w:sz w:val="18"/>
                <w:szCs w:val="18"/>
                <w:lang w:bidi="ar"/>
              </w:rPr>
            </w:pPr>
            <w:r>
              <w:rPr>
                <w:rFonts w:hint="eastAsia" w:ascii="仿宋_GB2312" w:hAnsi="仿宋_GB2312" w:eastAsia="仿宋_GB2312" w:cs="仿宋_GB2312"/>
                <w:kern w:val="0"/>
                <w:sz w:val="18"/>
                <w:szCs w:val="18"/>
                <w:lang w:bidi="ar"/>
              </w:rPr>
              <w:t>其他措施</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kern w:val="0"/>
                <w:sz w:val="18"/>
                <w:szCs w:val="18"/>
                <w:lang w:bidi="ar"/>
              </w:rPr>
            </w:pPr>
            <w:r>
              <w:rPr>
                <w:rFonts w:hint="eastAsia" w:ascii="仿宋_GB2312" w:hAnsi="仿宋_GB2312" w:eastAsia="仿宋_GB2312" w:cs="仿宋_GB2312"/>
                <w:kern w:val="0"/>
                <w:sz w:val="18"/>
                <w:szCs w:val="18"/>
                <w:lang w:bidi="ar"/>
              </w:rPr>
              <w:t>选填</w:t>
            </w:r>
          </w:p>
        </w:tc>
        <w:tc>
          <w:tcPr>
            <w:tcW w:w="5522" w:type="dxa"/>
          </w:tcPr>
          <w:p>
            <w:pPr>
              <w:widowControl/>
              <w:spacing w:line="240" w:lineRule="auto"/>
              <w:ind w:firstLine="0" w:firstLineChars="0"/>
              <w:textAlignment w:val="top"/>
              <w:rPr>
                <w:rFonts w:hint="eastAsia" w:ascii="仿宋_GB2312" w:hAnsi="仿宋_GB2312" w:eastAsia="仿宋_GB2312" w:cs="仿宋_GB2312"/>
                <w:kern w:val="0"/>
                <w:sz w:val="18"/>
                <w:szCs w:val="18"/>
                <w:lang w:bidi="ar"/>
              </w:rPr>
            </w:pPr>
            <w:r>
              <w:rPr>
                <w:rFonts w:hint="eastAsia" w:ascii="仿宋_GB2312" w:hAnsi="仿宋_GB2312" w:eastAsia="仿宋_GB2312" w:cs="仿宋_GB2312"/>
                <w:kern w:val="0"/>
                <w:sz w:val="18"/>
                <w:szCs w:val="18"/>
                <w:lang w:bidi="ar"/>
              </w:rPr>
              <w:t>是否说明具体要求</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26</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措施效果模拟</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是否对采取噪声防治措施后的规划方案进行模拟，评价措施有效性；是否提供项目降噪效果汇总表</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27</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措施前后达标对比</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是否对比采取措施前后的声环境达标情况，明确措施前后超标改善程度</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0" w:type="auto"/>
            <w:gridSpan w:val="6"/>
            <w:noWrap/>
          </w:tcPr>
          <w:p>
            <w:pPr>
              <w:widowControl/>
              <w:spacing w:line="240" w:lineRule="auto"/>
              <w:ind w:firstLine="0" w:firstLineChars="0"/>
              <w:textAlignment w:val="center"/>
              <w:rPr>
                <w:rFonts w:hint="eastAsia" w:ascii="仿宋_GB2312" w:hAnsi="仿宋_GB2312" w:eastAsia="仿宋_GB2312" w:cs="仿宋_GB2312"/>
                <w:b/>
                <w:bCs/>
                <w:sz w:val="20"/>
                <w:szCs w:val="20"/>
              </w:rPr>
            </w:pPr>
            <w:r>
              <w:rPr>
                <w:rFonts w:hint="eastAsia" w:ascii="仿宋_GB2312" w:hAnsi="仿宋_GB2312" w:eastAsia="仿宋_GB2312" w:cs="仿宋_GB2312"/>
                <w:b/>
                <w:bCs/>
                <w:kern w:val="0"/>
                <w:sz w:val="20"/>
                <w:szCs w:val="20"/>
                <w:lang w:bidi="ar"/>
              </w:rPr>
              <w:t>九、总结与建议审查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28</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评价总结与落实计划</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是否总结专篇评价结果；是否提出噪声防治措施在规划—设计—施工—运维各阶段的落实计划</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29</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噪声暴露项目声学设计</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选填</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对于噪声暴露的居住类项目（临近城市主干路、轨道交通干线等），是否建议将建筑声学设计要求纳入项目主规划方案附件</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8"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30</w:t>
            </w:r>
          </w:p>
        </w:tc>
        <w:tc>
          <w:tcPr>
            <w:tcW w:w="2034" w:type="dxa"/>
          </w:tcPr>
          <w:p>
            <w:pPr>
              <w:widowControl/>
              <w:spacing w:line="240" w:lineRule="auto"/>
              <w:ind w:firstLine="0" w:firstLineChars="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建议可操作性</w:t>
            </w:r>
          </w:p>
        </w:tc>
        <w:tc>
          <w:tcPr>
            <w:tcW w:w="1258" w:type="dxa"/>
          </w:tcPr>
          <w:p>
            <w:pPr>
              <w:widowControl/>
              <w:spacing w:line="240" w:lineRule="auto"/>
              <w:ind w:firstLine="0" w:firstLineChars="0"/>
              <w:jc w:val="center"/>
              <w:textAlignment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kern w:val="0"/>
                <w:sz w:val="18"/>
                <w:szCs w:val="18"/>
                <w:lang w:bidi="ar"/>
              </w:rPr>
              <w:t>必选</w:t>
            </w:r>
          </w:p>
        </w:tc>
        <w:tc>
          <w:tcPr>
            <w:tcW w:w="5522" w:type="dxa"/>
          </w:tcPr>
          <w:p>
            <w:pPr>
              <w:widowControl/>
              <w:spacing w:line="240" w:lineRule="auto"/>
              <w:ind w:firstLine="0" w:firstLineChars="0"/>
              <w:textAlignment w:val="top"/>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lang w:bidi="ar"/>
              </w:rPr>
              <w:t>所提建议是否具有可操作性和可落地性</w:t>
            </w:r>
          </w:p>
        </w:tc>
        <w:tc>
          <w:tcPr>
            <w:tcW w:w="1582" w:type="dxa"/>
          </w:tcPr>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w:t>
            </w:r>
          </w:p>
          <w:p>
            <w:pPr>
              <w:widowControl/>
              <w:spacing w:line="240" w:lineRule="auto"/>
              <w:ind w:firstLine="0" w:firstLineChars="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□否</w:t>
            </w:r>
          </w:p>
        </w:tc>
        <w:tc>
          <w:tcPr>
            <w:tcW w:w="2034" w:type="dxa"/>
          </w:tcPr>
          <w:p>
            <w:pPr>
              <w:widowControl/>
              <w:spacing w:line="240" w:lineRule="auto"/>
              <w:ind w:firstLine="0" w:firstLineChars="0"/>
              <w:jc w:val="center"/>
              <w:rPr>
                <w:rFonts w:hint="eastAsia" w:ascii="仿宋_GB2312" w:hAnsi="仿宋_GB2312" w:eastAsia="仿宋_GB2312" w:cs="仿宋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970" w:type="dxa"/>
            <w:gridSpan w:val="3"/>
          </w:tcPr>
          <w:p>
            <w:pPr>
              <w:widowControl/>
              <w:spacing w:line="240" w:lineRule="auto"/>
              <w:ind w:firstLine="0" w:firstLineChars="0"/>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lang w:bidi="ar"/>
              </w:rPr>
              <w:t>审查人签名：</w:t>
            </w:r>
          </w:p>
        </w:tc>
        <w:tc>
          <w:tcPr>
            <w:tcW w:w="9138" w:type="dxa"/>
            <w:gridSpan w:val="3"/>
          </w:tcPr>
          <w:p>
            <w:pPr>
              <w:widowControl/>
              <w:spacing w:line="240" w:lineRule="auto"/>
              <w:ind w:firstLine="0" w:firstLineChars="0"/>
              <w:jc w:val="righ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lang w:bidi="ar"/>
              </w:rPr>
              <w:t>审查日期：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970" w:type="dxa"/>
            <w:gridSpan w:val="3"/>
          </w:tcPr>
          <w:p>
            <w:pPr>
              <w:widowControl/>
              <w:spacing w:line="240" w:lineRule="auto"/>
              <w:ind w:firstLine="0" w:firstLineChars="0"/>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lang w:bidi="ar"/>
              </w:rPr>
              <w:t>审核人签名：</w:t>
            </w:r>
          </w:p>
        </w:tc>
        <w:tc>
          <w:tcPr>
            <w:tcW w:w="9138" w:type="dxa"/>
            <w:gridSpan w:val="3"/>
          </w:tcPr>
          <w:p>
            <w:pPr>
              <w:widowControl/>
              <w:spacing w:line="240" w:lineRule="auto"/>
              <w:ind w:firstLine="0" w:firstLineChars="0"/>
              <w:jc w:val="righ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lang w:bidi="ar"/>
              </w:rPr>
              <w:t>审核日期：    年    月    日</w:t>
            </w:r>
          </w:p>
        </w:tc>
      </w:tr>
    </w:tbl>
    <w:p>
      <w:pPr>
        <w:pStyle w:val="5"/>
        <w:adjustRightInd w:val="0"/>
        <w:snapToGrid w:val="0"/>
        <w:ind w:firstLine="0" w:firstLineChars="0"/>
        <w:rPr>
          <w:rFonts w:ascii="仿宋_GB2312" w:hAnsi="仿宋_GB2312" w:cs="仿宋_GB2312"/>
        </w:rPr>
      </w:pPr>
    </w:p>
    <w:p>
      <w:pPr>
        <w:pStyle w:val="5"/>
        <w:adjustRightInd w:val="0"/>
        <w:snapToGrid w:val="0"/>
        <w:ind w:firstLine="640"/>
        <w:rPr>
          <w:rFonts w:ascii="仿宋_GB2312" w:hAnsi="仿宋_GB2312" w:cs="仿宋_GB2312"/>
        </w:rPr>
      </w:pPr>
    </w:p>
    <w:p>
      <w:pPr>
        <w:pStyle w:val="5"/>
        <w:adjustRightInd w:val="0"/>
        <w:snapToGrid w:val="0"/>
        <w:ind w:firstLine="640"/>
        <w:rPr>
          <w:rFonts w:ascii="仿宋_GB2312" w:hAnsi="仿宋_GB2312" w:cs="仿宋_GB2312"/>
        </w:rPr>
      </w:pPr>
    </w:p>
    <w:p>
      <w:pPr>
        <w:pStyle w:val="5"/>
        <w:adjustRightInd w:val="0"/>
        <w:snapToGrid w:val="0"/>
        <w:ind w:firstLine="640"/>
        <w:rPr>
          <w:rFonts w:ascii="仿宋_GB2312" w:hAnsi="仿宋_GB2312" w:cs="仿宋_GB2312"/>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9" w:usb3="00000000" w:csb0="200001FF" w:csb1="00000000"/>
  </w:font>
  <w:font w:name="楷体">
    <w:panose1 w:val="02010609060101010101"/>
    <w:charset w:val="50"/>
    <w:family w:val="auto"/>
    <w:pitch w:val="default"/>
    <w:sig w:usb0="800002BF" w:usb1="38CF7CFA" w:usb2="00000016" w:usb3="00000000" w:csb0="00040001" w:csb1="00000000"/>
  </w:font>
  <w:font w:name="Heiti SC Light">
    <w:altName w:val="Noto Serif CJK JP ExtraLight"/>
    <w:panose1 w:val="02000000000000000000"/>
    <w:charset w:val="50"/>
    <w:family w:val="auto"/>
    <w:pitch w:val="default"/>
    <w:sig w:usb0="00000000" w:usb1="00000000" w:usb2="00000010" w:usb3="00000000" w:csb0="003E0000" w:csb1="00000000"/>
  </w:font>
  <w:font w:name="Noto Serif CJK JP ExtraLight">
    <w:panose1 w:val="02020200000000000000"/>
    <w:charset w:val="86"/>
    <w:family w:val="auto"/>
    <w:pitch w:val="default"/>
    <w:sig w:usb0="30000083" w:usb1="2BDF3C10" w:usb2="00000016" w:usb3="00000000" w:csb0="602E0107"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4135" cy="361950"/>
              <wp:effectExtent l="0" t="0" r="0" b="0"/>
              <wp:wrapNone/>
              <wp:docPr id="5" name="文本框 5"/>
              <wp:cNvGraphicFramePr/>
              <a:graphic xmlns:a="http://schemas.openxmlformats.org/drawingml/2006/main">
                <a:graphicData uri="http://schemas.microsoft.com/office/word/2010/wordprocessingShape">
                  <wps:wsp>
                    <wps:cNvSpPr txBox="1"/>
                    <wps:spPr>
                      <a:xfrm>
                        <a:off x="0" y="0"/>
                        <a:ext cx="64135" cy="361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8.5pt;width:5.05pt;mso-position-horizontal:center;mso-position-horizontal-relative:margin;mso-wrap-style:none;z-index:251659264;mso-width-relative:page;mso-height-relative:page;" filled="f" stroked="f" coordsize="21600,21600" o:gfxdata="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M2fU7rQAAAAAwEAAA8AAAAAAAAAAQAgAAAAOAAAAGRycy9k&#10;b3ducmV2LnhtbFBLAQIUABQAAAAIAIdO4kDuOEkwLQIAAFIEAAAOAAAAAAAAAAEAIAAAADUBAABk&#10;cnMvZTJvRG9jLnhtbFBLBQYAAAAABgAGAFkBAADUBQAAAAA=&#10;">
              <v:fill on="f" focussize="0,0"/>
              <v:stroke on="f" weight="0.5pt"/>
              <v:imagedata o:title=""/>
              <o:lock v:ext="edit" aspectratio="f"/>
              <v:textbox inset="0mm,0mm,0mm,0mm" style="mso-fit-shape-to-text:t;">
                <w:txbxContent>
                  <w:p>
                    <w:pPr>
                      <w:pStyle w:val="13"/>
                      <w:ind w:firstLine="0" w:firstLineChars="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pPr>
        <w:spacing w:line="240" w:lineRule="auto"/>
        <w:ind w:firstLine="640"/>
      </w:pPr>
      <w:r>
        <w:separator/>
      </w:r>
    </w:p>
  </w:footnote>
  <w:footnote w:type="continuationSeparator" w:id="11">
    <w:p>
      <w:pPr>
        <w:spacing w:line="240" w:lineRule="auto"/>
        <w:ind w:firstLine="640"/>
      </w:pPr>
      <w:r>
        <w:continuationSeparator/>
      </w:r>
    </w:p>
  </w:footnote>
  <w:footnote w:id="0">
    <w:p>
      <w:pPr>
        <w:pStyle w:val="16"/>
        <w:keepNext w:val="0"/>
        <w:keepLines w:val="0"/>
        <w:pageBreakBefore w:val="0"/>
        <w:widowControl w:val="0"/>
        <w:kinsoku/>
        <w:wordWrap/>
        <w:overflowPunct/>
        <w:topLinePunct w:val="0"/>
        <w:bidi w:val="0"/>
        <w:adjustRightInd/>
        <w:snapToGrid w:val="0"/>
        <w:spacing w:line="360" w:lineRule="auto"/>
        <w:textAlignment w:val="auto"/>
        <w:rPr>
          <w:rFonts w:hint="default" w:eastAsia="仿宋_GB2312"/>
          <w:lang w:val="en-US" w:eastAsia="zh-CN"/>
        </w:rPr>
      </w:pPr>
      <w:r>
        <w:rPr>
          <w:rStyle w:val="25"/>
        </w:rPr>
        <w:footnoteRef/>
      </w:r>
      <w:r>
        <w:t xml:space="preserve"> </w:t>
      </w:r>
      <w:r>
        <w:rPr>
          <w:rFonts w:hint="eastAsia"/>
          <w:lang w:val="en-US" w:eastAsia="zh-CN"/>
        </w:rPr>
        <w:t>注：本专篇所述“噪声敏感建筑物”指用于居住、科学研究、医疗卫生、文化教育、机关团体办公、社会福利等需要保持安静的建筑物。</w:t>
      </w:r>
    </w:p>
  </w:footnote>
  <w:footnote w:id="1">
    <w:p>
      <w:pPr>
        <w:pStyle w:val="16"/>
        <w:keepNext w:val="0"/>
        <w:keepLines w:val="0"/>
        <w:pageBreakBefore w:val="0"/>
        <w:widowControl w:val="0"/>
        <w:kinsoku/>
        <w:wordWrap/>
        <w:overflowPunct/>
        <w:topLinePunct w:val="0"/>
        <w:bidi w:val="0"/>
        <w:adjustRightInd/>
        <w:snapToGrid w:val="0"/>
        <w:spacing w:line="360" w:lineRule="auto"/>
        <w:textAlignment w:val="auto"/>
        <w:rPr>
          <w:rFonts w:hint="default" w:eastAsia="仿宋_GB2312"/>
          <w:lang w:val="en-US" w:eastAsia="zh-CN"/>
        </w:rPr>
      </w:pPr>
      <w:r>
        <w:rPr>
          <w:rStyle w:val="25"/>
        </w:rPr>
        <w:footnoteRef/>
      </w:r>
      <w:r>
        <w:t xml:space="preserve"> </w:t>
      </w:r>
      <w:r>
        <w:rPr>
          <w:rFonts w:hint="eastAsia"/>
          <w:lang w:val="en-US" w:eastAsia="zh-CN"/>
        </w:rPr>
        <w:t>注：本专篇所述“交通干线”指《深圳经济特区环境噪声污染防治条例》附则定义的城市交通干线类型。</w:t>
      </w:r>
    </w:p>
  </w:footnote>
  <w:footnote w:id="2">
    <w:p>
      <w:pPr>
        <w:pStyle w:val="16"/>
        <w:keepNext w:val="0"/>
        <w:keepLines w:val="0"/>
        <w:pageBreakBefore w:val="0"/>
        <w:widowControl w:val="0"/>
        <w:kinsoku/>
        <w:wordWrap/>
        <w:overflowPunct/>
        <w:topLinePunct w:val="0"/>
        <w:bidi w:val="0"/>
        <w:adjustRightInd/>
        <w:snapToGrid w:val="0"/>
        <w:spacing w:line="360" w:lineRule="auto"/>
        <w:ind w:firstLine="360"/>
        <w:textAlignment w:val="auto"/>
      </w:pPr>
      <w:r>
        <w:rPr>
          <w:rStyle w:val="25"/>
        </w:rPr>
        <w:footnoteRef/>
      </w:r>
      <w:r>
        <w:rPr>
          <w:rFonts w:hint="eastAsia"/>
          <w:lang w:val="en-US" w:eastAsia="zh-CN"/>
        </w:rPr>
        <w:t>注：</w:t>
      </w:r>
      <w:r>
        <w:rPr>
          <w:rFonts w:hint="eastAsia"/>
        </w:rPr>
        <w:t>当</w:t>
      </w:r>
      <w:r>
        <w:rPr>
          <w:rFonts w:hint="eastAsia"/>
          <w:lang w:val="en-US" w:eastAsia="zh-CN"/>
        </w:rPr>
        <w:t>不同评价标准</w:t>
      </w:r>
      <w:r>
        <w:rPr>
          <w:rFonts w:hint="eastAsia"/>
        </w:rPr>
        <w:t>存在差异时，应按照从严原则执行。</w:t>
      </w:r>
    </w:p>
  </w:footnote>
  <w:footnote w:id="3">
    <w:p>
      <w:pPr>
        <w:pStyle w:val="16"/>
        <w:keepNext w:val="0"/>
        <w:keepLines w:val="0"/>
        <w:pageBreakBefore w:val="0"/>
        <w:widowControl w:val="0"/>
        <w:kinsoku/>
        <w:wordWrap/>
        <w:overflowPunct/>
        <w:topLinePunct w:val="0"/>
        <w:bidi w:val="0"/>
        <w:adjustRightInd/>
        <w:snapToGrid w:val="0"/>
        <w:spacing w:line="360" w:lineRule="auto"/>
        <w:ind w:firstLine="360"/>
        <w:textAlignment w:val="auto"/>
      </w:pPr>
      <w:r>
        <w:rPr>
          <w:rStyle w:val="25"/>
        </w:rPr>
        <w:footnoteRef/>
      </w:r>
      <w:r>
        <w:rPr>
          <w:rFonts w:hint="eastAsia"/>
          <w:lang w:val="en-US" w:eastAsia="zh-CN"/>
        </w:rPr>
        <w:t>注：</w:t>
      </w:r>
      <w:r>
        <w:rPr>
          <w:rFonts w:hint="eastAsia"/>
        </w:rPr>
        <w:t>关于4类声环境功能区的具体范围</w:t>
      </w:r>
      <w:r>
        <w:rPr>
          <w:rFonts w:hint="eastAsia"/>
          <w:lang w:val="en-US" w:eastAsia="zh-CN"/>
        </w:rPr>
        <w:t>与定义</w:t>
      </w:r>
      <w:r>
        <w:rPr>
          <w:rFonts w:hint="eastAsia"/>
        </w:rPr>
        <w:t>，应以各区人民政府正式印发的声环境功能区划方案为准。</w:t>
      </w:r>
    </w:p>
  </w:footnote>
  <w:footnote w:id="4">
    <w:p>
      <w:pPr>
        <w:pStyle w:val="16"/>
        <w:ind w:firstLine="360"/>
      </w:pPr>
      <w:r>
        <w:rPr>
          <w:rStyle w:val="25"/>
        </w:rPr>
        <w:footnoteRef/>
      </w:r>
      <w:r>
        <w:rPr>
          <w:rFonts w:hint="eastAsia" w:ascii="仿宋_GB2312" w:hAnsi="仿宋_GB2312" w:eastAsia="仿宋_GB2312" w:cs="仿宋_GB2312"/>
        </w:rPr>
        <w:t>注：本审查表由编制单位内部审核使用，编制单位应确保</w:t>
      </w:r>
      <w:r>
        <w:rPr>
          <w:rFonts w:hint="eastAsia" w:ascii="仿宋_GB2312" w:hAnsi="仿宋_GB2312" w:cs="仿宋_GB2312"/>
          <w:lang w:val="en-US" w:eastAsia="zh-CN"/>
        </w:rPr>
        <w:t>本</w:t>
      </w:r>
      <w:r>
        <w:rPr>
          <w:rFonts w:hint="eastAsia" w:ascii="仿宋_GB2312" w:hAnsi="仿宋_GB2312" w:eastAsia="仿宋_GB2312" w:cs="仿宋_GB2312"/>
        </w:rPr>
        <w:t>专篇内容完整、格式规范。</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3F1F57"/>
    <w:multiLevelType w:val="multilevel"/>
    <w:tmpl w:val="3C3F1F57"/>
    <w:lvl w:ilvl="0" w:tentative="0">
      <w:start w:val="1"/>
      <w:numFmt w:val="lowerLetter"/>
      <w:suff w:val="nothing"/>
      <w:lvlText w:val="%1)"/>
      <w:lvlJc w:val="center"/>
      <w:pPr>
        <w:ind w:left="0" w:firstLine="0"/>
      </w:pPr>
      <w:rPr>
        <w:rFonts w:hint="default"/>
        <w:u w:val="none"/>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5558DB9E"/>
    <w:multiLevelType w:val="singleLevel"/>
    <w:tmpl w:val="5558DB9E"/>
    <w:lvl w:ilvl="0" w:tentative="0">
      <w:start w:val="1"/>
      <w:numFmt w:val="decimal"/>
      <w:pStyle w:val="35"/>
      <w:suff w:val="space"/>
      <w:lvlText w:val="表 %1"/>
      <w:lvlJc w:val="left"/>
      <w:pPr>
        <w:tabs>
          <w:tab w:val="left" w:pos="0"/>
        </w:tabs>
        <w:ind w:left="0" w:firstLine="0"/>
      </w:pPr>
      <w:rPr>
        <w:rFonts w:hint="default" w:ascii="仿宋_GB2312" w:hAnsi="仿宋_GB2312" w:eastAsia="仿宋_GB2312" w:cs="仿宋_GB2312"/>
        <w:b/>
        <w:bCs/>
        <w:sz w:val="28"/>
        <w:szCs w:val="2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10"/>
    <w:footnote w:id="1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2OTgyOWQwMTdhYmIyZmFlOGQ1OTMwNjNiMjk5ZDEifQ=="/>
  </w:docVars>
  <w:rsids>
    <w:rsidRoot w:val="00172A27"/>
    <w:rsid w:val="0014341C"/>
    <w:rsid w:val="0016276B"/>
    <w:rsid w:val="00172A27"/>
    <w:rsid w:val="001A1FC0"/>
    <w:rsid w:val="002256CC"/>
    <w:rsid w:val="00252681"/>
    <w:rsid w:val="002555F0"/>
    <w:rsid w:val="00330559"/>
    <w:rsid w:val="00365FA1"/>
    <w:rsid w:val="00452B71"/>
    <w:rsid w:val="00475146"/>
    <w:rsid w:val="0051426A"/>
    <w:rsid w:val="00592196"/>
    <w:rsid w:val="005D6746"/>
    <w:rsid w:val="005E06CA"/>
    <w:rsid w:val="006341E0"/>
    <w:rsid w:val="006402C6"/>
    <w:rsid w:val="00677AC3"/>
    <w:rsid w:val="006832F9"/>
    <w:rsid w:val="0073191A"/>
    <w:rsid w:val="00771EA8"/>
    <w:rsid w:val="007A0AE5"/>
    <w:rsid w:val="007A6E44"/>
    <w:rsid w:val="008602AB"/>
    <w:rsid w:val="008A3CFB"/>
    <w:rsid w:val="008B0DD4"/>
    <w:rsid w:val="00940B54"/>
    <w:rsid w:val="009E5E16"/>
    <w:rsid w:val="00A83435"/>
    <w:rsid w:val="00AD7AFA"/>
    <w:rsid w:val="00B02303"/>
    <w:rsid w:val="00B419F1"/>
    <w:rsid w:val="00BE58F1"/>
    <w:rsid w:val="00C851F4"/>
    <w:rsid w:val="00D300AD"/>
    <w:rsid w:val="00D61D51"/>
    <w:rsid w:val="00D97293"/>
    <w:rsid w:val="00DC705B"/>
    <w:rsid w:val="00E07581"/>
    <w:rsid w:val="00F27255"/>
    <w:rsid w:val="00FA4E23"/>
    <w:rsid w:val="00FB1425"/>
    <w:rsid w:val="00FD4367"/>
    <w:rsid w:val="01851C31"/>
    <w:rsid w:val="02BE1EDE"/>
    <w:rsid w:val="02D0730E"/>
    <w:rsid w:val="02D743AD"/>
    <w:rsid w:val="04E473A0"/>
    <w:rsid w:val="04FA617A"/>
    <w:rsid w:val="0531445D"/>
    <w:rsid w:val="06316639"/>
    <w:rsid w:val="073D7196"/>
    <w:rsid w:val="07BD06BD"/>
    <w:rsid w:val="07DA441A"/>
    <w:rsid w:val="08896B20"/>
    <w:rsid w:val="09015DDE"/>
    <w:rsid w:val="0A6718DD"/>
    <w:rsid w:val="0C36044A"/>
    <w:rsid w:val="0C49226B"/>
    <w:rsid w:val="0FAF3320"/>
    <w:rsid w:val="11845136"/>
    <w:rsid w:val="12260CF8"/>
    <w:rsid w:val="12AA1E37"/>
    <w:rsid w:val="146948B8"/>
    <w:rsid w:val="16232545"/>
    <w:rsid w:val="1633267B"/>
    <w:rsid w:val="164118F8"/>
    <w:rsid w:val="171E3E9D"/>
    <w:rsid w:val="185C5173"/>
    <w:rsid w:val="1973304D"/>
    <w:rsid w:val="1AC410B9"/>
    <w:rsid w:val="1B8804EB"/>
    <w:rsid w:val="1C9A167C"/>
    <w:rsid w:val="1CBB1BB0"/>
    <w:rsid w:val="1D6B103D"/>
    <w:rsid w:val="1DD579C0"/>
    <w:rsid w:val="1E1A2FB9"/>
    <w:rsid w:val="20E52028"/>
    <w:rsid w:val="211A4F3F"/>
    <w:rsid w:val="24CF4474"/>
    <w:rsid w:val="280D16C3"/>
    <w:rsid w:val="29B56565"/>
    <w:rsid w:val="2AAB05ED"/>
    <w:rsid w:val="2C815FA4"/>
    <w:rsid w:val="2ECD3880"/>
    <w:rsid w:val="2F461AEB"/>
    <w:rsid w:val="2F715BEB"/>
    <w:rsid w:val="3018601E"/>
    <w:rsid w:val="31527810"/>
    <w:rsid w:val="331B1D66"/>
    <w:rsid w:val="37F50433"/>
    <w:rsid w:val="38892812"/>
    <w:rsid w:val="38961E84"/>
    <w:rsid w:val="39AD3B45"/>
    <w:rsid w:val="3A9B1B68"/>
    <w:rsid w:val="3B013DDA"/>
    <w:rsid w:val="3B937850"/>
    <w:rsid w:val="3C4923C1"/>
    <w:rsid w:val="3CF12C36"/>
    <w:rsid w:val="3E8F2C60"/>
    <w:rsid w:val="3EF4B53E"/>
    <w:rsid w:val="3F83A6A7"/>
    <w:rsid w:val="3F8EDB1D"/>
    <w:rsid w:val="3FEC20E7"/>
    <w:rsid w:val="400E4827"/>
    <w:rsid w:val="41055719"/>
    <w:rsid w:val="415466BF"/>
    <w:rsid w:val="41947FEC"/>
    <w:rsid w:val="41966723"/>
    <w:rsid w:val="428D2ED4"/>
    <w:rsid w:val="42B224BB"/>
    <w:rsid w:val="436C4991"/>
    <w:rsid w:val="45862259"/>
    <w:rsid w:val="48364DDD"/>
    <w:rsid w:val="4A203CA4"/>
    <w:rsid w:val="4AAF1EEB"/>
    <w:rsid w:val="4ABC63A9"/>
    <w:rsid w:val="4D46435A"/>
    <w:rsid w:val="4DF909D3"/>
    <w:rsid w:val="4FB271BD"/>
    <w:rsid w:val="4FCA4FFA"/>
    <w:rsid w:val="51133582"/>
    <w:rsid w:val="5253098E"/>
    <w:rsid w:val="52B23CBC"/>
    <w:rsid w:val="53517367"/>
    <w:rsid w:val="53CB6782"/>
    <w:rsid w:val="53F1220D"/>
    <w:rsid w:val="54051FE4"/>
    <w:rsid w:val="54EA2B8D"/>
    <w:rsid w:val="55A3396A"/>
    <w:rsid w:val="55BB506C"/>
    <w:rsid w:val="57110B51"/>
    <w:rsid w:val="57B22B8F"/>
    <w:rsid w:val="58FB7933"/>
    <w:rsid w:val="59271254"/>
    <w:rsid w:val="5937E2AA"/>
    <w:rsid w:val="596F579A"/>
    <w:rsid w:val="5A8D47F6"/>
    <w:rsid w:val="5A9B1F70"/>
    <w:rsid w:val="5AF72C15"/>
    <w:rsid w:val="5BDF3223"/>
    <w:rsid w:val="5C0B3C7A"/>
    <w:rsid w:val="5EAD40D6"/>
    <w:rsid w:val="5F998582"/>
    <w:rsid w:val="5FCF6C67"/>
    <w:rsid w:val="60A86038"/>
    <w:rsid w:val="61C915EA"/>
    <w:rsid w:val="633F171B"/>
    <w:rsid w:val="64341328"/>
    <w:rsid w:val="654D588F"/>
    <w:rsid w:val="65AA1BDF"/>
    <w:rsid w:val="67433200"/>
    <w:rsid w:val="6836248E"/>
    <w:rsid w:val="69C91F73"/>
    <w:rsid w:val="6A0057D5"/>
    <w:rsid w:val="6CDD0F7C"/>
    <w:rsid w:val="6DC63509"/>
    <w:rsid w:val="6FFD36F7"/>
    <w:rsid w:val="705DBA91"/>
    <w:rsid w:val="71282AAF"/>
    <w:rsid w:val="720E0AAB"/>
    <w:rsid w:val="72E21227"/>
    <w:rsid w:val="733D6CC5"/>
    <w:rsid w:val="75B7587F"/>
    <w:rsid w:val="75BD9AB0"/>
    <w:rsid w:val="75C220CC"/>
    <w:rsid w:val="76711DF7"/>
    <w:rsid w:val="76BE764F"/>
    <w:rsid w:val="775D1857"/>
    <w:rsid w:val="77E7FBE7"/>
    <w:rsid w:val="786C0576"/>
    <w:rsid w:val="78E57139"/>
    <w:rsid w:val="7A9D7A99"/>
    <w:rsid w:val="7B0306C7"/>
    <w:rsid w:val="7B7A0BB6"/>
    <w:rsid w:val="7BA02100"/>
    <w:rsid w:val="7BA09EBC"/>
    <w:rsid w:val="7C047F08"/>
    <w:rsid w:val="7CEC328F"/>
    <w:rsid w:val="7DFD26B1"/>
    <w:rsid w:val="7E4313B6"/>
    <w:rsid w:val="7E52614D"/>
    <w:rsid w:val="7EE45299"/>
    <w:rsid w:val="7EEF472D"/>
    <w:rsid w:val="7F2779A6"/>
    <w:rsid w:val="7F6F7FD3"/>
    <w:rsid w:val="7F7D902B"/>
    <w:rsid w:val="7F7F52DF"/>
    <w:rsid w:val="7FA17412"/>
    <w:rsid w:val="7FBA0D30"/>
    <w:rsid w:val="7FBDC4D3"/>
    <w:rsid w:val="7FBF62D9"/>
    <w:rsid w:val="7FFB67D4"/>
    <w:rsid w:val="7FFFBF5B"/>
    <w:rsid w:val="AEDF89B4"/>
    <w:rsid w:val="BA66483A"/>
    <w:rsid w:val="BCE25A0B"/>
    <w:rsid w:val="BCF96B97"/>
    <w:rsid w:val="BDED73D6"/>
    <w:rsid w:val="C7FFD102"/>
    <w:rsid w:val="CAAD8DEB"/>
    <w:rsid w:val="CFFF18CF"/>
    <w:rsid w:val="DD541FA7"/>
    <w:rsid w:val="DE5F3FC2"/>
    <w:rsid w:val="DFFE9FD6"/>
    <w:rsid w:val="E7DFFD50"/>
    <w:rsid w:val="EAF7A5DF"/>
    <w:rsid w:val="EB771D76"/>
    <w:rsid w:val="EF65B7F9"/>
    <w:rsid w:val="EF8AE52E"/>
    <w:rsid w:val="EFFF8C7F"/>
    <w:rsid w:val="F5F73578"/>
    <w:rsid w:val="F5FE9631"/>
    <w:rsid w:val="F777AF21"/>
    <w:rsid w:val="F7FF8508"/>
    <w:rsid w:val="FBEE6E83"/>
    <w:rsid w:val="FCBF14EA"/>
    <w:rsid w:val="FF2444CD"/>
    <w:rsid w:val="FF75FA3F"/>
    <w:rsid w:val="FFEF8F67"/>
    <w:rsid w:val="FFF9CF25"/>
    <w:rsid w:val="FFFEEEE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3"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widowControl/>
      <w:adjustRightInd w:val="0"/>
      <w:snapToGrid w:val="0"/>
      <w:spacing w:line="520" w:lineRule="exact"/>
      <w:ind w:firstLine="0" w:firstLineChars="0"/>
      <w:jc w:val="left"/>
      <w:outlineLvl w:val="0"/>
    </w:pPr>
    <w:rPr>
      <w:rFonts w:ascii="黑体" w:hAnsi="黑体" w:eastAsia="黑体"/>
      <w:bCs/>
      <w:kern w:val="36"/>
      <w:szCs w:val="36"/>
    </w:rPr>
  </w:style>
  <w:style w:type="paragraph" w:styleId="3">
    <w:name w:val="heading 2"/>
    <w:basedOn w:val="1"/>
    <w:next w:val="1"/>
    <w:link w:val="26"/>
    <w:unhideWhenUsed/>
    <w:qFormat/>
    <w:uiPriority w:val="0"/>
    <w:pPr>
      <w:keepNext/>
      <w:keepLines/>
      <w:outlineLvl w:val="1"/>
    </w:pPr>
    <w:rPr>
      <w:rFonts w:ascii="Calibri Light" w:hAnsi="Calibri Light" w:eastAsia="楷体" w:cs="宋体"/>
      <w:bCs/>
      <w:szCs w:val="32"/>
    </w:rPr>
  </w:style>
  <w:style w:type="paragraph" w:styleId="4">
    <w:name w:val="heading 3"/>
    <w:basedOn w:val="1"/>
    <w:next w:val="5"/>
    <w:link w:val="28"/>
    <w:unhideWhenUsed/>
    <w:qFormat/>
    <w:uiPriority w:val="0"/>
    <w:pPr>
      <w:keepNext/>
      <w:keepLines/>
      <w:spacing w:line="520" w:lineRule="exact"/>
      <w:jc w:val="left"/>
      <w:outlineLvl w:val="2"/>
    </w:pPr>
    <w:rPr>
      <w:rFonts w:ascii="Calibri" w:hAnsi="Calibri" w:cs="宋体"/>
    </w:rPr>
  </w:style>
  <w:style w:type="paragraph" w:styleId="7">
    <w:name w:val="heading 4"/>
    <w:basedOn w:val="1"/>
    <w:next w:val="1"/>
    <w:semiHidden/>
    <w:unhideWhenUsed/>
    <w:qFormat/>
    <w:uiPriority w:val="0"/>
    <w:pPr>
      <w:keepNext/>
      <w:keepLines/>
      <w:spacing w:before="100" w:beforeLines="100" w:after="100" w:afterLines="100" w:line="310" w:lineRule="exact"/>
      <w:jc w:val="left"/>
      <w:outlineLvl w:val="3"/>
    </w:pPr>
    <w:rPr>
      <w:rFonts w:ascii="Arial" w:hAnsi="Arial" w:eastAsia="黑体"/>
      <w:bCs/>
      <w:sz w:val="24"/>
      <w:szCs w:val="21"/>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pPr>
  </w:style>
  <w:style w:type="paragraph" w:styleId="6">
    <w:name w:val="Body Text"/>
    <w:basedOn w:val="1"/>
    <w:next w:val="1"/>
    <w:qFormat/>
    <w:uiPriority w:val="0"/>
    <w:pPr>
      <w:spacing w:after="120"/>
    </w:pPr>
  </w:style>
  <w:style w:type="paragraph" w:styleId="8">
    <w:name w:val="caption"/>
    <w:basedOn w:val="1"/>
    <w:next w:val="1"/>
    <w:semiHidden/>
    <w:unhideWhenUsed/>
    <w:qFormat/>
    <w:uiPriority w:val="0"/>
    <w:rPr>
      <w:rFonts w:ascii="Arial" w:hAnsi="Arial" w:eastAsia="黑体"/>
      <w:sz w:val="20"/>
    </w:rPr>
  </w:style>
  <w:style w:type="paragraph" w:styleId="9">
    <w:name w:val="annotation text"/>
    <w:basedOn w:val="1"/>
    <w:link w:val="37"/>
    <w:qFormat/>
    <w:uiPriority w:val="0"/>
    <w:pPr>
      <w:jc w:val="left"/>
    </w:pPr>
  </w:style>
  <w:style w:type="paragraph" w:styleId="10">
    <w:name w:val="toc 3"/>
    <w:basedOn w:val="1"/>
    <w:next w:val="1"/>
    <w:qFormat/>
    <w:uiPriority w:val="0"/>
    <w:pPr>
      <w:ind w:left="840" w:leftChars="400"/>
    </w:pPr>
  </w:style>
  <w:style w:type="paragraph" w:styleId="11">
    <w:name w:val="Plain Text"/>
    <w:basedOn w:val="1"/>
    <w:qFormat/>
    <w:uiPriority w:val="0"/>
    <w:rPr>
      <w:rFonts w:ascii="宋体" w:hAnsi="Courier New"/>
    </w:rPr>
  </w:style>
  <w:style w:type="paragraph" w:styleId="12">
    <w:name w:val="Balloon Text"/>
    <w:basedOn w:val="1"/>
    <w:link w:val="36"/>
    <w:qFormat/>
    <w:uiPriority w:val="0"/>
    <w:pPr>
      <w:spacing w:line="240" w:lineRule="auto"/>
    </w:pPr>
    <w:rPr>
      <w:rFonts w:ascii="Heiti SC Light" w:eastAsia="Heiti SC Light"/>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5">
    <w:name w:val="toc 1"/>
    <w:basedOn w:val="1"/>
    <w:next w:val="1"/>
    <w:qFormat/>
    <w:uiPriority w:val="0"/>
  </w:style>
  <w:style w:type="paragraph" w:styleId="16">
    <w:name w:val="footnote text"/>
    <w:basedOn w:val="1"/>
    <w:qFormat/>
    <w:uiPriority w:val="0"/>
    <w:pPr>
      <w:snapToGrid w:val="0"/>
      <w:jc w:val="left"/>
    </w:pPr>
    <w:rPr>
      <w:sz w:val="18"/>
    </w:rPr>
  </w:style>
  <w:style w:type="paragraph" w:styleId="17">
    <w:name w:val="toc 2"/>
    <w:basedOn w:val="1"/>
    <w:next w:val="1"/>
    <w:qFormat/>
    <w:uiPriority w:val="0"/>
    <w:pPr>
      <w:ind w:left="420" w:leftChars="200"/>
    </w:pPr>
  </w:style>
  <w:style w:type="paragraph" w:styleId="18">
    <w:name w:val="Normal (Web)"/>
    <w:basedOn w:val="1"/>
    <w:qFormat/>
    <w:uiPriority w:val="0"/>
    <w:pPr>
      <w:spacing w:beforeAutospacing="1" w:afterAutospacing="1"/>
      <w:jc w:val="left"/>
    </w:pPr>
    <w:rPr>
      <w:kern w:val="0"/>
      <w:sz w:val="24"/>
    </w:rPr>
  </w:style>
  <w:style w:type="paragraph" w:styleId="19">
    <w:name w:val="annotation subject"/>
    <w:basedOn w:val="9"/>
    <w:next w:val="9"/>
    <w:link w:val="38"/>
    <w:qFormat/>
    <w:uiPriority w:val="0"/>
    <w:rPr>
      <w:b/>
      <w:bCs/>
    </w:rPr>
  </w:style>
  <w:style w:type="table" w:styleId="21">
    <w:name w:val="Table Grid"/>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styleId="23">
    <w:name w:val="Strong"/>
    <w:basedOn w:val="22"/>
    <w:qFormat/>
    <w:uiPriority w:val="0"/>
    <w:rPr>
      <w:b/>
    </w:rPr>
  </w:style>
  <w:style w:type="character" w:styleId="24">
    <w:name w:val="annotation reference"/>
    <w:basedOn w:val="22"/>
    <w:qFormat/>
    <w:uiPriority w:val="0"/>
    <w:rPr>
      <w:sz w:val="21"/>
      <w:szCs w:val="21"/>
    </w:rPr>
  </w:style>
  <w:style w:type="character" w:styleId="25">
    <w:name w:val="footnote reference"/>
    <w:basedOn w:val="22"/>
    <w:qFormat/>
    <w:uiPriority w:val="0"/>
    <w:rPr>
      <w:vertAlign w:val="superscript"/>
    </w:rPr>
  </w:style>
  <w:style w:type="character" w:customStyle="1" w:styleId="26">
    <w:name w:val="标题 2字符"/>
    <w:link w:val="3"/>
    <w:qFormat/>
    <w:locked/>
    <w:uiPriority w:val="0"/>
    <w:rPr>
      <w:rFonts w:ascii="Calibri Light" w:hAnsi="Calibri Light" w:eastAsia="楷体" w:cs="宋体"/>
      <w:bCs/>
      <w:sz w:val="32"/>
      <w:szCs w:val="32"/>
    </w:rPr>
  </w:style>
  <w:style w:type="character" w:customStyle="1" w:styleId="27">
    <w:name w:val="标题 1字符"/>
    <w:link w:val="2"/>
    <w:qFormat/>
    <w:uiPriority w:val="0"/>
    <w:rPr>
      <w:rFonts w:ascii="黑体" w:hAnsi="黑体" w:eastAsia="黑体"/>
      <w:bCs/>
      <w:kern w:val="36"/>
      <w:sz w:val="32"/>
      <w:szCs w:val="36"/>
    </w:rPr>
  </w:style>
  <w:style w:type="character" w:customStyle="1" w:styleId="28">
    <w:name w:val="标题 3字符"/>
    <w:link w:val="4"/>
    <w:qFormat/>
    <w:uiPriority w:val="0"/>
    <w:rPr>
      <w:rFonts w:ascii="Calibri" w:hAnsi="Calibri" w:eastAsia="仿宋_GB2312" w:cs="宋体"/>
      <w:sz w:val="32"/>
    </w:rPr>
  </w:style>
  <w:style w:type="paragraph" w:customStyle="1" w:styleId="29">
    <w:name w:val="WPSOffice手动目录 1"/>
    <w:qFormat/>
    <w:uiPriority w:val="0"/>
    <w:pPr>
      <w:spacing w:before="50" w:beforeLines="50" w:line="360" w:lineRule="auto"/>
    </w:pPr>
    <w:rPr>
      <w:rFonts w:ascii="Times New Roman" w:hAnsi="Times New Roman" w:eastAsia="宋体" w:cs="Times New Roman"/>
      <w:sz w:val="24"/>
      <w:lang w:val="en-US" w:eastAsia="zh-CN" w:bidi="ar-SA"/>
    </w:rPr>
  </w:style>
  <w:style w:type="paragraph" w:customStyle="1" w:styleId="30">
    <w:name w:val="WPSOffice手动目录 2"/>
    <w:qFormat/>
    <w:uiPriority w:val="0"/>
    <w:pPr>
      <w:spacing w:line="360" w:lineRule="auto"/>
      <w:ind w:left="200" w:leftChars="200"/>
    </w:pPr>
    <w:rPr>
      <w:rFonts w:ascii="Times New Roman" w:hAnsi="Times New Roman" w:eastAsia="宋体" w:cstheme="minorBidi"/>
      <w:sz w:val="24"/>
      <w:lang w:val="en-US" w:eastAsia="zh-CN" w:bidi="ar-SA"/>
    </w:rPr>
  </w:style>
  <w:style w:type="paragraph" w:customStyle="1" w:styleId="31">
    <w:name w:val="图片间隔"/>
    <w:basedOn w:val="1"/>
    <w:next w:val="1"/>
    <w:qFormat/>
    <w:uiPriority w:val="0"/>
    <w:pPr>
      <w:spacing w:line="240" w:lineRule="auto"/>
      <w:ind w:firstLine="0" w:firstLineChars="0"/>
      <w:jc w:val="center"/>
    </w:pPr>
    <w:rPr>
      <w:rFonts w:hint="eastAsia"/>
    </w:rPr>
  </w:style>
  <w:style w:type="paragraph" w:customStyle="1" w:styleId="32">
    <w:name w:val="WPSOffice手动目录 3"/>
    <w:qFormat/>
    <w:uiPriority w:val="0"/>
    <w:pPr>
      <w:ind w:left="400" w:leftChars="400"/>
    </w:pPr>
    <w:rPr>
      <w:rFonts w:ascii="Times New Roman" w:hAnsi="Times New Roman" w:eastAsia="宋体" w:cs="Times New Roman"/>
      <w:lang w:val="en-US" w:eastAsia="zh-CN" w:bidi="ar-SA"/>
    </w:rPr>
  </w:style>
  <w:style w:type="table" w:customStyle="1" w:styleId="33">
    <w:name w:val="Table Normal"/>
    <w:semiHidden/>
    <w:unhideWhenUsed/>
    <w:qFormat/>
    <w:uiPriority w:val="0"/>
    <w:tblPr>
      <w:tblCellMar>
        <w:top w:w="0" w:type="dxa"/>
        <w:left w:w="0" w:type="dxa"/>
        <w:bottom w:w="0" w:type="dxa"/>
        <w:right w:w="0" w:type="dxa"/>
      </w:tblCellMar>
    </w:tblPr>
  </w:style>
  <w:style w:type="paragraph" w:customStyle="1" w:styleId="34">
    <w:name w:val="修订版本号1"/>
    <w:hidden/>
    <w:unhideWhenUsed/>
    <w:qFormat/>
    <w:uiPriority w:val="99"/>
    <w:rPr>
      <w:rFonts w:ascii="Times New Roman" w:hAnsi="Times New Roman" w:eastAsia="仿宋_GB2312" w:cs="Times New Roman"/>
      <w:kern w:val="2"/>
      <w:sz w:val="32"/>
      <w:szCs w:val="24"/>
      <w:lang w:val="en-US" w:eastAsia="zh-CN" w:bidi="ar-SA"/>
    </w:rPr>
  </w:style>
  <w:style w:type="paragraph" w:customStyle="1" w:styleId="35">
    <w:name w:val="表_编号_标题"/>
    <w:basedOn w:val="1"/>
    <w:qFormat/>
    <w:uiPriority w:val="0"/>
    <w:pPr>
      <w:numPr>
        <w:ilvl w:val="0"/>
        <w:numId w:val="1"/>
      </w:numPr>
      <w:jc w:val="center"/>
    </w:pPr>
    <w:rPr>
      <w:rFonts w:hint="eastAsia"/>
      <w:b/>
      <w:sz w:val="28"/>
    </w:rPr>
  </w:style>
  <w:style w:type="character" w:customStyle="1" w:styleId="36">
    <w:name w:val="批注框文本字符"/>
    <w:basedOn w:val="22"/>
    <w:link w:val="12"/>
    <w:qFormat/>
    <w:uiPriority w:val="0"/>
    <w:rPr>
      <w:rFonts w:ascii="Heiti SC Light" w:eastAsia="Heiti SC Light"/>
      <w:kern w:val="2"/>
      <w:sz w:val="18"/>
      <w:szCs w:val="18"/>
    </w:rPr>
  </w:style>
  <w:style w:type="character" w:customStyle="1" w:styleId="37">
    <w:name w:val="注释文本字符"/>
    <w:basedOn w:val="22"/>
    <w:link w:val="9"/>
    <w:qFormat/>
    <w:uiPriority w:val="0"/>
    <w:rPr>
      <w:rFonts w:eastAsia="仿宋_GB2312"/>
      <w:kern w:val="2"/>
      <w:sz w:val="32"/>
      <w:szCs w:val="24"/>
    </w:rPr>
  </w:style>
  <w:style w:type="character" w:customStyle="1" w:styleId="38">
    <w:name w:val="批注主题字符"/>
    <w:basedOn w:val="37"/>
    <w:link w:val="19"/>
    <w:qFormat/>
    <w:uiPriority w:val="0"/>
    <w:rPr>
      <w:rFonts w:eastAsia="仿宋_GB2312"/>
      <w:b/>
      <w:bCs/>
      <w:kern w:val="2"/>
      <w:sz w:val="32"/>
      <w:szCs w:val="24"/>
    </w:rPr>
  </w:style>
  <w:style w:type="paragraph" w:customStyle="1" w:styleId="39">
    <w:name w:val="修订版本号2"/>
    <w:hidden/>
    <w:unhideWhenUsed/>
    <w:qFormat/>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wmf"/><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82b17332-c740-4381-a992-4a82bbc97d2f</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575CDD34</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ade189ff-3f74-42f5-ba8c-da2866f0890b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278A934F</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f27ce142-0568-47f1-b960-61be1f77f717</errorID>
      <errorWord xmlns="http://schemas.wps.cn/vas-ai-hub/contract-review">与临近</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与邻近</item>
      </candidateList>
      <explain xmlns="http://schemas.wps.cn/vas-ai-hub/contract-review"/>
      <paraID xmlns="http://schemas.wps.cn/vas-ai-hub/contract-review">278A934F</paraID>
      <start xmlns="http://schemas.wps.cn/vas-ai-hub/contract-review">31</start>
      <end xmlns="http://schemas.wps.cn/vas-ai-hub/contract-review">34</end>
      <status xmlns="http://schemas.wps.cn/vas-ai-hub/contract-review">modified</status>
      <modifiedWord xmlns="http://schemas.wps.cn/vas-ai-hub/contract-review">与邻近</modifiedWord>
      <trackRevisions xmlns="http://schemas.wps.cn/vas-ai-hub/contract-review">false</trackRevisions>
    </reviewItem>
    <reviewItem xmlns="http://schemas.wps.cn/vas-ai-hub/contract-review">
      <errorID xmlns="http://schemas.wps.cn/vas-ai-hub/contract-review">cb4a8f6b-3760-4100-a2ad-a5469b19eb42</errorID>
      <errorWord xmlns="http://schemas.wps.cn/vas-ai-hub/contract-review">紧临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紧邻</item>
      </candidateList>
      <explain xmlns="http://schemas.wps.cn/vas-ai-hub/contract-review">〈名〉紧挨着的邻居。</explain>
      <paraID xmlns="http://schemas.wps.cn/vas-ai-hub/contract-review">5E5FF607</paraID>
      <start xmlns="http://schemas.wps.cn/vas-ai-hub/contract-review">10</start>
      <end xmlns="http://schemas.wps.cn/vas-ai-hub/contract-review">12</end>
      <status xmlns="http://schemas.wps.cn/vas-ai-hub/contract-review">modified</status>
      <modifiedWord xmlns="http://schemas.wps.cn/vas-ai-hub/contract-review">紧邻</modifiedWord>
      <trackRevisions xmlns="http://schemas.wps.cn/vas-ai-hub/contract-review">false</trackRevisions>
    </reviewItem>
    <reviewItem xmlns="http://schemas.wps.cn/vas-ai-hub/contract-review">
      <errorID xmlns="http://schemas.wps.cn/vas-ai-hub/contract-review">1a4900c1-2d92-4c74-a287-80cd2469da94</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226FF7CD</paraID>
      <start xmlns="http://schemas.wps.cn/vas-ai-hub/contract-review">161</start>
      <end xmlns="http://schemas.wps.cn/vas-ai-hub/contract-review">162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83dabecc-130a-49e1-bd95-88deba7d7dc2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1BAADCBE</paraID>
      <start xmlns="http://schemas.wps.cn/vas-ai-hub/contract-review">81</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30af035c-a5fa-498a-8b7c-e5c1a4fba534</errorID>
      <errorWord xmlns="http://schemas.wps.cn/vas-ai-hub/contract-review">项目的降噪效果汇总表，单位： </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项目的降噪效果汇总表，单位：</item>
      </candidateList>
      <explain xmlns="http://schemas.wps.cn/vas-ai-hub/contract-review"/>
      <paraID xmlns="http://schemas.wps.cn/vas-ai-hub/contract-review">75CC46A8</paraID>
      <start xmlns="http://schemas.wps.cn/vas-ai-hub/contract-review">5</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6687ac-f5ae-4e00-8fca-9cec62bdc876}">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18</Pages>
  <Words>269</Words>
  <Characters>306</Characters>
  <Lines>76</Lines>
  <Paragraphs>21</Paragraphs>
  <TotalTime>0</TotalTime>
  <ScaleCrop>false</ScaleCrop>
  <LinksUpToDate>false</LinksUpToDate>
  <CharactersWithSpaces>429</CharactersWithSpaces>
  <Application>WPS Office_11.8.2.1131_F1E327BC-269C-435d-A152-05C5408002CA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2026-06-19T18:57:00Z</dcterms:created>
  <dc:creator>戴涛</dc:creator>
  <cp:lastModifiedBy>qinxin</cp:lastModifiedBy>
  <cp:lastPrinted>2024-04-30T01:55:00Z</cp:lastPrinted>
  <dcterms:modified xsi:type="dcterms:W3CDTF">2026-07-24T11:49:24Z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A5A692D317A34E5D84DC884966F52291_13</vt:lpwstr>
  </property>
  <property fmtid="{D5CDD505-2E9C-101B-9397-08002B2CF9AE}" pid="4" name="KSOTemplateDocerSaveRecord">
    <vt:lpwstr>eyJoZGlkIjoiYjlkNzFmZmY2YmI1OTA5Y2NkODBlZjZkMjVhYTFkN2IiLCJ1c2VySWQiOiI2NjAyNjQyMjgifQ==</vt:lpwstr>
  </property>
</Properties>
</file>