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560" w:lineRule="exact"/>
        <w:jc w:val="both"/>
        <w:rPr>
          <w:rFonts w:hint="eastAsia" w:ascii="黑体" w:hAnsi="黑体" w:eastAsia="黑体" w:cs="黑体"/>
          <w:sz w:val="32"/>
          <w:szCs w:val="32"/>
        </w:rPr>
      </w:pPr>
      <w:bookmarkStart w:id="0" w:name="_GoBack"/>
      <w:bookmarkEnd w:id="0"/>
      <w:r>
        <w:rPr>
          <w:rFonts w:ascii="黑体" w:hAnsi="黑体" w:eastAsia="黑体" w:cs="黑体"/>
          <w:sz w:val="32"/>
          <w:szCs w:val="32"/>
        </w:rPr>
        <w:t>附件1</w:t>
      </w:r>
    </w:p>
    <w:p>
      <w:pPr>
        <w:spacing w:after="0" w:line="560" w:lineRule="exact"/>
        <w:jc w:val="center"/>
        <w:rPr>
          <w:rFonts w:hint="eastAsia" w:ascii="方正小标宋简体" w:hAnsi="方正小标宋简体" w:eastAsia="方正小标宋简体" w:cs="方正小标宋简体"/>
          <w:spacing w:val="-6"/>
          <w:sz w:val="36"/>
          <w:szCs w:val="36"/>
        </w:rPr>
      </w:pPr>
      <w:r>
        <w:rPr>
          <w:rFonts w:ascii="方正小标宋简体" w:hAnsi="方正小标宋简体" w:eastAsia="方正小标宋简体" w:cs="方正小标宋简体"/>
          <w:spacing w:val="-6"/>
          <w:sz w:val="36"/>
          <w:szCs w:val="36"/>
        </w:rPr>
        <w:t>城市工程运输车辆盲区风险防控技术</w:t>
      </w:r>
    </w:p>
    <w:p>
      <w:pPr>
        <w:spacing w:after="0" w:line="560" w:lineRule="exact"/>
        <w:jc w:val="center"/>
        <w:rPr>
          <w:rFonts w:hint="eastAsia" w:ascii="方正小标宋简体" w:hAnsi="方正小标宋简体" w:eastAsia="方正小标宋简体" w:cs="方正小标宋简体"/>
          <w:spacing w:val="-6"/>
          <w:sz w:val="36"/>
          <w:szCs w:val="36"/>
        </w:rPr>
      </w:pPr>
      <w:r>
        <w:rPr>
          <w:rFonts w:ascii="方正小标宋简体" w:hAnsi="方正小标宋简体" w:eastAsia="方正小标宋简体" w:cs="方正小标宋简体"/>
          <w:spacing w:val="-6"/>
          <w:sz w:val="36"/>
          <w:szCs w:val="36"/>
        </w:rPr>
        <w:t>揭榜挂帅需求榜单</w:t>
      </w:r>
    </w:p>
    <w:p>
      <w:pPr>
        <w:rPr>
          <w:rFonts w:hint="eastAsia"/>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38" w:type="dxa"/>
            <w:noWrap/>
            <w:vAlign w:val="center"/>
          </w:tcPr>
          <w:p>
            <w:pPr>
              <w:spacing w:after="0" w:line="360" w:lineRule="auto"/>
              <w:jc w:val="center"/>
              <w:rPr>
                <w:rFonts w:hint="eastAsia" w:ascii="仿宋_GB2312" w:eastAsia="仿宋_GB2312"/>
                <w:sz w:val="28"/>
                <w:szCs w:val="28"/>
              </w:rPr>
            </w:pPr>
            <w:r>
              <w:rPr>
                <w:rFonts w:hint="eastAsia" w:ascii="仿宋_GB2312" w:eastAsia="仿宋_GB2312"/>
                <w:sz w:val="28"/>
                <w:szCs w:val="28"/>
              </w:rPr>
              <w:t>需求名称</w:t>
            </w: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城市工程运输车辆盲区风险防控技术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838" w:type="dxa"/>
            <w:noWrap/>
            <w:vAlign w:val="center"/>
          </w:tcPr>
          <w:p>
            <w:pPr>
              <w:spacing w:after="0" w:line="360" w:lineRule="auto"/>
              <w:jc w:val="center"/>
              <w:rPr>
                <w:rFonts w:hint="eastAsia" w:ascii="仿宋_GB2312" w:eastAsia="仿宋_GB2312"/>
                <w:sz w:val="28"/>
                <w:szCs w:val="28"/>
              </w:rPr>
            </w:pPr>
            <w:r>
              <w:rPr>
                <w:rFonts w:hint="eastAsia" w:ascii="仿宋_GB2312" w:eastAsia="仿宋_GB2312"/>
                <w:sz w:val="28"/>
                <w:szCs w:val="28"/>
              </w:rPr>
              <w:t>基础要求</w:t>
            </w: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1.适用车型为城市工程运输车辆（泥头车、搅拌车等重型货车）</w:t>
            </w:r>
            <w:r>
              <w:rPr>
                <w:rFonts w:hint="eastAsia" w:ascii="仿宋_GB2312" w:eastAsia="仿宋_GB2312"/>
                <w:sz w:val="28"/>
                <w:szCs w:val="28"/>
              </w:rPr>
              <w:br w:type="textWrapping"/>
            </w:r>
            <w:r>
              <w:rPr>
                <w:rFonts w:hint="eastAsia" w:ascii="仿宋_GB2312" w:eastAsia="仿宋_GB2312"/>
                <w:sz w:val="28"/>
                <w:szCs w:val="28"/>
              </w:rPr>
              <w:t>2.安装方式上须采用</w:t>
            </w:r>
            <w:r>
              <w:rPr>
                <w:rFonts w:hint="eastAsia" w:ascii="仿宋_GB2312" w:eastAsia="仿宋_GB2312"/>
                <w:sz w:val="28"/>
                <w:szCs w:val="28"/>
                <w:lang w:eastAsia="zh-CN"/>
              </w:rPr>
              <w:t>合规</w:t>
            </w:r>
            <w:r>
              <w:rPr>
                <w:rFonts w:hint="eastAsia" w:ascii="仿宋_GB2312" w:eastAsia="仿宋_GB2312"/>
                <w:sz w:val="28"/>
                <w:szCs w:val="28"/>
              </w:rPr>
              <w:t>加装方案，不得对车辆原有结构、电气系统、制动转向系统等原厂设备进行不可逆破坏性改装，不得影响车辆原有安全性能及年检合规性，需提供无损安装方案及对原车系统的详细说明。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838" w:type="dxa"/>
            <w:noWrap/>
            <w:vAlign w:val="center"/>
          </w:tcPr>
          <w:p>
            <w:pPr>
              <w:spacing w:after="0" w:line="360" w:lineRule="auto"/>
              <w:jc w:val="center"/>
              <w:rPr>
                <w:rFonts w:hint="eastAsia" w:ascii="仿宋_GB2312" w:eastAsia="仿宋_GB2312"/>
                <w:sz w:val="28"/>
                <w:szCs w:val="28"/>
              </w:rPr>
            </w:pPr>
            <w:r>
              <w:rPr>
                <w:rFonts w:hint="eastAsia" w:ascii="仿宋_GB2312" w:eastAsia="仿宋_GB2312"/>
                <w:sz w:val="28"/>
                <w:szCs w:val="28"/>
              </w:rPr>
              <w:t>核心功能</w:t>
            </w: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1.防控区域需重点覆盖右侧盲区、车头前方盲区及A柱遮挡区域。</w:t>
            </w:r>
            <w:r>
              <w:rPr>
                <w:rFonts w:hint="eastAsia" w:ascii="仿宋_GB2312" w:eastAsia="仿宋_GB2312"/>
                <w:sz w:val="28"/>
                <w:szCs w:val="28"/>
              </w:rPr>
              <w:br w:type="textWrapping"/>
            </w:r>
            <w:r>
              <w:rPr>
                <w:rFonts w:hint="eastAsia" w:ascii="仿宋_GB2312" w:eastAsia="仿宋_GB2312"/>
                <w:sz w:val="28"/>
                <w:szCs w:val="28"/>
              </w:rPr>
              <w:t>2.具备行人及非机动车检测、视野盲区消减、分级预警、驾驶员提示等核心功能，鼓励集成系统与平台化管理技术。</w:t>
            </w:r>
            <w:r>
              <w:rPr>
                <w:rFonts w:hint="eastAsia" w:ascii="仿宋_GB2312" w:eastAsia="仿宋_GB2312"/>
                <w:sz w:val="28"/>
                <w:szCs w:val="28"/>
              </w:rPr>
              <w:br w:type="textWrapping"/>
            </w:r>
            <w:r>
              <w:rPr>
                <w:rFonts w:hint="eastAsia" w:ascii="仿宋_GB2312" w:eastAsia="仿宋_GB2312"/>
                <w:sz w:val="28"/>
                <w:szCs w:val="28"/>
              </w:rPr>
              <w:t>3.环境适应性方面，需具备白天、夜间及雨雾等恶劣天气条件下的全时段工作能力，抗振动、电磁兼容等性能符合车载环境要求。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rPr>
        <w:tc>
          <w:tcPr>
            <w:tcW w:w="1838" w:type="dxa"/>
            <w:vMerge w:val="restart"/>
            <w:noWrap w:val="0"/>
            <w:vAlign w:val="center"/>
          </w:tcPr>
          <w:p>
            <w:pPr>
              <w:spacing w:after="0" w:line="360" w:lineRule="auto"/>
              <w:jc w:val="center"/>
              <w:rPr>
                <w:rFonts w:hint="eastAsia" w:ascii="仿宋_GB2312" w:eastAsia="仿宋_GB2312"/>
                <w:sz w:val="28"/>
                <w:szCs w:val="28"/>
              </w:rPr>
            </w:pPr>
            <w:r>
              <w:rPr>
                <w:rFonts w:hint="eastAsia" w:ascii="仿宋_GB2312" w:eastAsia="仿宋_GB2312"/>
                <w:sz w:val="28"/>
                <w:szCs w:val="28"/>
              </w:rPr>
              <w:t>需求描述</w:t>
            </w:r>
            <w:r>
              <w:rPr>
                <w:rFonts w:hint="eastAsia" w:ascii="仿宋_GB2312" w:eastAsia="仿宋_GB2312"/>
                <w:sz w:val="28"/>
                <w:szCs w:val="28"/>
              </w:rPr>
              <w:br w:type="textWrapping"/>
            </w:r>
            <w:r>
              <w:rPr>
                <w:rFonts w:hint="eastAsia" w:ascii="仿宋_GB2312" w:eastAsia="仿宋_GB2312"/>
                <w:sz w:val="28"/>
                <w:szCs w:val="28"/>
              </w:rPr>
              <w:t>（核心技术参数/指标）</w:t>
            </w: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一、消减视野盲区能力</w:t>
            </w:r>
            <w:r>
              <w:rPr>
                <w:rFonts w:hint="eastAsia" w:ascii="仿宋_GB2312" w:eastAsia="仿宋_GB2312"/>
                <w:sz w:val="28"/>
                <w:szCs w:val="28"/>
              </w:rPr>
              <w:br w:type="textWrapping"/>
            </w:r>
            <w:r>
              <w:rPr>
                <w:rFonts w:hint="eastAsia" w:ascii="仿宋_GB2312" w:eastAsia="仿宋_GB2312"/>
                <w:sz w:val="28"/>
                <w:szCs w:val="28"/>
              </w:rPr>
              <w:t>必要指标：</w:t>
            </w:r>
            <w:r>
              <w:rPr>
                <w:rFonts w:hint="eastAsia" w:ascii="仿宋_GB2312" w:eastAsia="仿宋_GB2312"/>
                <w:sz w:val="28"/>
                <w:szCs w:val="28"/>
              </w:rPr>
              <w:br w:type="textWrapping"/>
            </w:r>
            <w:r>
              <w:rPr>
                <w:rFonts w:hint="eastAsia" w:ascii="仿宋_GB2312" w:eastAsia="仿宋_GB2312"/>
                <w:sz w:val="28"/>
                <w:szCs w:val="28"/>
              </w:rPr>
              <w:t>1.盲区检测范围：静态检测覆盖率在标准盲区边界内对目标物检出率≥95%；动态有效探测范围右侧水平≥3.0m、垂直0.3-2.0m，前方0-3m，内轮差区域全覆盖。</w:t>
            </w:r>
            <w:r>
              <w:rPr>
                <w:rFonts w:hint="eastAsia" w:ascii="仿宋_GB2312" w:eastAsia="仿宋_GB2312"/>
                <w:sz w:val="28"/>
                <w:szCs w:val="28"/>
              </w:rPr>
              <w:br w:type="textWrapping"/>
            </w:r>
            <w:r>
              <w:rPr>
                <w:rFonts w:hint="eastAsia" w:ascii="仿宋_GB2312" w:eastAsia="仿宋_GB2312"/>
                <w:sz w:val="28"/>
                <w:szCs w:val="28"/>
              </w:rPr>
              <w:t xml:space="preserve">2.盲区消减率：安装系统后相比原车状态减少的盲区面积比例≥80%。 </w:t>
            </w:r>
            <w:r>
              <w:rPr>
                <w:rFonts w:hint="eastAsia" w:ascii="仿宋_GB2312" w:eastAsia="仿宋_GB2312"/>
                <w:sz w:val="28"/>
                <w:szCs w:val="28"/>
              </w:rPr>
              <w:br w:type="textWrapping"/>
            </w:r>
            <w:r>
              <w:rPr>
                <w:rFonts w:hint="eastAsia" w:ascii="仿宋_GB2312" w:eastAsia="仿宋_GB2312"/>
                <w:sz w:val="28"/>
                <w:szCs w:val="28"/>
              </w:rPr>
              <w:t>拓展指标：</w:t>
            </w:r>
            <w:r>
              <w:rPr>
                <w:rFonts w:hint="eastAsia" w:ascii="仿宋_GB2312" w:eastAsia="仿宋_GB2312"/>
                <w:sz w:val="28"/>
                <w:szCs w:val="28"/>
              </w:rPr>
              <w:br w:type="textWrapping"/>
            </w:r>
            <w:r>
              <w:rPr>
                <w:rFonts w:hint="eastAsia" w:ascii="仿宋_GB2312" w:eastAsia="仿宋_GB2312"/>
                <w:sz w:val="28"/>
                <w:szCs w:val="28"/>
              </w:rPr>
              <w:t>驾驶员使用率：安装辅助系统后驾驶员对盲区区域观察次数提升≥50%；单次扫视辅助屏幕时长≤1.5秒，占比不超过总驾驶时长的10%。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838" w:type="dxa"/>
            <w:vMerge w:val="continue"/>
            <w:noWrap w:val="0"/>
            <w:vAlign w:val="center"/>
          </w:tcPr>
          <w:p>
            <w:pPr>
              <w:spacing w:after="0" w:line="360" w:lineRule="auto"/>
              <w:jc w:val="center"/>
              <w:rPr>
                <w:rFonts w:hint="eastAsia" w:ascii="仿宋_GB2312" w:eastAsia="仿宋_GB2312"/>
                <w:sz w:val="28"/>
                <w:szCs w:val="28"/>
              </w:rPr>
            </w:pP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 xml:space="preserve">二、盲区检测及预警能力 </w:t>
            </w:r>
            <w:r>
              <w:rPr>
                <w:rFonts w:hint="eastAsia" w:ascii="仿宋_GB2312" w:eastAsia="仿宋_GB2312"/>
                <w:sz w:val="28"/>
                <w:szCs w:val="28"/>
              </w:rPr>
              <w:br w:type="textWrapping"/>
            </w:r>
            <w:r>
              <w:rPr>
                <w:rFonts w:hint="eastAsia" w:ascii="仿宋_GB2312" w:eastAsia="仿宋_GB2312"/>
                <w:sz w:val="28"/>
                <w:szCs w:val="28"/>
              </w:rPr>
              <w:t>必要指标：</w:t>
            </w:r>
            <w:r>
              <w:rPr>
                <w:rFonts w:hint="eastAsia" w:ascii="仿宋_GB2312" w:eastAsia="仿宋_GB2312"/>
                <w:sz w:val="28"/>
                <w:szCs w:val="28"/>
              </w:rPr>
              <w:br w:type="textWrapping"/>
            </w:r>
            <w:r>
              <w:rPr>
                <w:rFonts w:hint="eastAsia" w:ascii="仿宋_GB2312" w:eastAsia="仿宋_GB2312"/>
                <w:sz w:val="28"/>
                <w:szCs w:val="28"/>
              </w:rPr>
              <w:t xml:space="preserve">1.盲区目标检测率：行人及非机动车正确检测率≥95%，漏检率≤5%；复杂干扰场景下每10分钟虚假报警次数≤2次。 </w:t>
            </w:r>
            <w:r>
              <w:rPr>
                <w:rFonts w:hint="eastAsia" w:ascii="仿宋_GB2312" w:eastAsia="仿宋_GB2312"/>
                <w:sz w:val="28"/>
                <w:szCs w:val="28"/>
              </w:rPr>
              <w:br w:type="textWrapping"/>
            </w:r>
            <w:r>
              <w:rPr>
                <w:rFonts w:hint="eastAsia" w:ascii="仿宋_GB2312" w:eastAsia="仿宋_GB2312"/>
                <w:sz w:val="28"/>
                <w:szCs w:val="28"/>
              </w:rPr>
              <w:t xml:space="preserve">2.预警时效性：从目标进入盲区到系统首次发出报警的时间差≤300ms。 </w:t>
            </w:r>
            <w:r>
              <w:rPr>
                <w:rFonts w:hint="eastAsia" w:ascii="仿宋_GB2312" w:eastAsia="仿宋_GB2312"/>
                <w:sz w:val="28"/>
                <w:szCs w:val="28"/>
              </w:rPr>
              <w:br w:type="textWrapping"/>
            </w:r>
            <w:r>
              <w:rPr>
                <w:rFonts w:hint="eastAsia" w:ascii="仿宋_GB2312" w:eastAsia="仿宋_GB2312"/>
                <w:sz w:val="28"/>
                <w:szCs w:val="28"/>
              </w:rPr>
              <w:t>3.预警分级合理性：至少包含两级预警（1级为目标进入盲区，2级为存在碰撞风险且TTC或ETTC＜3s）；预警形式含车内视觉及听觉报警；</w:t>
            </w:r>
            <w:r>
              <w:rPr>
                <w:rFonts w:hint="eastAsia" w:ascii="仿宋_GB2312" w:eastAsia="仿宋_GB2312"/>
                <w:sz w:val="28"/>
                <w:szCs w:val="28"/>
              </w:rPr>
              <w:br w:type="textWrapping"/>
            </w:r>
            <w:r>
              <w:rPr>
                <w:rFonts w:hint="eastAsia" w:ascii="仿宋_GB2312" w:eastAsia="仿宋_GB2312"/>
                <w:sz w:val="28"/>
                <w:szCs w:val="28"/>
              </w:rPr>
              <w:t xml:space="preserve">拓展指标： </w:t>
            </w:r>
            <w:r>
              <w:rPr>
                <w:rFonts w:hint="eastAsia" w:ascii="仿宋_GB2312" w:eastAsia="仿宋_GB2312"/>
                <w:sz w:val="28"/>
                <w:szCs w:val="28"/>
              </w:rPr>
              <w:br w:type="textWrapping"/>
            </w:r>
            <w:r>
              <w:rPr>
                <w:rFonts w:hint="eastAsia" w:ascii="仿宋_GB2312" w:eastAsia="仿宋_GB2312"/>
                <w:sz w:val="28"/>
                <w:szCs w:val="28"/>
              </w:rPr>
              <w:t>1.驾驶员接受度高</w:t>
            </w:r>
            <w:r>
              <w:rPr>
                <w:rFonts w:hint="eastAsia" w:ascii="仿宋_GB2312" w:eastAsia="仿宋_GB2312"/>
                <w:sz w:val="28"/>
                <w:szCs w:val="28"/>
              </w:rPr>
              <w:br w:type="textWrapping"/>
            </w:r>
            <w:r>
              <w:rPr>
                <w:rFonts w:hint="eastAsia" w:ascii="仿宋_GB2312" w:eastAsia="仿宋_GB2312"/>
                <w:sz w:val="28"/>
                <w:szCs w:val="28"/>
              </w:rPr>
              <w:t>2.驾驶员对于预警分级合理性的评价较好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1838" w:type="dxa"/>
            <w:vMerge w:val="continue"/>
            <w:noWrap w:val="0"/>
            <w:vAlign w:val="center"/>
          </w:tcPr>
          <w:p>
            <w:pPr>
              <w:spacing w:after="0" w:line="360" w:lineRule="auto"/>
              <w:jc w:val="center"/>
              <w:rPr>
                <w:rFonts w:hint="eastAsia" w:ascii="仿宋_GB2312" w:eastAsia="仿宋_GB2312"/>
                <w:sz w:val="28"/>
                <w:szCs w:val="28"/>
              </w:rPr>
            </w:pPr>
          </w:p>
        </w:tc>
        <w:tc>
          <w:tcPr>
            <w:tcW w:w="6458" w:type="dxa"/>
            <w:noWrap w:val="0"/>
            <w:vAlign w:val="center"/>
          </w:tcPr>
          <w:p>
            <w:pPr>
              <w:spacing w:after="0" w:line="360" w:lineRule="auto"/>
              <w:jc w:val="both"/>
              <w:rPr>
                <w:rFonts w:hint="eastAsia" w:ascii="仿宋_GB2312" w:eastAsia="仿宋_GB2312"/>
                <w:sz w:val="28"/>
                <w:szCs w:val="28"/>
              </w:rPr>
            </w:pPr>
            <w:r>
              <w:rPr>
                <w:rFonts w:hint="eastAsia" w:ascii="仿宋_GB2312" w:eastAsia="仿宋_GB2312"/>
                <w:sz w:val="28"/>
                <w:szCs w:val="28"/>
              </w:rPr>
              <w:t>三、系统适配和可靠性</w:t>
            </w:r>
            <w:r>
              <w:rPr>
                <w:rFonts w:hint="eastAsia" w:ascii="仿宋_GB2312" w:eastAsia="仿宋_GB2312"/>
                <w:sz w:val="28"/>
                <w:szCs w:val="28"/>
              </w:rPr>
              <w:br w:type="textWrapping"/>
            </w:r>
            <w:r>
              <w:rPr>
                <w:rFonts w:hint="eastAsia" w:ascii="仿宋_GB2312" w:eastAsia="仿宋_GB2312"/>
                <w:sz w:val="28"/>
                <w:szCs w:val="28"/>
              </w:rPr>
              <w:t>必要指标：</w:t>
            </w:r>
            <w:r>
              <w:rPr>
                <w:rFonts w:hint="eastAsia" w:ascii="仿宋_GB2312" w:eastAsia="仿宋_GB2312"/>
                <w:sz w:val="28"/>
                <w:szCs w:val="28"/>
              </w:rPr>
              <w:br w:type="textWrapping"/>
            </w:r>
            <w:r>
              <w:rPr>
                <w:rFonts w:hint="eastAsia" w:ascii="仿宋_GB2312" w:eastAsia="仿宋_GB2312"/>
                <w:sz w:val="28"/>
                <w:szCs w:val="28"/>
              </w:rPr>
              <w:t>1.安装适配性：可适配≥3种主流品牌底盘，不破坏原车结构；单台安装时间≤4小时。</w:t>
            </w:r>
            <w:r>
              <w:rPr>
                <w:rFonts w:hint="eastAsia" w:ascii="仿宋_GB2312" w:eastAsia="仿宋_GB2312"/>
                <w:sz w:val="28"/>
                <w:szCs w:val="28"/>
              </w:rPr>
              <w:br w:type="textWrapping"/>
            </w:r>
            <w:r>
              <w:rPr>
                <w:rFonts w:hint="eastAsia" w:ascii="仿宋_GB2312" w:eastAsia="仿宋_GB2312"/>
                <w:sz w:val="28"/>
                <w:szCs w:val="28"/>
              </w:rPr>
              <w:t>2.工作稳定性：72小时不间断通电无致命故障；环境耐久性测试（雨雾、强振动模拟搓板路等）后功能正常，性能指标与初始值偏差≤5%；设备在线率≥98%。</w:t>
            </w:r>
            <w:r>
              <w:rPr>
                <w:rFonts w:hint="eastAsia" w:ascii="仿宋_GB2312" w:eastAsia="仿宋_GB2312"/>
                <w:sz w:val="28"/>
                <w:szCs w:val="28"/>
              </w:rPr>
              <w:br w:type="textWrapping"/>
            </w:r>
            <w:r>
              <w:rPr>
                <w:rFonts w:hint="eastAsia" w:ascii="仿宋_GB2312" w:eastAsia="仿宋_GB2312"/>
                <w:sz w:val="28"/>
                <w:szCs w:val="28"/>
              </w:rPr>
              <w:t>拓展指标：</w:t>
            </w:r>
            <w:r>
              <w:rPr>
                <w:rFonts w:hint="eastAsia" w:ascii="仿宋_GB2312" w:eastAsia="仿宋_GB2312"/>
                <w:sz w:val="28"/>
                <w:szCs w:val="28"/>
              </w:rPr>
              <w:br w:type="textWrapping"/>
            </w:r>
            <w:r>
              <w:rPr>
                <w:rFonts w:hint="eastAsia" w:ascii="仿宋_GB2312" w:eastAsia="仿宋_GB2312"/>
                <w:sz w:val="28"/>
                <w:szCs w:val="28"/>
              </w:rPr>
              <w:t>综合成本（包括全套系统+安装成本）≤5000元；年维护成本≤设备成本的5%。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2" w:hRule="atLeast"/>
        </w:trPr>
        <w:tc>
          <w:tcPr>
            <w:tcW w:w="1838" w:type="dxa"/>
            <w:noWrap/>
            <w:vAlign w:val="center"/>
          </w:tcPr>
          <w:p>
            <w:pPr>
              <w:spacing w:after="0" w:line="360" w:lineRule="auto"/>
              <w:jc w:val="center"/>
              <w:rPr>
                <w:rFonts w:hint="eastAsia" w:ascii="仿宋_GB2312" w:eastAsia="仿宋_GB2312"/>
                <w:sz w:val="28"/>
                <w:szCs w:val="28"/>
              </w:rPr>
            </w:pPr>
            <w:r>
              <w:rPr>
                <w:rFonts w:hint="eastAsia" w:ascii="仿宋_GB2312" w:eastAsia="仿宋_GB2312"/>
                <w:sz w:val="28"/>
                <w:szCs w:val="28"/>
              </w:rPr>
              <w:t>对揭榜方要求</w:t>
            </w:r>
          </w:p>
        </w:tc>
        <w:tc>
          <w:tcPr>
            <w:tcW w:w="6458" w:type="dxa"/>
            <w:noWrap w:val="0"/>
            <w:vAlign w:val="center"/>
          </w:tcPr>
          <w:p>
            <w:pPr>
              <w:spacing w:after="0" w:line="360" w:lineRule="auto"/>
              <w:jc w:val="both"/>
              <w:rPr>
                <w:rFonts w:ascii="仿宋_GB2312" w:eastAsia="仿宋_GB2312"/>
                <w:sz w:val="28"/>
                <w:szCs w:val="28"/>
              </w:rPr>
            </w:pPr>
            <w:r>
              <w:rPr>
                <w:rFonts w:hint="eastAsia" w:ascii="仿宋_GB2312" w:eastAsia="仿宋_GB2312"/>
                <w:sz w:val="28"/>
                <w:szCs w:val="28"/>
              </w:rPr>
              <w:t>1.揭榜单位应为在国内实际经营的企业、高校、科研院所或创业团队，具备与榜单要求相匹配的技术研发基础与产业化能力，有推广应用意愿。</w:t>
            </w:r>
          </w:p>
          <w:p>
            <w:pPr>
              <w:spacing w:after="0" w:line="360" w:lineRule="auto"/>
              <w:jc w:val="both"/>
              <w:rPr>
                <w:rFonts w:ascii="仿宋_GB2312" w:eastAsia="仿宋_GB2312"/>
                <w:sz w:val="28"/>
                <w:szCs w:val="28"/>
              </w:rPr>
            </w:pPr>
            <w:r>
              <w:rPr>
                <w:rFonts w:hint="eastAsia" w:ascii="仿宋_GB2312" w:eastAsia="仿宋_GB2312"/>
                <w:sz w:val="28"/>
                <w:szCs w:val="28"/>
              </w:rPr>
              <w:t>2.揭榜产品关键技术指标应达到业内领先水平，须具备行人及非机动车检测、视野盲区消减、分级预警及提示等核心功能，并提供清晰的技术实现路径与实现逻辑，且无知识产权纠纷。</w:t>
            </w:r>
          </w:p>
          <w:p>
            <w:pPr>
              <w:spacing w:after="0" w:line="360" w:lineRule="auto"/>
              <w:jc w:val="both"/>
              <w:rPr>
                <w:rFonts w:ascii="仿宋_GB2312" w:eastAsia="仿宋_GB2312"/>
                <w:sz w:val="28"/>
                <w:szCs w:val="28"/>
              </w:rPr>
            </w:pPr>
            <w:r>
              <w:rPr>
                <w:rFonts w:hint="eastAsia" w:ascii="仿宋_GB2312" w:eastAsia="仿宋_GB2312"/>
                <w:sz w:val="28"/>
                <w:szCs w:val="28"/>
              </w:rPr>
              <w:t>3.揭榜产品须采用</w:t>
            </w:r>
            <w:r>
              <w:rPr>
                <w:rFonts w:hint="eastAsia" w:ascii="仿宋_GB2312" w:eastAsia="仿宋_GB2312"/>
                <w:sz w:val="28"/>
                <w:szCs w:val="28"/>
                <w:lang w:eastAsia="zh-CN"/>
              </w:rPr>
              <w:t>合规</w:t>
            </w:r>
            <w:r>
              <w:rPr>
                <w:rFonts w:hint="eastAsia" w:ascii="仿宋_GB2312" w:eastAsia="仿宋_GB2312"/>
                <w:sz w:val="28"/>
                <w:szCs w:val="28"/>
              </w:rPr>
              <w:t>加装方式，确保在不破坏车辆原厂结构、电气系统及制动转向系统的前提下完成上车安装或集成，提供物理安装接口、独立供电与通信方案、传感器布置方式等集成可行性说明；须具备白天、夜间及雨雾等恶劣天气条件下的全时段工作能力，抗振动、电磁兼容等性能符合车载环境要求。</w:t>
            </w:r>
          </w:p>
          <w:p>
            <w:pPr>
              <w:spacing w:after="0" w:line="360" w:lineRule="auto"/>
              <w:jc w:val="both"/>
              <w:rPr>
                <w:rFonts w:ascii="仿宋_GB2312" w:eastAsia="仿宋_GB2312"/>
                <w:sz w:val="28"/>
                <w:szCs w:val="28"/>
              </w:rPr>
            </w:pPr>
            <w:r>
              <w:rPr>
                <w:rFonts w:hint="eastAsia" w:ascii="仿宋_GB2312" w:eastAsia="仿宋_GB2312"/>
                <w:sz w:val="28"/>
                <w:szCs w:val="28"/>
              </w:rPr>
              <w:t>4.揭榜方须提交技术成熟度自评、已有样机或系统研发证据、关键部件选型依据及参与实车比测的保障措施。揭榜产品如已在市场推广应用，应一并提供应用推广情况说明。</w:t>
            </w:r>
          </w:p>
          <w:p>
            <w:pPr>
              <w:spacing w:after="0" w:line="360" w:lineRule="auto"/>
              <w:jc w:val="both"/>
              <w:rPr>
                <w:rFonts w:ascii="仿宋_GB2312" w:eastAsia="仿宋_GB2312"/>
                <w:sz w:val="28"/>
                <w:szCs w:val="28"/>
              </w:rPr>
            </w:pPr>
            <w:r>
              <w:rPr>
                <w:rFonts w:hint="eastAsia" w:ascii="仿宋_GB2312" w:eastAsia="仿宋_GB2312"/>
                <w:sz w:val="28"/>
                <w:szCs w:val="28"/>
              </w:rPr>
              <w:t>5.揭榜方须承诺开放必要的数据接口，支持将车辆盲区监测及相关安全数据按深圳市相关监管平台要求的通信协议和格式的要求进行上传，并接入深圳市泥头车实时监管系统，包括但不限于：车辆位置、盲区预警事件记录、系统工作状态故障告警等关键数据字段。揭榜方应提供数据交互技术文档，确保比测阶段及后续应用时可实现与市级监管平台的有效对接与联调。</w:t>
            </w:r>
          </w:p>
          <w:p>
            <w:pPr>
              <w:spacing w:after="0" w:line="360" w:lineRule="auto"/>
              <w:jc w:val="both"/>
              <w:rPr>
                <w:rFonts w:hint="eastAsia" w:ascii="仿宋_GB2312" w:eastAsia="仿宋_GB2312"/>
                <w:sz w:val="28"/>
                <w:szCs w:val="28"/>
              </w:rPr>
            </w:pPr>
            <w:r>
              <w:rPr>
                <w:rFonts w:hint="eastAsia" w:ascii="仿宋_GB2312" w:eastAsia="仿宋_GB2312"/>
                <w:sz w:val="28"/>
                <w:szCs w:val="28"/>
              </w:rPr>
              <w:t>6.揭榜方须承诺对比测期间所提供设备的安全性、可靠性和运行状态负全部责任。测试过程中如因设备自身原因出现故障、失效、损坏或由此引发的安全风险，由揭榜方自行承担维修、更换及相关后果，确保不影响比测整体进度与公正性。</w:t>
            </w:r>
            <w:r>
              <w:rPr>
                <w:rFonts w:hint="eastAsia" w:ascii="仿宋_GB2312" w:eastAsia="仿宋_GB2312"/>
                <w:sz w:val="28"/>
                <w:szCs w:val="28"/>
              </w:rPr>
              <w:br w:type="textWrapping"/>
            </w:r>
            <w:r>
              <w:rPr>
                <w:rFonts w:hint="eastAsia" w:ascii="仿宋_GB2312" w:eastAsia="仿宋_GB2312"/>
                <w:sz w:val="28"/>
                <w:szCs w:val="28"/>
              </w:rPr>
              <w:t>7.揭榜方须承诺所提交材料真实有效，不涉及知识产权侵权或法律纠纷，同意接受过程监督与数据采集要求。</w:t>
            </w:r>
          </w:p>
        </w:tc>
      </w:tr>
    </w:tbl>
    <w:p>
      <w:pPr>
        <w:rPr>
          <w:rFonts w:hint="eastAsia"/>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A00002BF" w:usb1="38CF7CFA" w:usb2="00000016" w:usb3="00000000" w:csb0="0004000F" w:csb1="00000000"/>
  </w:font>
  <w:font w:name="等线 Light">
    <w:altName w:val="华文仿宋"/>
    <w:panose1 w:val="02010600030101010101"/>
    <w:charset w:val="00"/>
    <w:family w:val="auto"/>
    <w:pitch w:val="default"/>
    <w:sig w:usb0="A00002BF" w:usb1="38CF7CFA" w:usb2="00000016" w:usb3="00000000" w:csb0="0004000F" w:csb1="00000000"/>
  </w:font>
  <w:font w:name="黑体">
    <w:altName w:val="方正黑体_GBK"/>
    <w:panose1 w:val="02010609060101010101"/>
    <w:charset w:val="00"/>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97C"/>
    <w:rsid w:val="00117915"/>
    <w:rsid w:val="00355D84"/>
    <w:rsid w:val="00491C44"/>
    <w:rsid w:val="005F65DD"/>
    <w:rsid w:val="008D097C"/>
    <w:rsid w:val="008D495D"/>
    <w:rsid w:val="00B1335B"/>
    <w:rsid w:val="00EA2260"/>
    <w:rsid w:val="00FA41C6"/>
    <w:rsid w:val="5FCB9604"/>
    <w:rsid w:val="7B7AD62F"/>
    <w:rsid w:val="FDF3D8BD"/>
    <w:rsid w:val="FFBDBE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等线" w:eastAsia="等线" w:cs="Times New Roman"/>
      <w:kern w:val="2"/>
      <w:sz w:val="22"/>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等线 Light" w:hAnsi="等线 Light" w:eastAsia="等线 Light" w:cs="Times New Roman"/>
      <w:color w:val="2F5496"/>
      <w:sz w:val="48"/>
      <w:szCs w:val="48"/>
    </w:rPr>
  </w:style>
  <w:style w:type="paragraph" w:styleId="3">
    <w:name w:val="heading 2"/>
    <w:basedOn w:val="1"/>
    <w:next w:val="1"/>
    <w:link w:val="19"/>
    <w:unhideWhenUsed/>
    <w:qFormat/>
    <w:uiPriority w:val="9"/>
    <w:pPr>
      <w:keepNext/>
      <w:keepLines/>
      <w:spacing w:before="160" w:after="80"/>
      <w:outlineLvl w:val="1"/>
    </w:pPr>
    <w:rPr>
      <w:rFonts w:ascii="等线 Light" w:hAnsi="等线 Light" w:eastAsia="等线 Light" w:cs="Times New Roman"/>
      <w:color w:val="2F5496"/>
      <w:sz w:val="40"/>
      <w:szCs w:val="40"/>
    </w:rPr>
  </w:style>
  <w:style w:type="paragraph" w:styleId="4">
    <w:name w:val="heading 3"/>
    <w:basedOn w:val="1"/>
    <w:next w:val="1"/>
    <w:link w:val="20"/>
    <w:unhideWhenUsed/>
    <w:qFormat/>
    <w:uiPriority w:val="9"/>
    <w:pPr>
      <w:keepNext/>
      <w:keepLines/>
      <w:spacing w:before="160" w:after="80"/>
      <w:outlineLvl w:val="2"/>
    </w:pPr>
    <w:rPr>
      <w:rFonts w:ascii="等线 Light" w:hAnsi="等线 Light" w:eastAsia="等线 Light" w:cs="Times New Roman"/>
      <w:color w:val="2F5496"/>
      <w:sz w:val="32"/>
      <w:szCs w:val="32"/>
    </w:rPr>
  </w:style>
  <w:style w:type="paragraph" w:styleId="5">
    <w:name w:val="heading 4"/>
    <w:basedOn w:val="1"/>
    <w:next w:val="1"/>
    <w:link w:val="21"/>
    <w:unhideWhenUsed/>
    <w:qFormat/>
    <w:uiPriority w:val="9"/>
    <w:pPr>
      <w:keepNext/>
      <w:keepLines/>
      <w:spacing w:before="80" w:after="40"/>
      <w:outlineLvl w:val="3"/>
    </w:pPr>
    <w:rPr>
      <w:rFonts w:cs="Times New Roman"/>
      <w:color w:val="2F5496"/>
      <w:sz w:val="28"/>
      <w:szCs w:val="28"/>
    </w:rPr>
  </w:style>
  <w:style w:type="paragraph" w:styleId="6">
    <w:name w:val="heading 5"/>
    <w:basedOn w:val="1"/>
    <w:next w:val="1"/>
    <w:link w:val="22"/>
    <w:unhideWhenUsed/>
    <w:qFormat/>
    <w:uiPriority w:val="9"/>
    <w:pPr>
      <w:keepNext/>
      <w:keepLines/>
      <w:spacing w:before="80" w:after="40"/>
      <w:outlineLvl w:val="4"/>
    </w:pPr>
    <w:rPr>
      <w:rFonts w:cs="Times New Roman"/>
      <w:color w:val="2F5496"/>
      <w:sz w:val="24"/>
    </w:rPr>
  </w:style>
  <w:style w:type="paragraph" w:styleId="7">
    <w:name w:val="heading 6"/>
    <w:basedOn w:val="1"/>
    <w:next w:val="1"/>
    <w:link w:val="23"/>
    <w:unhideWhenUsed/>
    <w:qFormat/>
    <w:uiPriority w:val="9"/>
    <w:pPr>
      <w:keepNext/>
      <w:keepLines/>
      <w:spacing w:before="40" w:after="0"/>
      <w:outlineLvl w:val="5"/>
    </w:pPr>
    <w:rPr>
      <w:rFonts w:cs="Times New Roman"/>
      <w:b/>
      <w:bCs/>
      <w:color w:val="2F5496"/>
    </w:rPr>
  </w:style>
  <w:style w:type="paragraph" w:styleId="8">
    <w:name w:val="heading 7"/>
    <w:basedOn w:val="1"/>
    <w:next w:val="1"/>
    <w:link w:val="24"/>
    <w:unhideWhenUsed/>
    <w:qFormat/>
    <w:uiPriority w:val="9"/>
    <w:pPr>
      <w:keepNext/>
      <w:keepLines/>
      <w:spacing w:before="40" w:after="0"/>
      <w:outlineLvl w:val="6"/>
    </w:pPr>
    <w:rPr>
      <w:rFonts w:cs="Times New Roman"/>
      <w:b/>
      <w:bCs/>
      <w:color w:val="595959"/>
    </w:rPr>
  </w:style>
  <w:style w:type="paragraph" w:styleId="9">
    <w:name w:val="heading 8"/>
    <w:basedOn w:val="1"/>
    <w:next w:val="1"/>
    <w:link w:val="25"/>
    <w:unhideWhenUsed/>
    <w:qFormat/>
    <w:uiPriority w:val="9"/>
    <w:pPr>
      <w:keepNext/>
      <w:keepLines/>
      <w:spacing w:after="0"/>
      <w:outlineLvl w:val="7"/>
    </w:pPr>
    <w:rPr>
      <w:rFonts w:cs="Times New Roman"/>
      <w:color w:val="595959"/>
    </w:rPr>
  </w:style>
  <w:style w:type="paragraph" w:styleId="10">
    <w:name w:val="heading 9"/>
    <w:basedOn w:val="1"/>
    <w:next w:val="1"/>
    <w:link w:val="26"/>
    <w:unhideWhenUsed/>
    <w:qFormat/>
    <w:uiPriority w:val="9"/>
    <w:pPr>
      <w:keepNext/>
      <w:keepLines/>
      <w:spacing w:after="0"/>
      <w:outlineLvl w:val="8"/>
    </w:pPr>
    <w:rPr>
      <w:rFonts w:eastAsia="等线 Light" w:cs="Times New Roman"/>
      <w:color w:val="595959"/>
    </w:rPr>
  </w:style>
  <w:style w:type="character" w:default="1" w:styleId="17">
    <w:name w:val="Default Paragraph Font"/>
    <w:unhideWhenUsed/>
    <w:qFormat/>
    <w:uiPriority w:val="1"/>
  </w:style>
  <w:style w:type="table" w:default="1" w:styleId="15">
    <w:name w:val="Normal Table"/>
    <w:unhideWhenUsed/>
    <w:qFormat/>
    <w:uiPriority w:val="99"/>
    <w:tblPr>
      <w:tblStyle w:val="15"/>
      <w:tblCellMar>
        <w:top w:w="0" w:type="dxa"/>
        <w:left w:w="108" w:type="dxa"/>
        <w:bottom w:w="0" w:type="dxa"/>
        <w:right w:w="108" w:type="dxa"/>
      </w:tblCellMar>
    </w:tblPr>
  </w:style>
  <w:style w:type="paragraph" w:styleId="11">
    <w:name w:val="footer"/>
    <w:basedOn w:val="1"/>
    <w:link w:val="2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2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等线 Light" w:hAnsi="等线 Light" w:eastAsia="等线 Light" w:cs="Times New Roman"/>
      <w:color w:val="595959"/>
      <w:spacing w:val="15"/>
      <w:sz w:val="28"/>
      <w:szCs w:val="28"/>
    </w:rPr>
  </w:style>
  <w:style w:type="paragraph" w:styleId="14">
    <w:name w:val="Title"/>
    <w:basedOn w:val="1"/>
    <w:next w:val="1"/>
    <w:link w:val="30"/>
    <w:qFormat/>
    <w:uiPriority w:val="10"/>
    <w:pPr>
      <w:spacing w:after="80" w:line="240" w:lineRule="auto"/>
      <w:contextualSpacing/>
      <w:jc w:val="center"/>
    </w:pPr>
    <w:rPr>
      <w:rFonts w:ascii="等线 Light" w:hAnsi="等线 Light" w:eastAsia="等线 Light" w:cs="Times New Roman"/>
      <w:spacing w:val="-10"/>
      <w:kern w:val="28"/>
      <w:sz w:val="56"/>
      <w:szCs w:val="56"/>
    </w:rPr>
  </w:style>
  <w:style w:type="table" w:styleId="16">
    <w:name w:val="Table Grid"/>
    <w:basedOn w:val="15"/>
    <w:qFormat/>
    <w:uiPriority w:val="39"/>
    <w:pPr>
      <w:spacing w:after="0" w:line="240" w:lineRule="auto"/>
    </w:p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等线 Light" w:hAnsi="等线 Light" w:eastAsia="等线 Light" w:cs="Times New Roman"/>
      <w:color w:val="2F5496"/>
      <w:sz w:val="48"/>
      <w:szCs w:val="48"/>
    </w:rPr>
  </w:style>
  <w:style w:type="character" w:customStyle="1" w:styleId="19">
    <w:name w:val="标题 2 字符"/>
    <w:basedOn w:val="17"/>
    <w:link w:val="3"/>
    <w:semiHidden/>
    <w:qFormat/>
    <w:uiPriority w:val="9"/>
    <w:rPr>
      <w:rFonts w:ascii="等线 Light" w:hAnsi="等线 Light" w:eastAsia="等线 Light" w:cs="Times New Roman"/>
      <w:color w:val="2F5496"/>
      <w:sz w:val="40"/>
      <w:szCs w:val="40"/>
    </w:rPr>
  </w:style>
  <w:style w:type="character" w:customStyle="1" w:styleId="20">
    <w:name w:val="标题 3 字符"/>
    <w:basedOn w:val="17"/>
    <w:link w:val="4"/>
    <w:semiHidden/>
    <w:qFormat/>
    <w:uiPriority w:val="9"/>
    <w:rPr>
      <w:rFonts w:ascii="等线 Light" w:hAnsi="等线 Light" w:eastAsia="等线 Light" w:cs="Times New Roman"/>
      <w:color w:val="2F5496"/>
      <w:sz w:val="32"/>
      <w:szCs w:val="32"/>
    </w:rPr>
  </w:style>
  <w:style w:type="character" w:customStyle="1" w:styleId="21">
    <w:name w:val="标题 4 字符"/>
    <w:basedOn w:val="17"/>
    <w:link w:val="5"/>
    <w:semiHidden/>
    <w:qFormat/>
    <w:uiPriority w:val="9"/>
    <w:rPr>
      <w:rFonts w:cs="Times New Roman"/>
      <w:color w:val="2F5496"/>
      <w:sz w:val="28"/>
      <w:szCs w:val="28"/>
    </w:rPr>
  </w:style>
  <w:style w:type="character" w:customStyle="1" w:styleId="22">
    <w:name w:val="标题 5 字符"/>
    <w:basedOn w:val="17"/>
    <w:link w:val="6"/>
    <w:semiHidden/>
    <w:qFormat/>
    <w:uiPriority w:val="9"/>
    <w:rPr>
      <w:rFonts w:cs="Times New Roman"/>
      <w:color w:val="2F5496"/>
      <w:sz w:val="24"/>
    </w:rPr>
  </w:style>
  <w:style w:type="character" w:customStyle="1" w:styleId="23">
    <w:name w:val="标题 6 字符"/>
    <w:basedOn w:val="17"/>
    <w:link w:val="7"/>
    <w:semiHidden/>
    <w:qFormat/>
    <w:uiPriority w:val="9"/>
    <w:rPr>
      <w:rFonts w:cs="Times New Roman"/>
      <w:b/>
      <w:bCs/>
      <w:color w:val="2F5496"/>
    </w:rPr>
  </w:style>
  <w:style w:type="character" w:customStyle="1" w:styleId="24">
    <w:name w:val="标题 7 字符"/>
    <w:basedOn w:val="17"/>
    <w:link w:val="8"/>
    <w:semiHidden/>
    <w:qFormat/>
    <w:uiPriority w:val="9"/>
    <w:rPr>
      <w:rFonts w:cs="Times New Roman"/>
      <w:b/>
      <w:bCs/>
      <w:color w:val="595959"/>
    </w:rPr>
  </w:style>
  <w:style w:type="character" w:customStyle="1" w:styleId="25">
    <w:name w:val="标题 8 字符"/>
    <w:basedOn w:val="17"/>
    <w:link w:val="9"/>
    <w:semiHidden/>
    <w:qFormat/>
    <w:uiPriority w:val="9"/>
    <w:rPr>
      <w:rFonts w:cs="Times New Roman"/>
      <w:color w:val="595959"/>
    </w:rPr>
  </w:style>
  <w:style w:type="character" w:customStyle="1" w:styleId="26">
    <w:name w:val="标题 9 字符"/>
    <w:basedOn w:val="17"/>
    <w:link w:val="10"/>
    <w:semiHidden/>
    <w:qFormat/>
    <w:uiPriority w:val="9"/>
    <w:rPr>
      <w:rFonts w:eastAsia="等线 Light" w:cs="Times New Roman"/>
      <w:color w:val="595959"/>
    </w:rPr>
  </w:style>
  <w:style w:type="character" w:customStyle="1" w:styleId="27">
    <w:name w:val="页脚 字符"/>
    <w:basedOn w:val="17"/>
    <w:link w:val="11"/>
    <w:qFormat/>
    <w:uiPriority w:val="99"/>
    <w:rPr>
      <w:sz w:val="18"/>
      <w:szCs w:val="18"/>
    </w:rPr>
  </w:style>
  <w:style w:type="character" w:customStyle="1" w:styleId="28">
    <w:name w:val="页眉 字符"/>
    <w:basedOn w:val="17"/>
    <w:link w:val="12"/>
    <w:qFormat/>
    <w:uiPriority w:val="99"/>
    <w:rPr>
      <w:sz w:val="18"/>
      <w:szCs w:val="18"/>
    </w:rPr>
  </w:style>
  <w:style w:type="character" w:customStyle="1" w:styleId="29">
    <w:name w:val="副标题 字符"/>
    <w:basedOn w:val="17"/>
    <w:link w:val="13"/>
    <w:qFormat/>
    <w:uiPriority w:val="11"/>
    <w:rPr>
      <w:rFonts w:ascii="等线 Light" w:hAnsi="等线 Light" w:eastAsia="等线 Light" w:cs="Times New Roman"/>
      <w:color w:val="595959"/>
      <w:spacing w:val="15"/>
      <w:sz w:val="28"/>
      <w:szCs w:val="28"/>
    </w:rPr>
  </w:style>
  <w:style w:type="character" w:customStyle="1" w:styleId="30">
    <w:name w:val="标题 字符"/>
    <w:basedOn w:val="17"/>
    <w:link w:val="14"/>
    <w:qFormat/>
    <w:uiPriority w:val="10"/>
    <w:rPr>
      <w:rFonts w:ascii="等线 Light" w:hAnsi="等线 Light" w:eastAsia="等线 Light" w:cs="Times New Roman"/>
      <w:spacing w:val="-10"/>
      <w:kern w:val="28"/>
      <w:sz w:val="56"/>
      <w:szCs w:val="56"/>
    </w:rPr>
  </w:style>
  <w:style w:type="paragraph" w:styleId="31">
    <w:name w:val="Quote"/>
    <w:basedOn w:val="1"/>
    <w:next w:val="1"/>
    <w:link w:val="32"/>
    <w:qFormat/>
    <w:uiPriority w:val="29"/>
    <w:pPr>
      <w:spacing w:before="160"/>
      <w:jc w:val="center"/>
    </w:pPr>
    <w:rPr>
      <w:i/>
      <w:iCs/>
      <w:color w:val="3F3F3F"/>
    </w:rPr>
  </w:style>
  <w:style w:type="character" w:customStyle="1" w:styleId="32">
    <w:name w:val="引用 字符"/>
    <w:basedOn w:val="17"/>
    <w:link w:val="31"/>
    <w:qFormat/>
    <w:uiPriority w:val="29"/>
    <w:rPr>
      <w:i/>
      <w:iCs/>
      <w:color w:val="3F3F3F"/>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2F5496"/>
    </w:rPr>
  </w:style>
  <w:style w:type="paragraph" w:styleId="35">
    <w:name w:val="Intense Quote"/>
    <w:basedOn w:val="1"/>
    <w:next w:val="1"/>
    <w:link w:val="36"/>
    <w:qFormat/>
    <w:uiPriority w:val="30"/>
    <w:pPr>
      <w:pBdr>
        <w:top w:val="single" w:color="2F5496" w:sz="4" w:space="10"/>
        <w:bottom w:val="single" w:color="2F5496" w:sz="4" w:space="10"/>
      </w:pBdr>
      <w:spacing w:before="360" w:after="360"/>
      <w:ind w:left="864" w:right="864"/>
      <w:jc w:val="center"/>
    </w:pPr>
    <w:rPr>
      <w:i/>
      <w:iCs/>
      <w:color w:val="2F5496"/>
    </w:rPr>
  </w:style>
  <w:style w:type="character" w:customStyle="1" w:styleId="36">
    <w:name w:val="明显引用 字符"/>
    <w:basedOn w:val="17"/>
    <w:link w:val="35"/>
    <w:qFormat/>
    <w:uiPriority w:val="30"/>
    <w:rPr>
      <w:i/>
      <w:iCs/>
      <w:color w:val="2F5496"/>
    </w:rPr>
  </w:style>
  <w:style w:type="character" w:customStyle="1" w:styleId="37">
    <w:name w:val="Intense Reference"/>
    <w:basedOn w:val="17"/>
    <w:qFormat/>
    <w:uiPriority w:val="32"/>
    <w:rPr>
      <w:b/>
      <w:bCs/>
      <w:smallCaps/>
      <w:color w:val="2F5496"/>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245</Words>
  <Characters>1403</Characters>
  <Lines>11</Lines>
  <Paragraphs>3</Paragraphs>
  <TotalTime>20.3333333333333</TotalTime>
  <ScaleCrop>false</ScaleCrop>
  <LinksUpToDate>false</LinksUpToDate>
  <CharactersWithSpaces>1645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2026-06-23T06:38:00Z</dcterms:created>
  <dc:creator>CJ</dc:creator>
  <cp:lastModifiedBy>kylin</cp:lastModifiedBy>
  <dcterms:modified xsi:type="dcterms:W3CDTF">2026-07-28T14:13:37Z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07422CE271EBA9A272DC626AF13DE1D9</vt:lpwstr>
  </property>
</Properties>
</file>