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DD1" w:rsidRDefault="00272DD1" w:rsidP="00272DD1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近零碳排放建筑试点制冷剂逸散温室气体核算指引</w:t>
      </w:r>
    </w:p>
    <w:p w:rsidR="006E4C32" w:rsidRDefault="006E4C32" w:rsidP="006E4C32">
      <w:pPr>
        <w:jc w:val="left"/>
        <w:rPr>
          <w:rFonts w:ascii="仿宋_GB2312" w:hAnsi="仿宋_GB2312" w:cs="仿宋_GB2312"/>
          <w:i/>
          <w:iCs/>
          <w:color w:val="000000"/>
          <w:kern w:val="0"/>
          <w:sz w:val="32"/>
          <w:szCs w:val="32"/>
          <w:lang w:bidi="ar"/>
        </w:rPr>
      </w:pPr>
    </w:p>
    <w:p w:rsidR="006E4C32" w:rsidRPr="00E92463" w:rsidRDefault="006E4C32" w:rsidP="00E92463">
      <w:pPr>
        <w:ind w:firstLineChars="200" w:firstLine="640"/>
        <w:jc w:val="left"/>
        <w:rPr>
          <w:rFonts w:ascii="仿宋_GB2312" w:hAnsi="仿宋_GB2312" w:cs="仿宋_GB2312"/>
          <w:color w:val="000000"/>
          <w:kern w:val="0"/>
          <w:sz w:val="32"/>
          <w:szCs w:val="32"/>
          <w:lang w:bidi="ar"/>
        </w:rPr>
      </w:pPr>
      <w:r w:rsidRPr="006E4C32">
        <w:rPr>
          <w:rFonts w:ascii="仿宋_GB2312" w:hAnsi="仿宋_GB2312" w:cs="仿宋_GB2312"/>
          <w:color w:val="000000"/>
          <w:kern w:val="0"/>
          <w:sz w:val="32"/>
          <w:szCs w:val="32"/>
          <w:lang w:bidi="ar"/>
        </w:rPr>
        <w:t>制冷剂逸散</w:t>
      </w:r>
      <w:r>
        <w:rPr>
          <w:rFonts w:ascii="仿宋_GB2312" w:hAnsi="仿宋_GB2312" w:cs="仿宋_GB2312" w:hint="eastAsia"/>
          <w:color w:val="000000"/>
          <w:kern w:val="0"/>
          <w:sz w:val="32"/>
          <w:szCs w:val="32"/>
          <w:lang w:bidi="ar"/>
        </w:rPr>
        <w:t>温室气体</w:t>
      </w:r>
      <w:r w:rsidRPr="006E4C32">
        <w:rPr>
          <w:rFonts w:ascii="仿宋_GB2312" w:hAnsi="仿宋_GB2312" w:cs="仿宋_GB2312"/>
          <w:color w:val="000000"/>
          <w:kern w:val="0"/>
          <w:sz w:val="32"/>
          <w:szCs w:val="32"/>
          <w:lang w:bidi="ar"/>
        </w:rPr>
        <w:t>排放指建筑中</w:t>
      </w:r>
      <w:r>
        <w:rPr>
          <w:rFonts w:ascii="仿宋_GB2312" w:hAnsi="仿宋_GB2312" w:cs="仿宋_GB2312" w:hint="eastAsia"/>
          <w:color w:val="000000"/>
          <w:kern w:val="0"/>
          <w:sz w:val="32"/>
          <w:szCs w:val="32"/>
          <w:lang w:bidi="ar"/>
        </w:rPr>
        <w:t>冷冻、</w:t>
      </w:r>
      <w:r w:rsidRPr="006E4C32">
        <w:rPr>
          <w:rFonts w:ascii="仿宋_GB2312" w:hAnsi="仿宋_GB2312" w:cs="仿宋_GB2312"/>
          <w:color w:val="000000"/>
          <w:kern w:val="0"/>
          <w:sz w:val="32"/>
          <w:szCs w:val="32"/>
          <w:lang w:bidi="ar"/>
        </w:rPr>
        <w:t>冷藏</w:t>
      </w:r>
      <w:r w:rsidR="001F57F1">
        <w:rPr>
          <w:rFonts w:ascii="仿宋_GB2312" w:hAnsi="仿宋_GB2312" w:cs="仿宋_GB2312" w:hint="eastAsia"/>
          <w:color w:val="000000"/>
          <w:kern w:val="0"/>
          <w:sz w:val="32"/>
          <w:szCs w:val="32"/>
          <w:lang w:bidi="ar"/>
        </w:rPr>
        <w:t>或冷气机</w:t>
      </w:r>
      <w:r w:rsidR="000F2702">
        <w:rPr>
          <w:rFonts w:ascii="仿宋_GB2312" w:hAnsi="仿宋_GB2312" w:cs="仿宋_GB2312"/>
          <w:color w:val="000000"/>
          <w:kern w:val="0"/>
          <w:sz w:val="32"/>
          <w:szCs w:val="32"/>
          <w:lang w:bidi="ar"/>
        </w:rPr>
        <w:t>等设备所使用的制冷剂</w:t>
      </w:r>
      <w:r w:rsidRPr="006E4C32">
        <w:rPr>
          <w:rFonts w:ascii="仿宋_GB2312" w:hAnsi="仿宋_GB2312" w:cs="仿宋_GB2312"/>
          <w:color w:val="000000"/>
          <w:kern w:val="0"/>
          <w:sz w:val="32"/>
          <w:szCs w:val="32"/>
          <w:lang w:bidi="ar"/>
        </w:rPr>
        <w:t>在</w:t>
      </w:r>
      <w:r>
        <w:rPr>
          <w:rFonts w:ascii="仿宋_GB2312" w:hAnsi="仿宋_GB2312" w:cs="仿宋_GB2312" w:hint="eastAsia"/>
          <w:color w:val="000000"/>
          <w:kern w:val="0"/>
          <w:sz w:val="32"/>
          <w:szCs w:val="32"/>
          <w:lang w:bidi="ar"/>
        </w:rPr>
        <w:t>建筑运行</w:t>
      </w:r>
      <w:r w:rsidR="008E7E17">
        <w:rPr>
          <w:rFonts w:ascii="仿宋_GB2312" w:hAnsi="仿宋_GB2312" w:cs="仿宋_GB2312" w:hint="eastAsia"/>
          <w:color w:val="000000"/>
          <w:kern w:val="0"/>
          <w:sz w:val="32"/>
          <w:szCs w:val="32"/>
          <w:lang w:bidi="ar"/>
        </w:rPr>
        <w:t>、维护</w:t>
      </w:r>
      <w:r>
        <w:rPr>
          <w:rFonts w:ascii="仿宋_GB2312" w:hAnsi="仿宋_GB2312" w:cs="仿宋_GB2312"/>
          <w:color w:val="000000"/>
          <w:kern w:val="0"/>
          <w:sz w:val="32"/>
          <w:szCs w:val="32"/>
          <w:lang w:bidi="ar"/>
        </w:rPr>
        <w:t>过程中</w:t>
      </w:r>
      <w:r w:rsidRPr="006E4C32">
        <w:rPr>
          <w:rFonts w:ascii="仿宋_GB2312" w:hAnsi="仿宋_GB2312" w:cs="仿宋_GB2312"/>
          <w:color w:val="000000"/>
          <w:kern w:val="0"/>
          <w:sz w:val="32"/>
          <w:szCs w:val="32"/>
          <w:lang w:bidi="ar"/>
        </w:rPr>
        <w:t>不可避免地泄漏到大气中所造成的</w:t>
      </w:r>
      <w:r>
        <w:rPr>
          <w:rFonts w:ascii="仿宋_GB2312" w:hAnsi="仿宋_GB2312" w:cs="仿宋_GB2312" w:hint="eastAsia"/>
          <w:color w:val="000000"/>
          <w:kern w:val="0"/>
          <w:sz w:val="32"/>
          <w:szCs w:val="32"/>
          <w:lang w:bidi="ar"/>
        </w:rPr>
        <w:t>温室气体</w:t>
      </w:r>
      <w:r w:rsidRPr="006E4C32">
        <w:rPr>
          <w:rFonts w:ascii="仿宋_GB2312" w:hAnsi="仿宋_GB2312" w:cs="仿宋_GB2312"/>
          <w:color w:val="000000"/>
          <w:kern w:val="0"/>
          <w:sz w:val="32"/>
          <w:szCs w:val="32"/>
          <w:lang w:bidi="ar"/>
        </w:rPr>
        <w:t>排放。</w:t>
      </w:r>
      <w:r>
        <w:rPr>
          <w:rFonts w:ascii="仿宋_GB2312" w:hAnsi="仿宋_GB2312" w:cs="仿宋_GB2312" w:hint="eastAsia"/>
          <w:sz w:val="32"/>
          <w:szCs w:val="32"/>
        </w:rPr>
        <w:t>制冷剂</w:t>
      </w:r>
      <w:r w:rsidR="00E92463">
        <w:rPr>
          <w:rFonts w:ascii="仿宋_GB2312" w:hAnsi="仿宋_GB2312" w:cs="仿宋_GB2312" w:hint="eastAsia"/>
          <w:sz w:val="32"/>
          <w:szCs w:val="32"/>
        </w:rPr>
        <w:t>逸散</w:t>
      </w:r>
      <w:r>
        <w:rPr>
          <w:rFonts w:ascii="仿宋_GB2312" w:hAnsi="仿宋_GB2312" w:cs="仿宋_GB2312" w:hint="eastAsia"/>
          <w:sz w:val="32"/>
          <w:szCs w:val="32"/>
        </w:rPr>
        <w:t>产生的温室气体</w:t>
      </w:r>
      <w:r w:rsidRPr="006E4C32">
        <w:rPr>
          <w:rFonts w:ascii="仿宋_GB2312" w:hAnsi="仿宋_GB2312" w:cs="仿宋_GB2312" w:hint="eastAsia"/>
          <w:sz w:val="32"/>
          <w:szCs w:val="32"/>
        </w:rPr>
        <w:t>排放</w:t>
      </w:r>
      <w:r>
        <w:rPr>
          <w:rFonts w:ascii="仿宋_GB2312" w:hAnsi="仿宋_GB2312" w:cs="仿宋_GB2312" w:hint="eastAsia"/>
          <w:sz w:val="32"/>
          <w:szCs w:val="32"/>
        </w:rPr>
        <w:t>数据</w:t>
      </w:r>
      <w:r w:rsidR="000F2702">
        <w:rPr>
          <w:rFonts w:ascii="仿宋_GB2312" w:hAnsi="仿宋_GB2312" w:cs="仿宋_GB2312" w:hint="eastAsia"/>
          <w:sz w:val="32"/>
          <w:szCs w:val="32"/>
        </w:rPr>
        <w:t>需</w:t>
      </w:r>
      <w:r>
        <w:rPr>
          <w:rFonts w:ascii="仿宋_GB2312" w:hAnsi="仿宋_GB2312" w:cs="仿宋_GB2312" w:hint="eastAsia"/>
          <w:sz w:val="32"/>
          <w:szCs w:val="32"/>
        </w:rPr>
        <w:t>作为信息项</w:t>
      </w:r>
      <w:r w:rsidRPr="006E4C32">
        <w:rPr>
          <w:rFonts w:ascii="仿宋_GB2312" w:hAnsi="仿宋_GB2312" w:cs="仿宋_GB2312" w:hint="eastAsia"/>
          <w:sz w:val="32"/>
          <w:szCs w:val="32"/>
        </w:rPr>
        <w:t>报告在</w:t>
      </w:r>
      <w:r>
        <w:rPr>
          <w:rFonts w:ascii="仿宋_GB2312" w:hAnsi="仿宋_GB2312" w:cs="仿宋_GB2312" w:hint="eastAsia"/>
          <w:sz w:val="32"/>
          <w:szCs w:val="32"/>
        </w:rPr>
        <w:t>碳排放特征</w:t>
      </w:r>
      <w:r w:rsidR="001F57F1">
        <w:rPr>
          <w:rFonts w:ascii="仿宋_GB2312" w:hAnsi="仿宋_GB2312" w:cs="仿宋_GB2312" w:hint="eastAsia"/>
          <w:sz w:val="32"/>
          <w:szCs w:val="32"/>
        </w:rPr>
        <w:t>章节</w:t>
      </w:r>
      <w:r w:rsidR="00E92463">
        <w:rPr>
          <w:rFonts w:ascii="仿宋_GB2312" w:hAnsi="仿宋_GB2312" w:cs="仿宋_GB2312" w:hint="eastAsia"/>
          <w:sz w:val="32"/>
          <w:szCs w:val="32"/>
        </w:rPr>
        <w:t>，</w:t>
      </w:r>
      <w:r w:rsidR="001F57F1">
        <w:rPr>
          <w:rFonts w:ascii="仿宋_GB2312" w:hAnsi="仿宋_GB2312" w:cs="仿宋_GB2312" w:hint="eastAsia"/>
          <w:sz w:val="32"/>
          <w:szCs w:val="32"/>
        </w:rPr>
        <w:t>温室气体核算</w:t>
      </w:r>
      <w:r>
        <w:rPr>
          <w:rFonts w:ascii="仿宋_GB2312" w:hAnsi="仿宋_GB2312" w:cs="仿宋_GB2312" w:hint="eastAsia"/>
          <w:sz w:val="32"/>
          <w:szCs w:val="32"/>
        </w:rPr>
        <w:t>公式如下：</w:t>
      </w:r>
    </w:p>
    <w:p w:rsidR="00272DD1" w:rsidRPr="00272DD1" w:rsidRDefault="00272DD1" w:rsidP="001F57F1">
      <w:pPr>
        <w:widowControl/>
        <w:ind w:right="1280" w:firstLineChars="300" w:firstLine="960"/>
        <w:jc w:val="center"/>
        <w:rPr>
          <w:rFonts w:ascii="仿宋_GB2312" w:hAnsi="仿宋_GB2312" w:cs="仿宋_GB2312"/>
          <w:color w:val="000000"/>
          <w:kern w:val="0"/>
          <w:sz w:val="32"/>
          <w:szCs w:val="32"/>
          <w:lang w:bidi="ar"/>
        </w:rPr>
      </w:pPr>
      <w:r w:rsidRPr="00272DD1">
        <w:rPr>
          <w:rFonts w:ascii="仿宋_GB2312" w:hAnsi="仿宋_GB2312" w:cs="仿宋_GB2312" w:hint="eastAsia"/>
          <w:i/>
          <w:iCs/>
          <w:color w:val="000000"/>
          <w:kern w:val="0"/>
          <w:sz w:val="32"/>
          <w:szCs w:val="32"/>
          <w:lang w:bidi="ar"/>
        </w:rPr>
        <w:t>Ey=AD</w:t>
      </w:r>
      <w:r w:rsidRPr="00272DD1">
        <w:rPr>
          <w:rFonts w:ascii="仿宋_GB2312" w:hAnsi="仿宋_GB2312" w:cs="仿宋_GB2312" w:hint="eastAsia"/>
          <w:i/>
          <w:iCs/>
          <w:color w:val="000000"/>
          <w:kern w:val="0"/>
          <w:sz w:val="32"/>
          <w:szCs w:val="32"/>
          <w:vertAlign w:val="subscript"/>
          <w:lang w:bidi="ar"/>
        </w:rPr>
        <w:t>yi</w:t>
      </w:r>
      <w:r w:rsidRPr="00272DD1">
        <w:rPr>
          <w:rFonts w:ascii="仿宋_GB2312" w:hAnsi="仿宋_GB2312" w:cs="仿宋_GB2312" w:hint="eastAsia"/>
          <w:i/>
          <w:iCs/>
          <w:color w:val="000000"/>
          <w:kern w:val="0"/>
          <w:sz w:val="32"/>
          <w:szCs w:val="32"/>
          <w:lang w:bidi="ar"/>
        </w:rPr>
        <w:t>×EF</w:t>
      </w:r>
      <w:r w:rsidRPr="00272DD1">
        <w:rPr>
          <w:rFonts w:ascii="仿宋_GB2312" w:hAnsi="仿宋_GB2312" w:cs="仿宋_GB2312" w:hint="eastAsia"/>
          <w:i/>
          <w:iCs/>
          <w:color w:val="000000"/>
          <w:kern w:val="0"/>
          <w:sz w:val="32"/>
          <w:szCs w:val="32"/>
          <w:vertAlign w:val="subscript"/>
          <w:lang w:bidi="ar"/>
        </w:rPr>
        <w:t>yi</w:t>
      </w:r>
      <w:r w:rsidRPr="00272DD1">
        <w:rPr>
          <w:rFonts w:ascii="仿宋_GB2312" w:hAnsi="仿宋_GB2312" w:cs="仿宋_GB2312" w:hint="eastAsia"/>
          <w:i/>
          <w:iCs/>
          <w:color w:val="000000"/>
          <w:kern w:val="0"/>
          <w:sz w:val="32"/>
          <w:szCs w:val="32"/>
          <w:lang w:bidi="ar"/>
        </w:rPr>
        <w:t>×GWP</w:t>
      </w:r>
      <w:r w:rsidRPr="00272DD1">
        <w:rPr>
          <w:rFonts w:ascii="仿宋_GB2312" w:hAnsi="仿宋_GB2312" w:cs="仿宋_GB2312" w:hint="eastAsia"/>
          <w:i/>
          <w:iCs/>
          <w:color w:val="000000"/>
          <w:kern w:val="0"/>
          <w:sz w:val="32"/>
          <w:szCs w:val="32"/>
          <w:vertAlign w:val="subscript"/>
          <w:lang w:bidi="ar"/>
        </w:rPr>
        <w:t>yi</w:t>
      </w:r>
    </w:p>
    <w:p w:rsidR="00272DD1" w:rsidRDefault="00272DD1" w:rsidP="00272DD1">
      <w:pPr>
        <w:widowControl/>
        <w:ind w:firstLineChars="200" w:firstLine="640"/>
        <w:jc w:val="left"/>
        <w:rPr>
          <w:rFonts w:ascii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仿宋_GB2312" w:cs="仿宋_GB2312" w:hint="eastAsia"/>
          <w:color w:val="000000"/>
          <w:kern w:val="0"/>
          <w:sz w:val="32"/>
          <w:szCs w:val="32"/>
          <w:lang w:bidi="ar"/>
        </w:rPr>
        <w:t>式中：</w:t>
      </w:r>
    </w:p>
    <w:tbl>
      <w:tblPr>
        <w:tblStyle w:val="a4"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098"/>
      </w:tblGrid>
      <w:tr w:rsidR="00272DD1" w:rsidTr="00A45571">
        <w:tc>
          <w:tcPr>
            <w:tcW w:w="1103" w:type="dxa"/>
          </w:tcPr>
          <w:p w:rsidR="00272DD1" w:rsidRDefault="00272DD1" w:rsidP="00A45571">
            <w:pPr>
              <w:jc w:val="right"/>
              <w:rPr>
                <w:rFonts w:ascii="仿宋_GB2312" w:hAnsi="仿宋_GB2312" w:cs="仿宋_GB2312"/>
                <w:i/>
                <w:iCs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i/>
                <w:iCs/>
                <w:color w:val="000000"/>
                <w:sz w:val="32"/>
                <w:szCs w:val="32"/>
                <w:lang w:bidi="ar"/>
              </w:rPr>
              <w:t>E</w:t>
            </w:r>
            <w:r>
              <w:rPr>
                <w:rFonts w:ascii="仿宋_GB2312" w:hAnsi="仿宋_GB2312" w:cs="仿宋_GB2312" w:hint="eastAsia"/>
                <w:i/>
                <w:iCs/>
                <w:color w:val="000000"/>
                <w:sz w:val="32"/>
                <w:szCs w:val="32"/>
                <w:vertAlign w:val="subscript"/>
                <w:lang w:bidi="ar"/>
              </w:rPr>
              <w:t>y</w:t>
            </w:r>
            <w:r>
              <w:rPr>
                <w:rFonts w:ascii="仿宋_GB2312" w:hAnsi="仿宋_GB2312" w:cs="仿宋_GB2312" w:hint="eastAsia"/>
                <w:i/>
                <w:iCs/>
                <w:color w:val="00000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7312" w:type="dxa"/>
          </w:tcPr>
          <w:p w:rsidR="00272DD1" w:rsidRDefault="00272DD1" w:rsidP="006E4C32">
            <w:pPr>
              <w:ind w:left="640" w:hangingChars="200" w:hanging="640"/>
              <w:rPr>
                <w:rFonts w:ascii="仿宋_GB2312" w:hAnsi="仿宋_GB2312" w:cs="仿宋_GB2312"/>
                <w:spacing w:val="2"/>
                <w:position w:val="3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 w:val="32"/>
                <w:szCs w:val="32"/>
                <w:lang w:bidi="ar"/>
              </w:rPr>
              <w:t>——</w:t>
            </w:r>
            <w:r w:rsidR="006E4C32" w:rsidRPr="006E4C32">
              <w:rPr>
                <w:rFonts w:ascii="仿宋_GB2312" w:hAnsi="仿宋_GB2312" w:cs="仿宋_GB2312" w:hint="eastAsia"/>
                <w:color w:val="000000"/>
                <w:sz w:val="32"/>
                <w:szCs w:val="32"/>
                <w:lang w:bidi="ar"/>
              </w:rPr>
              <w:t>冷冻、冷藏</w:t>
            </w:r>
            <w:r w:rsidR="006E4C32">
              <w:rPr>
                <w:rFonts w:ascii="仿宋_GB2312" w:hAnsi="仿宋_GB2312" w:cs="仿宋_GB2312" w:hint="eastAsia"/>
                <w:color w:val="000000"/>
                <w:sz w:val="32"/>
                <w:szCs w:val="32"/>
                <w:lang w:bidi="ar"/>
              </w:rPr>
              <w:t>或</w:t>
            </w:r>
            <w:r w:rsidR="006E4C32" w:rsidRPr="006E4C32">
              <w:rPr>
                <w:rFonts w:ascii="仿宋_GB2312" w:hAnsi="仿宋_GB2312" w:cs="仿宋_GB2312" w:hint="eastAsia"/>
                <w:color w:val="000000"/>
                <w:sz w:val="32"/>
                <w:szCs w:val="32"/>
                <w:lang w:bidi="ar"/>
              </w:rPr>
              <w:t>冷气机</w:t>
            </w:r>
            <w:r>
              <w:rPr>
                <w:rFonts w:ascii="仿宋_GB2312" w:hAnsi="仿宋_GB2312" w:cs="仿宋_GB2312" w:hint="eastAsia"/>
                <w:color w:val="000000"/>
                <w:sz w:val="32"/>
                <w:szCs w:val="32"/>
                <w:lang w:bidi="ar"/>
              </w:rPr>
              <w:t>等逸散源产生的温室气体排放，单位为吨二氧化碳当量（tCO</w:t>
            </w:r>
            <w:r>
              <w:rPr>
                <w:rFonts w:ascii="仿宋_GB2312" w:hAnsi="仿宋_GB2312" w:cs="仿宋_GB2312" w:hint="eastAsia"/>
                <w:color w:val="000000"/>
                <w:sz w:val="32"/>
                <w:szCs w:val="32"/>
                <w:vertAlign w:val="subscript"/>
                <w:lang w:bidi="ar"/>
              </w:rPr>
              <w:t>2</w:t>
            </w:r>
            <w:r>
              <w:rPr>
                <w:rFonts w:ascii="仿宋_GB2312" w:hAnsi="仿宋_GB2312" w:cs="仿宋_GB2312" w:hint="eastAsia"/>
                <w:color w:val="000000"/>
                <w:sz w:val="32"/>
                <w:szCs w:val="32"/>
                <w:lang w:bidi="ar"/>
              </w:rPr>
              <w:t>e）；</w:t>
            </w:r>
          </w:p>
        </w:tc>
      </w:tr>
      <w:tr w:rsidR="00272DD1" w:rsidTr="00A45571">
        <w:tc>
          <w:tcPr>
            <w:tcW w:w="1103" w:type="dxa"/>
          </w:tcPr>
          <w:p w:rsidR="00272DD1" w:rsidRDefault="00272DD1" w:rsidP="00A45571">
            <w:pPr>
              <w:jc w:val="right"/>
              <w:rPr>
                <w:rFonts w:ascii="仿宋_GB2312" w:hAnsi="仿宋_GB2312" w:cs="仿宋_GB2312"/>
                <w:i/>
                <w:iCs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i/>
                <w:iCs/>
                <w:color w:val="000000"/>
                <w:sz w:val="32"/>
                <w:szCs w:val="32"/>
                <w:lang w:bidi="ar"/>
              </w:rPr>
              <w:t>AD</w:t>
            </w:r>
            <w:r>
              <w:rPr>
                <w:rFonts w:ascii="仿宋_GB2312" w:hAnsi="仿宋_GB2312" w:cs="仿宋_GB2312" w:hint="eastAsia"/>
                <w:i/>
                <w:iCs/>
                <w:color w:val="000000"/>
                <w:sz w:val="32"/>
                <w:szCs w:val="32"/>
                <w:vertAlign w:val="subscript"/>
                <w:lang w:bidi="ar"/>
              </w:rPr>
              <w:t>yi</w:t>
            </w:r>
          </w:p>
        </w:tc>
        <w:tc>
          <w:tcPr>
            <w:tcW w:w="7312" w:type="dxa"/>
          </w:tcPr>
          <w:p w:rsidR="00272DD1" w:rsidRDefault="00272DD1" w:rsidP="00A45571">
            <w:pPr>
              <w:ind w:left="640" w:hangingChars="200" w:hanging="640"/>
              <w:rPr>
                <w:rFonts w:ascii="仿宋_GB2312" w:hAnsi="仿宋_GB2312" w:cs="仿宋_GB2312"/>
                <w:spacing w:val="2"/>
                <w:position w:val="3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 w:val="32"/>
                <w:szCs w:val="32"/>
                <w:lang w:bidi="ar"/>
              </w:rPr>
              <w:t>——第</w:t>
            </w:r>
            <w:r>
              <w:rPr>
                <w:rFonts w:ascii="仿宋_GB2312" w:hAnsi="仿宋_GB2312" w:cs="仿宋_GB2312" w:hint="eastAsia"/>
                <w:i/>
                <w:iCs/>
                <w:color w:val="000000"/>
                <w:sz w:val="32"/>
                <w:szCs w:val="32"/>
                <w:lang w:bidi="ar"/>
              </w:rPr>
              <w:t>i</w:t>
            </w:r>
            <w:r>
              <w:rPr>
                <w:rFonts w:ascii="仿宋_GB2312" w:hAnsi="仿宋_GB2312" w:cs="仿宋_GB2312" w:hint="eastAsia"/>
                <w:color w:val="000000"/>
                <w:sz w:val="32"/>
                <w:szCs w:val="32"/>
                <w:lang w:bidi="ar"/>
              </w:rPr>
              <w:t>类逸散源的填充量，单位为吨（t）；</w:t>
            </w:r>
          </w:p>
        </w:tc>
      </w:tr>
      <w:tr w:rsidR="00272DD1" w:rsidTr="00A45571">
        <w:tc>
          <w:tcPr>
            <w:tcW w:w="1103" w:type="dxa"/>
            <w:tcBorders>
              <w:bottom w:val="nil"/>
            </w:tcBorders>
          </w:tcPr>
          <w:p w:rsidR="00272DD1" w:rsidRDefault="00272DD1" w:rsidP="00A45571">
            <w:pPr>
              <w:jc w:val="right"/>
              <w:rPr>
                <w:rFonts w:ascii="仿宋_GB2312" w:hAnsi="仿宋_GB2312" w:cs="仿宋_GB2312"/>
                <w:i/>
                <w:iCs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i/>
                <w:iCs/>
                <w:color w:val="000000"/>
                <w:sz w:val="32"/>
                <w:szCs w:val="32"/>
                <w:lang w:bidi="ar"/>
              </w:rPr>
              <w:t>EF</w:t>
            </w:r>
            <w:r>
              <w:rPr>
                <w:rFonts w:ascii="仿宋_GB2312" w:hAnsi="仿宋_GB2312" w:cs="仿宋_GB2312" w:hint="eastAsia"/>
                <w:i/>
                <w:iCs/>
                <w:color w:val="000000"/>
                <w:sz w:val="32"/>
                <w:szCs w:val="32"/>
                <w:vertAlign w:val="subscript"/>
                <w:lang w:bidi="ar"/>
              </w:rPr>
              <w:t>yi</w:t>
            </w:r>
            <w:r>
              <w:rPr>
                <w:rFonts w:ascii="仿宋_GB2312" w:hAnsi="仿宋_GB2312" w:cs="仿宋_GB2312" w:hint="eastAsia"/>
                <w:i/>
                <w:iCs/>
                <w:color w:val="00000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7312" w:type="dxa"/>
            <w:tcBorders>
              <w:bottom w:val="nil"/>
            </w:tcBorders>
          </w:tcPr>
          <w:p w:rsidR="00272DD1" w:rsidRDefault="00272DD1" w:rsidP="006E4C32">
            <w:pPr>
              <w:ind w:left="640" w:hangingChars="200" w:hanging="640"/>
              <w:rPr>
                <w:rFonts w:ascii="仿宋_GB2312" w:hAnsi="仿宋_GB2312" w:cs="仿宋_GB2312"/>
                <w:spacing w:val="2"/>
                <w:position w:val="3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 w:val="32"/>
                <w:szCs w:val="32"/>
                <w:lang w:bidi="ar"/>
              </w:rPr>
              <w:t>——第</w:t>
            </w:r>
            <w:r>
              <w:rPr>
                <w:rFonts w:ascii="仿宋_GB2312" w:hAnsi="仿宋_GB2312" w:cs="仿宋_GB2312" w:hint="eastAsia"/>
                <w:i/>
                <w:iCs/>
                <w:color w:val="000000"/>
                <w:sz w:val="32"/>
                <w:szCs w:val="32"/>
                <w:lang w:bidi="ar"/>
              </w:rPr>
              <w:t>i</w:t>
            </w:r>
            <w:r>
              <w:rPr>
                <w:rFonts w:ascii="仿宋_GB2312" w:hAnsi="仿宋_GB2312" w:cs="仿宋_GB2312" w:hint="eastAsia"/>
                <w:color w:val="000000"/>
                <w:sz w:val="32"/>
                <w:szCs w:val="32"/>
                <w:lang w:bidi="ar"/>
              </w:rPr>
              <w:t>类逸散源的</w:t>
            </w:r>
            <w:r w:rsidR="000B588B">
              <w:rPr>
                <w:rFonts w:ascii="仿宋_GB2312" w:hAnsi="仿宋_GB2312" w:cs="仿宋_GB2312" w:hint="eastAsia"/>
                <w:color w:val="000000"/>
                <w:sz w:val="32"/>
                <w:szCs w:val="32"/>
                <w:lang w:bidi="ar"/>
              </w:rPr>
              <w:t>逸散系数</w:t>
            </w:r>
            <w:r>
              <w:rPr>
                <w:rFonts w:ascii="仿宋_GB2312" w:hAnsi="仿宋_GB2312" w:cs="仿宋_GB2312" w:hint="eastAsia"/>
                <w:color w:val="000000"/>
                <w:sz w:val="32"/>
                <w:szCs w:val="32"/>
                <w:lang w:bidi="ar"/>
              </w:rPr>
              <w:t>，取值参考表</w:t>
            </w:r>
            <w:r w:rsidR="006E4C32">
              <w:rPr>
                <w:rFonts w:ascii="仿宋_GB2312" w:hAnsi="仿宋_GB2312" w:cs="仿宋_GB2312"/>
                <w:color w:val="000000"/>
                <w:sz w:val="32"/>
                <w:szCs w:val="32"/>
                <w:lang w:bidi="ar"/>
              </w:rPr>
              <w:t>1</w:t>
            </w:r>
            <w:r>
              <w:rPr>
                <w:rFonts w:ascii="仿宋_GB2312" w:hAnsi="仿宋_GB2312" w:cs="仿宋_GB2312" w:hint="eastAsia"/>
                <w:color w:val="000000"/>
                <w:sz w:val="32"/>
                <w:szCs w:val="32"/>
                <w:lang w:bidi="ar"/>
              </w:rPr>
              <w:t>；</w:t>
            </w:r>
          </w:p>
        </w:tc>
      </w:tr>
      <w:tr w:rsidR="00272DD1" w:rsidTr="00A45571">
        <w:tc>
          <w:tcPr>
            <w:tcW w:w="1103" w:type="dxa"/>
            <w:tcBorders>
              <w:top w:val="nil"/>
              <w:bottom w:val="nil"/>
              <w:right w:val="nil"/>
            </w:tcBorders>
          </w:tcPr>
          <w:p w:rsidR="00272DD1" w:rsidRDefault="00272DD1" w:rsidP="00A45571">
            <w:pPr>
              <w:jc w:val="right"/>
              <w:rPr>
                <w:rFonts w:ascii="仿宋_GB2312" w:hAnsi="仿宋_GB2312" w:cs="仿宋_GB2312"/>
                <w:i/>
                <w:iCs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i/>
                <w:iCs/>
                <w:color w:val="000000"/>
                <w:sz w:val="32"/>
                <w:szCs w:val="32"/>
                <w:lang w:bidi="ar"/>
              </w:rPr>
              <w:t>GWP</w:t>
            </w:r>
            <w:r>
              <w:rPr>
                <w:rFonts w:ascii="仿宋_GB2312" w:hAnsi="仿宋_GB2312" w:cs="仿宋_GB2312" w:hint="eastAsia"/>
                <w:i/>
                <w:iCs/>
                <w:color w:val="000000"/>
                <w:sz w:val="32"/>
                <w:szCs w:val="32"/>
                <w:vertAlign w:val="subscript"/>
                <w:lang w:bidi="ar"/>
              </w:rPr>
              <w:t>yi</w:t>
            </w:r>
            <w:r>
              <w:rPr>
                <w:rFonts w:ascii="仿宋_GB2312" w:hAnsi="仿宋_GB2312" w:cs="仿宋_GB2312" w:hint="eastAsia"/>
                <w:i/>
                <w:iCs/>
                <w:color w:val="00000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7312" w:type="dxa"/>
            <w:tcBorders>
              <w:top w:val="nil"/>
              <w:left w:val="nil"/>
              <w:bottom w:val="nil"/>
              <w:right w:val="nil"/>
            </w:tcBorders>
          </w:tcPr>
          <w:p w:rsidR="00272DD1" w:rsidRDefault="00272DD1" w:rsidP="006E4C32">
            <w:pPr>
              <w:widowControl/>
              <w:jc w:val="left"/>
              <w:rPr>
                <w:rFonts w:ascii="仿宋_GB2312" w:hAnsi="仿宋_GB2312" w:cs="仿宋_GB2312"/>
                <w:spacing w:val="2"/>
                <w:position w:val="3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color w:val="000000"/>
                <w:sz w:val="32"/>
                <w:szCs w:val="32"/>
                <w:lang w:bidi="ar"/>
              </w:rPr>
              <w:t>——第</w:t>
            </w:r>
            <w:r>
              <w:rPr>
                <w:rFonts w:ascii="仿宋_GB2312" w:hAnsi="仿宋_GB2312" w:cs="仿宋_GB2312" w:hint="eastAsia"/>
                <w:i/>
                <w:iCs/>
                <w:color w:val="000000"/>
                <w:sz w:val="32"/>
                <w:szCs w:val="32"/>
                <w:lang w:bidi="ar"/>
              </w:rPr>
              <w:t>i</w:t>
            </w:r>
            <w:r>
              <w:rPr>
                <w:rFonts w:ascii="仿宋_GB2312" w:hAnsi="仿宋_GB2312" w:cs="仿宋_GB2312" w:hint="eastAsia"/>
                <w:color w:val="000000"/>
                <w:sz w:val="32"/>
                <w:szCs w:val="32"/>
                <w:lang w:bidi="ar"/>
              </w:rPr>
              <w:t>类逸散源产生的温室气体的全球变暖潜势值，取值参考表</w:t>
            </w:r>
            <w:r w:rsidR="006E4C32">
              <w:rPr>
                <w:rFonts w:ascii="仿宋_GB2312" w:hAnsi="仿宋_GB2312" w:cs="仿宋_GB2312"/>
                <w:color w:val="000000"/>
                <w:sz w:val="32"/>
                <w:szCs w:val="32"/>
                <w:lang w:bidi="ar"/>
              </w:rPr>
              <w:t>2</w:t>
            </w:r>
            <w:r>
              <w:rPr>
                <w:rFonts w:ascii="仿宋_GB2312" w:hAnsi="仿宋_GB2312" w:cs="仿宋_GB2312" w:hint="eastAsia"/>
                <w:color w:val="000000"/>
                <w:sz w:val="32"/>
                <w:szCs w:val="32"/>
                <w:lang w:bidi="ar"/>
              </w:rPr>
              <w:t>。</w:t>
            </w:r>
          </w:p>
        </w:tc>
      </w:tr>
    </w:tbl>
    <w:p w:rsidR="000B588B" w:rsidRDefault="000B588B" w:rsidP="000B588B">
      <w:pPr>
        <w:pStyle w:val="a5"/>
        <w:jc w:val="center"/>
        <w:outlineLvl w:val="1"/>
        <w:rPr>
          <w:spacing w:val="-2"/>
          <w:lang w:eastAsia="zh-CN"/>
        </w:rPr>
      </w:pPr>
      <w:bookmarkStart w:id="0" w:name="_Toc24120"/>
      <w:bookmarkStart w:id="1" w:name="_Toc1547"/>
      <w:bookmarkStart w:id="2" w:name="_Toc27936"/>
      <w:bookmarkStart w:id="3" w:name="_Toc29801"/>
      <w:bookmarkStart w:id="4" w:name="_Toc32420"/>
      <w:bookmarkStart w:id="5" w:name="_Toc571"/>
      <w:bookmarkStart w:id="6" w:name="_Toc13722"/>
      <w:r>
        <w:rPr>
          <w:rFonts w:hint="eastAsia"/>
          <w:spacing w:val="-2"/>
          <w:lang w:eastAsia="zh-CN"/>
        </w:rPr>
        <w:t>表</w:t>
      </w:r>
      <w:r w:rsidR="006E4C32">
        <w:rPr>
          <w:spacing w:val="-2"/>
          <w:lang w:eastAsia="zh-CN"/>
        </w:rPr>
        <w:t>1</w:t>
      </w:r>
      <w:r>
        <w:rPr>
          <w:rFonts w:hint="eastAsia"/>
          <w:spacing w:val="-2"/>
          <w:lang w:eastAsia="zh-CN"/>
        </w:rPr>
        <w:t xml:space="preserve"> </w:t>
      </w:r>
      <w:r w:rsidRPr="000B588B">
        <w:rPr>
          <w:rFonts w:hint="eastAsia"/>
          <w:spacing w:val="-2"/>
          <w:lang w:eastAsia="zh-CN"/>
        </w:rPr>
        <w:t>冷冻、冷藏及冷气机</w:t>
      </w:r>
      <w:r>
        <w:rPr>
          <w:rFonts w:hint="eastAsia"/>
          <w:spacing w:val="-2"/>
          <w:lang w:eastAsia="zh-CN"/>
        </w:rPr>
        <w:t>等逸散源的</w:t>
      </w:r>
      <w:r w:rsidRPr="000B588B">
        <w:rPr>
          <w:rFonts w:hint="eastAsia"/>
          <w:spacing w:val="-2"/>
          <w:lang w:eastAsia="zh-CN"/>
        </w:rPr>
        <w:t>逸散系数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TableNormal"/>
        <w:tblW w:w="5037" w:type="pct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012"/>
        <w:gridCol w:w="1947"/>
        <w:gridCol w:w="2392"/>
      </w:tblGrid>
      <w:tr w:rsidR="000B588B" w:rsidTr="000B588B">
        <w:trPr>
          <w:trHeight w:val="246"/>
          <w:jc w:val="center"/>
        </w:trPr>
        <w:tc>
          <w:tcPr>
            <w:tcW w:w="2402" w:type="pct"/>
            <w:tcBorders>
              <w:right w:val="single" w:sz="2" w:space="0" w:color="000000"/>
            </w:tcBorders>
            <w:shd w:val="clear" w:color="auto" w:fill="D8D8D8" w:themeFill="background1" w:themeFillShade="D8"/>
            <w:vAlign w:val="center"/>
          </w:tcPr>
          <w:p w:rsidR="000B588B" w:rsidRDefault="000B588B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  <w:t>名称</w:t>
            </w:r>
          </w:p>
        </w:tc>
        <w:tc>
          <w:tcPr>
            <w:tcW w:w="1166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D8D8D8" w:themeFill="background1" w:themeFillShade="D8"/>
            <w:vAlign w:val="center"/>
          </w:tcPr>
          <w:p w:rsidR="000B588B" w:rsidRDefault="000B588B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  <w:t>单位</w:t>
            </w:r>
          </w:p>
        </w:tc>
        <w:tc>
          <w:tcPr>
            <w:tcW w:w="1432" w:type="pct"/>
            <w:tcBorders>
              <w:left w:val="single" w:sz="2" w:space="0" w:color="000000"/>
            </w:tcBorders>
            <w:shd w:val="clear" w:color="auto" w:fill="D8D8D8" w:themeFill="background1" w:themeFillShade="D8"/>
            <w:vAlign w:val="center"/>
          </w:tcPr>
          <w:p w:rsidR="000B588B" w:rsidRDefault="000B588B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  <w:lang w:eastAsia="zh-CN"/>
              </w:rPr>
              <w:t>逸散系数</w:t>
            </w:r>
            <w:r w:rsidR="000C0D52"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  <w:vertAlign w:val="superscript"/>
                <w:lang w:eastAsia="zh-CN"/>
              </w:rPr>
              <w:t>a</w:t>
            </w:r>
          </w:p>
        </w:tc>
      </w:tr>
      <w:tr w:rsidR="000B588B" w:rsidTr="000B588B">
        <w:trPr>
          <w:trHeight w:val="235"/>
          <w:jc w:val="center"/>
        </w:trPr>
        <w:tc>
          <w:tcPr>
            <w:tcW w:w="2402" w:type="pct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0B588B" w:rsidRDefault="000B588B" w:rsidP="000B588B">
            <w:pPr>
              <w:pStyle w:val="TableText"/>
              <w:ind w:right="-20"/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  <w:lang w:eastAsia="zh-CN"/>
              </w:rPr>
              <w:t>空调系统</w:t>
            </w:r>
          </w:p>
        </w:tc>
        <w:tc>
          <w:tcPr>
            <w:tcW w:w="1166" w:type="pc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B588B" w:rsidRDefault="000B588B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  <w:t>%</w:t>
            </w:r>
          </w:p>
        </w:tc>
        <w:tc>
          <w:tcPr>
            <w:tcW w:w="1432" w:type="pct"/>
            <w:tcBorders>
              <w:left w:val="single" w:sz="2" w:space="0" w:color="000000"/>
            </w:tcBorders>
            <w:vAlign w:val="center"/>
          </w:tcPr>
          <w:p w:rsidR="000B588B" w:rsidRDefault="000B588B" w:rsidP="00A45571">
            <w:pPr>
              <w:pStyle w:val="TableText"/>
              <w:spacing w:before="52"/>
              <w:ind w:firstLineChars="400" w:firstLine="1104"/>
              <w:jc w:val="left"/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  <w:t>5</w:t>
            </w:r>
          </w:p>
        </w:tc>
      </w:tr>
      <w:tr w:rsidR="000B588B" w:rsidTr="000B588B">
        <w:trPr>
          <w:trHeight w:val="235"/>
          <w:jc w:val="center"/>
        </w:trPr>
        <w:tc>
          <w:tcPr>
            <w:tcW w:w="2402" w:type="pct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0B588B" w:rsidRDefault="000B588B" w:rsidP="000B588B">
            <w:pPr>
              <w:pStyle w:val="TableText"/>
              <w:ind w:right="-20"/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</w:pPr>
            <w:r w:rsidRPr="000B588B"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  <w:lang w:eastAsia="zh-CN"/>
              </w:rPr>
              <w:t>中、大型</w:t>
            </w:r>
            <w:r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  <w:lang w:eastAsia="zh-CN"/>
              </w:rPr>
              <w:t>冷冻</w:t>
            </w:r>
            <w:r w:rsidRPr="000B588B"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  <w:lang w:eastAsia="zh-CN"/>
              </w:rPr>
              <w:t>、冷藏装备</w:t>
            </w:r>
            <w:r w:rsidR="000C0D52">
              <w:rPr>
                <w:rFonts w:ascii="仿宋_GB2312" w:eastAsia="仿宋_GB2312" w:hAnsi="仿宋_GB2312" w:cs="仿宋_GB2312"/>
                <w:spacing w:val="-2"/>
                <w:sz w:val="28"/>
                <w:szCs w:val="28"/>
                <w:vertAlign w:val="superscript"/>
                <w:lang w:eastAsia="zh-CN"/>
              </w:rPr>
              <w:t>b</w:t>
            </w:r>
          </w:p>
        </w:tc>
        <w:tc>
          <w:tcPr>
            <w:tcW w:w="1166" w:type="pc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B588B" w:rsidRDefault="000B588B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  <w:t>%</w:t>
            </w:r>
          </w:p>
        </w:tc>
        <w:tc>
          <w:tcPr>
            <w:tcW w:w="1432" w:type="pct"/>
            <w:tcBorders>
              <w:left w:val="single" w:sz="2" w:space="0" w:color="000000"/>
            </w:tcBorders>
            <w:vAlign w:val="center"/>
          </w:tcPr>
          <w:p w:rsidR="000B588B" w:rsidRDefault="000F2702" w:rsidP="000C0D52">
            <w:pPr>
              <w:pStyle w:val="TableText"/>
              <w:spacing w:before="52"/>
              <w:ind w:firstLineChars="400" w:firstLine="1104"/>
              <w:jc w:val="left"/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  <w:t>22</w:t>
            </w:r>
          </w:p>
        </w:tc>
      </w:tr>
      <w:tr w:rsidR="000B588B" w:rsidTr="00A45571">
        <w:trPr>
          <w:trHeight w:val="707"/>
          <w:jc w:val="center"/>
        </w:trPr>
        <w:tc>
          <w:tcPr>
            <w:tcW w:w="5000" w:type="pct"/>
            <w:gridSpan w:val="3"/>
            <w:vAlign w:val="center"/>
          </w:tcPr>
          <w:p w:rsidR="000B588B" w:rsidRDefault="000B588B" w:rsidP="00A45571">
            <w:pPr>
              <w:pStyle w:val="TableText"/>
              <w:jc w:val="left"/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  <w:vertAlign w:val="superscript"/>
                <w:lang w:eastAsia="zh-CN"/>
              </w:rPr>
              <w:t>a</w:t>
            </w: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  <w:t xml:space="preserve"> 数据来源于</w:t>
            </w:r>
            <w:r w:rsidRPr="000B588B"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  <w:lang w:eastAsia="zh-CN"/>
              </w:rPr>
              <w:t>《IPCC 2006年国家温室气体清单指南 2019修订版》</w:t>
            </w:r>
            <w:r w:rsidR="006E4C32" w:rsidRPr="006E4C32"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  <w:t>volume 3, chapter7, table 7.9</w:t>
            </w:r>
            <w:r w:rsidR="006E4C32"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  <w:lang w:eastAsia="zh-CN"/>
              </w:rPr>
              <w:t>，为表中所列数据的算术平均值。</w:t>
            </w:r>
          </w:p>
          <w:p w:rsidR="000C0D52" w:rsidRDefault="000C0D52" w:rsidP="000C0D52">
            <w:pPr>
              <w:pStyle w:val="TableText"/>
              <w:jc w:val="left"/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  <w:vertAlign w:val="superscript"/>
                <w:lang w:eastAsia="zh-CN"/>
              </w:rPr>
              <w:t>b</w:t>
            </w:r>
            <w:r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  <w:lang w:eastAsia="zh-CN"/>
              </w:rPr>
              <w:t>百</w:t>
            </w:r>
            <w:r w:rsidRPr="000C0D52"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  <w:lang w:eastAsia="zh-CN"/>
              </w:rPr>
              <w:t>货店</w:t>
            </w:r>
            <w:r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  <w:lang w:eastAsia="zh-CN"/>
              </w:rPr>
              <w:t>、</w:t>
            </w:r>
            <w:r w:rsidRPr="000C0D52"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  <w:lang w:eastAsia="zh-CN"/>
              </w:rPr>
              <w:t>超市</w:t>
            </w:r>
            <w:r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  <w:lang w:eastAsia="zh-CN"/>
              </w:rPr>
              <w:t>、</w:t>
            </w:r>
            <w:r w:rsidRPr="000C0D52"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  <w:lang w:eastAsia="zh-CN"/>
              </w:rPr>
              <w:t>大型购物中心</w:t>
            </w:r>
            <w:r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  <w:lang w:eastAsia="zh-CN"/>
              </w:rPr>
              <w:t>等类型建筑的冷链系统属于该类别。</w:t>
            </w:r>
          </w:p>
        </w:tc>
      </w:tr>
    </w:tbl>
    <w:p w:rsidR="000C0D52" w:rsidRDefault="000C0D52" w:rsidP="00272DD1">
      <w:pPr>
        <w:pStyle w:val="a5"/>
        <w:jc w:val="center"/>
        <w:outlineLvl w:val="1"/>
        <w:rPr>
          <w:spacing w:val="-2"/>
          <w:lang w:eastAsia="zh-CN"/>
        </w:rPr>
        <w:sectPr w:rsidR="000C0D5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7" w:name="_Toc17924"/>
      <w:bookmarkStart w:id="8" w:name="_Toc26585"/>
      <w:bookmarkStart w:id="9" w:name="_Toc12724"/>
      <w:bookmarkStart w:id="10" w:name="_Toc358"/>
      <w:bookmarkStart w:id="11" w:name="_Toc5103"/>
      <w:bookmarkStart w:id="12" w:name="_Toc21032"/>
      <w:bookmarkStart w:id="13" w:name="_Toc2040"/>
    </w:p>
    <w:p w:rsidR="00272DD1" w:rsidRDefault="00272DD1" w:rsidP="00272DD1">
      <w:pPr>
        <w:pStyle w:val="a5"/>
        <w:jc w:val="center"/>
        <w:outlineLvl w:val="1"/>
        <w:rPr>
          <w:spacing w:val="-2"/>
          <w:lang w:eastAsia="zh-CN"/>
        </w:rPr>
      </w:pPr>
      <w:r>
        <w:rPr>
          <w:rFonts w:hint="eastAsia"/>
          <w:spacing w:val="-2"/>
          <w:lang w:eastAsia="zh-CN"/>
        </w:rPr>
        <w:lastRenderedPageBreak/>
        <w:t>表</w:t>
      </w:r>
      <w:r w:rsidR="006E4C32">
        <w:rPr>
          <w:spacing w:val="-2"/>
          <w:lang w:eastAsia="zh-CN"/>
        </w:rPr>
        <w:t>2</w:t>
      </w:r>
      <w:r>
        <w:rPr>
          <w:rFonts w:hint="eastAsia"/>
          <w:spacing w:val="-2"/>
          <w:lang w:eastAsia="zh-CN"/>
        </w:rPr>
        <w:t xml:space="preserve"> 温室气体全球变暖潜势值表</w:t>
      </w:r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Style w:val="TableNormal"/>
        <w:tblW w:w="5051" w:type="pct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693"/>
        <w:gridCol w:w="1701"/>
        <w:gridCol w:w="4986"/>
      </w:tblGrid>
      <w:tr w:rsidR="00272DD1" w:rsidTr="000E5B0C">
        <w:trPr>
          <w:trHeight w:val="244"/>
          <w:jc w:val="center"/>
        </w:trPr>
        <w:tc>
          <w:tcPr>
            <w:tcW w:w="2025" w:type="pct"/>
            <w:gridSpan w:val="2"/>
            <w:tcBorders>
              <w:right w:val="single" w:sz="2" w:space="0" w:color="000000"/>
            </w:tcBorders>
            <w:shd w:val="clear" w:color="auto" w:fill="D8D8D8" w:themeFill="background1" w:themeFillShade="D8"/>
            <w:vAlign w:val="center"/>
          </w:tcPr>
          <w:p w:rsidR="00272DD1" w:rsidRDefault="00272DD1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  <w:t>温室气体种类</w:t>
            </w:r>
          </w:p>
        </w:tc>
        <w:tc>
          <w:tcPr>
            <w:tcW w:w="2975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D8D8D8" w:themeFill="background1" w:themeFillShade="D8"/>
            <w:vAlign w:val="center"/>
          </w:tcPr>
          <w:p w:rsidR="00272DD1" w:rsidRDefault="00272DD1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  <w:t>IPCC 第</w:t>
            </w:r>
            <w:r w:rsidR="00F15FD5">
              <w:rPr>
                <w:rFonts w:ascii="仿宋_GB2312" w:eastAsia="仿宋_GB2312" w:hAnsi="仿宋_GB2312" w:cs="仿宋_GB2312" w:hint="eastAsia"/>
                <w:spacing w:val="-2"/>
                <w:sz w:val="28"/>
                <w:szCs w:val="28"/>
                <w:lang w:eastAsia="zh-CN"/>
              </w:rPr>
              <w:t>二</w:t>
            </w: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  <w:t>次评估报告值（GWP100 年）</w:t>
            </w:r>
          </w:p>
        </w:tc>
      </w:tr>
      <w:tr w:rsidR="00272DD1" w:rsidTr="000E5B0C">
        <w:trPr>
          <w:trHeight w:val="22"/>
          <w:jc w:val="center"/>
        </w:trPr>
        <w:tc>
          <w:tcPr>
            <w:tcW w:w="1010" w:type="pct"/>
            <w:vMerge w:val="restart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272DD1" w:rsidRDefault="00272DD1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  <w:t>氢氟碳化物（HFCs）</w:t>
            </w:r>
          </w:p>
        </w:tc>
        <w:tc>
          <w:tcPr>
            <w:tcW w:w="1015" w:type="pct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272DD1" w:rsidRDefault="00272DD1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  <w:t>HFC-23</w:t>
            </w:r>
          </w:p>
        </w:tc>
        <w:tc>
          <w:tcPr>
            <w:tcW w:w="2975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72DD1" w:rsidRDefault="00F15FD5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  <w:t>11700</w:t>
            </w:r>
          </w:p>
        </w:tc>
      </w:tr>
      <w:tr w:rsidR="00272DD1" w:rsidTr="000E5B0C">
        <w:trPr>
          <w:trHeight w:val="22"/>
          <w:jc w:val="center"/>
        </w:trPr>
        <w:tc>
          <w:tcPr>
            <w:tcW w:w="1010" w:type="pct"/>
            <w:vMerge/>
            <w:tcBorders>
              <w:right w:val="single" w:sz="2" w:space="0" w:color="000000"/>
            </w:tcBorders>
            <w:vAlign w:val="center"/>
          </w:tcPr>
          <w:p w:rsidR="00272DD1" w:rsidRDefault="00272DD1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1015" w:type="pct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272DD1" w:rsidRDefault="00272DD1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  <w:t>HFC-32</w:t>
            </w:r>
          </w:p>
        </w:tc>
        <w:tc>
          <w:tcPr>
            <w:tcW w:w="2975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72DD1" w:rsidRDefault="00F15FD5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  <w:t>650</w:t>
            </w:r>
          </w:p>
        </w:tc>
      </w:tr>
      <w:tr w:rsidR="00272DD1" w:rsidTr="000E5B0C">
        <w:trPr>
          <w:trHeight w:val="22"/>
          <w:jc w:val="center"/>
        </w:trPr>
        <w:tc>
          <w:tcPr>
            <w:tcW w:w="1010" w:type="pct"/>
            <w:vMerge/>
            <w:tcBorders>
              <w:right w:val="single" w:sz="2" w:space="0" w:color="000000"/>
            </w:tcBorders>
            <w:vAlign w:val="center"/>
          </w:tcPr>
          <w:p w:rsidR="00272DD1" w:rsidRDefault="00272DD1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1015" w:type="pct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272DD1" w:rsidRDefault="00272DD1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  <w:t>HFC-125</w:t>
            </w:r>
          </w:p>
        </w:tc>
        <w:tc>
          <w:tcPr>
            <w:tcW w:w="2975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72DD1" w:rsidRDefault="00F15FD5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  <w:t>2800</w:t>
            </w:r>
          </w:p>
        </w:tc>
      </w:tr>
      <w:tr w:rsidR="00272DD1" w:rsidTr="000E5B0C">
        <w:trPr>
          <w:trHeight w:val="22"/>
          <w:jc w:val="center"/>
        </w:trPr>
        <w:tc>
          <w:tcPr>
            <w:tcW w:w="1010" w:type="pct"/>
            <w:vMerge/>
            <w:tcBorders>
              <w:right w:val="single" w:sz="2" w:space="0" w:color="000000"/>
            </w:tcBorders>
            <w:vAlign w:val="center"/>
          </w:tcPr>
          <w:p w:rsidR="00272DD1" w:rsidRDefault="00272DD1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1015" w:type="pct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272DD1" w:rsidRDefault="00272DD1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  <w:t>HFC-134a</w:t>
            </w:r>
          </w:p>
        </w:tc>
        <w:tc>
          <w:tcPr>
            <w:tcW w:w="2975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72DD1" w:rsidRDefault="00F15FD5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  <w:t>1300</w:t>
            </w:r>
          </w:p>
        </w:tc>
      </w:tr>
      <w:tr w:rsidR="00272DD1" w:rsidTr="000E5B0C">
        <w:trPr>
          <w:trHeight w:val="22"/>
          <w:jc w:val="center"/>
        </w:trPr>
        <w:tc>
          <w:tcPr>
            <w:tcW w:w="1010" w:type="pct"/>
            <w:vMerge/>
            <w:tcBorders>
              <w:right w:val="single" w:sz="2" w:space="0" w:color="000000"/>
            </w:tcBorders>
            <w:vAlign w:val="center"/>
          </w:tcPr>
          <w:p w:rsidR="00272DD1" w:rsidRDefault="00272DD1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1015" w:type="pct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272DD1" w:rsidRDefault="00272DD1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  <w:t>HFC-143a</w:t>
            </w:r>
          </w:p>
        </w:tc>
        <w:tc>
          <w:tcPr>
            <w:tcW w:w="2975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72DD1" w:rsidRDefault="00F15FD5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  <w:t>3800</w:t>
            </w:r>
          </w:p>
        </w:tc>
      </w:tr>
      <w:tr w:rsidR="00272DD1" w:rsidTr="000E5B0C">
        <w:trPr>
          <w:trHeight w:val="22"/>
          <w:jc w:val="center"/>
        </w:trPr>
        <w:tc>
          <w:tcPr>
            <w:tcW w:w="1010" w:type="pct"/>
            <w:vMerge/>
            <w:tcBorders>
              <w:right w:val="single" w:sz="2" w:space="0" w:color="000000"/>
            </w:tcBorders>
            <w:vAlign w:val="center"/>
          </w:tcPr>
          <w:p w:rsidR="00272DD1" w:rsidRDefault="00272DD1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1015" w:type="pct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272DD1" w:rsidRDefault="00272DD1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  <w:t>HFC-152a</w:t>
            </w:r>
          </w:p>
        </w:tc>
        <w:tc>
          <w:tcPr>
            <w:tcW w:w="2975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72DD1" w:rsidRDefault="00F15FD5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  <w:t>140</w:t>
            </w:r>
          </w:p>
        </w:tc>
      </w:tr>
      <w:tr w:rsidR="001F57F1" w:rsidTr="000E5B0C">
        <w:trPr>
          <w:trHeight w:val="22"/>
          <w:jc w:val="center"/>
        </w:trPr>
        <w:tc>
          <w:tcPr>
            <w:tcW w:w="1010" w:type="pct"/>
            <w:vMerge/>
            <w:tcBorders>
              <w:right w:val="single" w:sz="2" w:space="0" w:color="000000"/>
            </w:tcBorders>
            <w:vAlign w:val="center"/>
          </w:tcPr>
          <w:p w:rsidR="001F57F1" w:rsidRDefault="001F57F1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1015" w:type="pct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1F57F1" w:rsidRDefault="001F57F1" w:rsidP="001F57F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  <w:t>HFC-404a</w:t>
            </w:r>
          </w:p>
        </w:tc>
        <w:tc>
          <w:tcPr>
            <w:tcW w:w="2975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57F1" w:rsidRDefault="007F6901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  <w:t>3260</w:t>
            </w:r>
            <w:bookmarkStart w:id="14" w:name="_GoBack"/>
            <w:bookmarkEnd w:id="14"/>
          </w:p>
        </w:tc>
      </w:tr>
      <w:tr w:rsidR="00272DD1" w:rsidTr="000E5B0C">
        <w:trPr>
          <w:trHeight w:val="22"/>
          <w:jc w:val="center"/>
        </w:trPr>
        <w:tc>
          <w:tcPr>
            <w:tcW w:w="1010" w:type="pct"/>
            <w:vMerge/>
            <w:tcBorders>
              <w:right w:val="single" w:sz="2" w:space="0" w:color="000000"/>
            </w:tcBorders>
            <w:vAlign w:val="center"/>
          </w:tcPr>
          <w:p w:rsidR="00272DD1" w:rsidRDefault="00272DD1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1015" w:type="pct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272DD1" w:rsidRDefault="00272DD1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  <w:t>HFC-227ea</w:t>
            </w:r>
          </w:p>
        </w:tc>
        <w:tc>
          <w:tcPr>
            <w:tcW w:w="2975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72DD1" w:rsidRDefault="00F15FD5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  <w:t>2900</w:t>
            </w:r>
          </w:p>
        </w:tc>
      </w:tr>
      <w:tr w:rsidR="00272DD1" w:rsidTr="000E5B0C">
        <w:trPr>
          <w:trHeight w:val="22"/>
          <w:jc w:val="center"/>
        </w:trPr>
        <w:tc>
          <w:tcPr>
            <w:tcW w:w="1010" w:type="pct"/>
            <w:vMerge/>
            <w:tcBorders>
              <w:right w:val="single" w:sz="2" w:space="0" w:color="000000"/>
            </w:tcBorders>
            <w:vAlign w:val="center"/>
          </w:tcPr>
          <w:p w:rsidR="00272DD1" w:rsidRDefault="00272DD1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</w:pPr>
          </w:p>
        </w:tc>
        <w:tc>
          <w:tcPr>
            <w:tcW w:w="1015" w:type="pct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272DD1" w:rsidRDefault="00272DD1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  <w:t>HFC-236fa</w:t>
            </w:r>
          </w:p>
        </w:tc>
        <w:tc>
          <w:tcPr>
            <w:tcW w:w="2975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72DD1" w:rsidRDefault="00F15FD5" w:rsidP="00A45571">
            <w:pPr>
              <w:pStyle w:val="TableText"/>
              <w:rPr>
                <w:rFonts w:ascii="仿宋_GB2312" w:eastAsia="仿宋_GB2312" w:hAnsi="仿宋_GB2312" w:cs="仿宋_GB2312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"/>
                <w:sz w:val="28"/>
                <w:szCs w:val="28"/>
              </w:rPr>
              <w:t>6300</w:t>
            </w:r>
          </w:p>
        </w:tc>
      </w:tr>
    </w:tbl>
    <w:p w:rsidR="00272DD1" w:rsidRPr="00272DD1" w:rsidRDefault="00272DD1" w:rsidP="00272DD1"/>
    <w:sectPr w:rsidR="00272DD1" w:rsidRPr="00272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53E" w:rsidRDefault="004A553E" w:rsidP="000C0D52">
      <w:pPr>
        <w:spacing w:line="240" w:lineRule="auto"/>
      </w:pPr>
      <w:r>
        <w:separator/>
      </w:r>
    </w:p>
  </w:endnote>
  <w:endnote w:type="continuationSeparator" w:id="0">
    <w:p w:rsidR="004A553E" w:rsidRDefault="004A553E" w:rsidP="000C0D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53E" w:rsidRDefault="004A553E" w:rsidP="000C0D52">
      <w:pPr>
        <w:spacing w:line="240" w:lineRule="auto"/>
      </w:pPr>
      <w:r>
        <w:separator/>
      </w:r>
    </w:p>
  </w:footnote>
  <w:footnote w:type="continuationSeparator" w:id="0">
    <w:p w:rsidR="004A553E" w:rsidRDefault="004A553E" w:rsidP="000C0D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B469A"/>
    <w:multiLevelType w:val="multilevel"/>
    <w:tmpl w:val="8626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A6"/>
    <w:rsid w:val="000B588B"/>
    <w:rsid w:val="000C0D52"/>
    <w:rsid w:val="000E5B0C"/>
    <w:rsid w:val="000F2702"/>
    <w:rsid w:val="001F57F1"/>
    <w:rsid w:val="00272DD1"/>
    <w:rsid w:val="00312434"/>
    <w:rsid w:val="004A553E"/>
    <w:rsid w:val="005D4E20"/>
    <w:rsid w:val="006E4C32"/>
    <w:rsid w:val="006F6C10"/>
    <w:rsid w:val="007F6901"/>
    <w:rsid w:val="008E7E17"/>
    <w:rsid w:val="00B507DE"/>
    <w:rsid w:val="00B81CAC"/>
    <w:rsid w:val="00E92463"/>
    <w:rsid w:val="00EE23A6"/>
    <w:rsid w:val="00F1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B716C"/>
  <w15:chartTrackingRefBased/>
  <w15:docId w15:val="{227818AF-2AD7-4E80-979E-9E6548A4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72DD1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sid w:val="00272DD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toa heading"/>
    <w:basedOn w:val="a"/>
    <w:next w:val="a"/>
    <w:uiPriority w:val="99"/>
    <w:semiHidden/>
    <w:unhideWhenUsed/>
    <w:rsid w:val="00272DD1"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ody Text"/>
    <w:basedOn w:val="a"/>
    <w:next w:val="a"/>
    <w:link w:val="a6"/>
    <w:semiHidden/>
    <w:qFormat/>
    <w:rsid w:val="00272DD1"/>
    <w:rPr>
      <w:rFonts w:ascii="黑体" w:eastAsia="黑体" w:hAnsi="黑体" w:cs="黑体"/>
      <w:lang w:eastAsia="en-US"/>
    </w:rPr>
  </w:style>
  <w:style w:type="character" w:customStyle="1" w:styleId="a6">
    <w:name w:val="正文文本 字符"/>
    <w:basedOn w:val="a1"/>
    <w:link w:val="a5"/>
    <w:semiHidden/>
    <w:rsid w:val="00272DD1"/>
    <w:rPr>
      <w:rFonts w:ascii="黑体" w:eastAsia="黑体" w:hAnsi="黑体" w:cs="黑体"/>
      <w:sz w:val="28"/>
      <w:szCs w:val="28"/>
      <w:lang w:eastAsia="en-US"/>
    </w:rPr>
  </w:style>
  <w:style w:type="paragraph" w:customStyle="1" w:styleId="TableText">
    <w:name w:val="Table Text"/>
    <w:basedOn w:val="a"/>
    <w:semiHidden/>
    <w:qFormat/>
    <w:rsid w:val="00272DD1"/>
    <w:pPr>
      <w:jc w:val="center"/>
    </w:pPr>
    <w:rPr>
      <w:rFonts w:ascii="宋体" w:eastAsia="宋体" w:hAnsi="宋体" w:cs="宋体"/>
      <w:sz w:val="18"/>
      <w:szCs w:val="18"/>
      <w:lang w:eastAsia="en-US"/>
    </w:rPr>
  </w:style>
  <w:style w:type="table" w:customStyle="1" w:styleId="TableNormal">
    <w:name w:val="Table Normal"/>
    <w:semiHidden/>
    <w:unhideWhenUsed/>
    <w:qFormat/>
    <w:rsid w:val="00272DD1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网格型1"/>
    <w:basedOn w:val="a2"/>
    <w:next w:val="a4"/>
    <w:uiPriority w:val="39"/>
    <w:rsid w:val="000B588B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6E4C32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1"/>
    <w:uiPriority w:val="22"/>
    <w:qFormat/>
    <w:rsid w:val="006E4C32"/>
    <w:rPr>
      <w:b/>
      <w:bCs/>
    </w:rPr>
  </w:style>
  <w:style w:type="paragraph" w:styleId="a8">
    <w:name w:val="header"/>
    <w:basedOn w:val="a"/>
    <w:link w:val="a9"/>
    <w:uiPriority w:val="99"/>
    <w:unhideWhenUsed/>
    <w:rsid w:val="000C0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rsid w:val="000C0D52"/>
    <w:rPr>
      <w:rFonts w:ascii="Times New Roman" w:eastAsia="仿宋_GB2312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0C0D5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rsid w:val="000C0D5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5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刘力铭</dc:creator>
  <cp:keywords/>
  <dc:description/>
  <cp:lastModifiedBy>刘力铭</cp:lastModifiedBy>
  <cp:revision>15</cp:revision>
  <dcterms:created xsi:type="dcterms:W3CDTF">2026-01-13T06:34:00Z</dcterms:created>
  <dcterms:modified xsi:type="dcterms:W3CDTF">2026-01-13T07:58:00Z</dcterms:modified>
</cp:coreProperties>
</file>