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0" w:leftChars="0" w:firstLine="0" w:firstLineChars="0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《深圳市地价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管理办法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eastAsia="zh-CN"/>
        </w:rPr>
        <w:t>（修订征求意见稿）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》起草说明</w:t>
      </w:r>
    </w:p>
    <w:p>
      <w:pPr>
        <w:spacing w:line="580" w:lineRule="exact"/>
        <w:ind w:firstLine="645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</w:p>
    <w:p>
      <w:pPr>
        <w:spacing w:line="580" w:lineRule="exact"/>
        <w:ind w:firstLine="645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《深圳市地价测算规则》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（以下简称《规则》）自2019年发布实施以来，为我市地价管理工作提供了有力支撑。面对近年来市场形势的变化以及实际管理工作中发现的新情况、新问题，需对《规则》开展系统性修订，以便更好适配当前发展阶段的土地管理要求，继续支撑经济社会的高质量发展。我局坚持问题导向与目标导向，紧扣土地要素市场化配置改革要求，顺应深圳城市发展新阶段的实际需要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结合工作实际修改完善后形成《深圳市地价管理办法》（以下简称《管理办法》），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现就《管理办法》的起草情况说明如下：</w:t>
      </w:r>
    </w:p>
    <w:p>
      <w:pPr>
        <w:spacing w:line="580" w:lineRule="exact"/>
        <w:ind w:firstLine="645"/>
        <w:outlineLvl w:val="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修订的必要性</w:t>
      </w:r>
    </w:p>
    <w:p>
      <w:pPr>
        <w:spacing w:line="580" w:lineRule="exact"/>
        <w:ind w:firstLine="645"/>
        <w:outlineLvl w:val="1"/>
        <w:rPr>
          <w:rFonts w:hint="eastAsia" w:ascii="仿宋_GB2312" w:hAnsi="仿宋" w:eastAsia="仿宋_GB2312" w:cs="Times New Roman"/>
          <w:sz w:val="32"/>
          <w:szCs w:val="32"/>
          <w:lang w:eastAsia="zh-CN"/>
        </w:rPr>
      </w:pPr>
      <w:r>
        <w:rPr>
          <w:rFonts w:hint="eastAsia" w:ascii="楷体" w:hAnsi="楷体" w:eastAsia="楷体" w:cs="Times New Roman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落实国家政策要求</w:t>
      </w:r>
      <w:r>
        <w:rPr>
          <w:rFonts w:hint="eastAsia" w:ascii="楷体" w:hAnsi="楷体" w:eastAsia="楷体" w:cs="Times New Roman"/>
          <w:sz w:val="32"/>
          <w:szCs w:val="32"/>
          <w:lang w:eastAsia="zh-CN"/>
        </w:rPr>
        <w:t>，深化土地要素配置改革。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党的二十届三中全会明确提出要“推动生产要素创新性配置”，《中共中央 国务院关于加快建设全国统一大市场的意见》要求“健全城乡统一的土地和劳动力市场”。在此背景下，修订完善我市地价管理政策文件，是坚决落实国家政策要求、构建与市场挂钩的地价动态调整机制、深化土地要素市场化配置改革的必然要求。</w:t>
      </w:r>
      <w:bookmarkStart w:id="0" w:name="_GoBack"/>
      <w:bookmarkEnd w:id="0"/>
    </w:p>
    <w:p>
      <w:pPr>
        <w:spacing w:line="580" w:lineRule="exact"/>
        <w:ind w:left="0" w:leftChars="0" w:firstLine="640" w:firstLineChars="0"/>
        <w:outlineLvl w:val="1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" w:hAnsi="楷体" w:eastAsia="楷体" w:cs="Times New Roman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Times New Roman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Times New Roman"/>
          <w:sz w:val="32"/>
          <w:szCs w:val="32"/>
        </w:rPr>
        <w:t>适应城市发展新阶段，破解空间资源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制约。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深圳城市发展已进入以存量开发为主的阶段，各类土地利用场景呈现多元化、复杂化特征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，现行地价管理体系亟需适配城市发展转型要求，充分发挥地价的杠杆调节作用，引导土地资源向新质生产力与优质公共服务领域高效集聚，在统筹经济效益的同时兼顾民生福祉与城市长远发展，通过精细化地价管理破解空间资源制约，支撑城市实现高质量转型发展。</w:t>
      </w:r>
    </w:p>
    <w:p>
      <w:pPr>
        <w:spacing w:line="580" w:lineRule="exact"/>
        <w:ind w:firstLine="645"/>
        <w:outlineLvl w:val="1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Times New Roman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Times New Roman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改革地价管理模式，提升管理效能。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随着改革持续深化以及我市新产业、新业态的蓬勃发展，原《规则》的部分规定在适用性与灵活性方面逐渐显现出滞后性，亟需针对实际工作中出现的新情况、新问题，建立更为科学合理、衔接有序的地价修正与测算标准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，进一步提升地价管理的效率和公平性，构建适配现代化治理要求的地价管理制度。</w:t>
      </w:r>
    </w:p>
    <w:p>
      <w:pPr>
        <w:spacing w:line="580" w:lineRule="exact"/>
        <w:ind w:firstLine="645"/>
        <w:outlineLvl w:val="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修订主要内容</w:t>
      </w:r>
    </w:p>
    <w:p>
      <w:pPr>
        <w:spacing w:line="580" w:lineRule="exact"/>
        <w:ind w:left="0" w:leftChars="0" w:firstLine="640" w:firstLineChars="0"/>
        <w:outlineLvl w:val="9"/>
        <w:rPr>
          <w:rFonts w:hint="eastAsia" w:eastAsia="宋体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《管理办法》正文共五章三十二条，对我市地价测算的一般性要求与原则性规定、土地利用条件变更与地价补缴相关规则、历史遗留问题与特殊情形处理，以及地价管理相关配套规则作出规定。另设八个附表，对各类修正系数予以规范明确。相较于原《规则》，本次修订工作主要围绕以下几个方面开展：</w:t>
      </w:r>
    </w:p>
    <w:p>
      <w:pPr>
        <w:spacing w:line="580" w:lineRule="exact"/>
        <w:ind w:left="0" w:leftChars="0" w:firstLine="640" w:firstLineChars="0"/>
        <w:outlineLvl w:val="1"/>
        <w:rPr>
          <w:rFonts w:hint="eastAsia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（一）优化产业地价政策，降本增效赋能发展</w:t>
      </w:r>
    </w:p>
    <w:p>
      <w:pPr>
        <w:widowControl w:val="0"/>
        <w:spacing w:line="580" w:lineRule="exact"/>
        <w:ind w:left="0" w:leftChars="0" w:firstLine="640" w:firstLineChars="0"/>
        <w:jc w:val="both"/>
        <w:outlineLvl w:val="9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通过优化产业用地地价支持措施，强化对产业项目的精准扶持。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一是新增产业发展类工业地价标准与产业发展类新型产业地价标准，地价为相应用途地价的50%。经认定符合条件的战略性新兴产业、优势传统产业、生产性现代服务业项目可按规定享受该地价优惠。同时明确配套建筑的地价规则，取消原《规则》附表4产业发展导向修正系数，并就新旧规则的衔接适用作出规定，引导土地资源向优势产业领域集聚，夯实我市产业发展根基。二是优化产业用地年期修正计算方式。厂房、仓库等使用年期在30年以内的部分，年期修正采用直线法计算，</w:t>
      </w:r>
      <w:r>
        <w:rPr>
          <w:rFonts w:hint="default" w:ascii="仿宋_GB2312" w:hAnsi="仿宋" w:eastAsia="仿宋_GB2312"/>
          <w:color w:val="000000"/>
          <w:sz w:val="32"/>
          <w:szCs w:val="32"/>
          <w:lang w:val="en-US" w:eastAsia="zh-CN"/>
        </w:rPr>
        <w:t>切实降低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市场主体</w:t>
      </w:r>
      <w:r>
        <w:rPr>
          <w:rFonts w:hint="default" w:ascii="仿宋_GB2312" w:hAnsi="仿宋" w:eastAsia="仿宋_GB2312"/>
          <w:color w:val="000000"/>
          <w:sz w:val="32"/>
          <w:szCs w:val="32"/>
          <w:lang w:val="en-US" w:eastAsia="zh-CN"/>
        </w:rPr>
        <w:t>用地成本，吸引优质企业与创新项目落地，助力产业升级与经济高质量发展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。三是优化整合产业用地提高容积的地价计收规则，简化测算方法，明确提容系数的适用范围。衔接相关政策，明确新增的仓库不计收地价，明确新增分项建筑面积的范畴，进一步降低产业空间提容成本，支持产业空间提质增效，满足企业扩大生产、升级发展的用地需求。</w:t>
      </w:r>
    </w:p>
    <w:p>
      <w:pPr>
        <w:spacing w:line="580" w:lineRule="exact"/>
        <w:ind w:left="0" w:leftChars="0" w:firstLine="640" w:firstLineChars="0"/>
        <w:outlineLvl w:val="1"/>
        <w:rPr>
          <w:rFonts w:hint="eastAsia" w:eastAsiaTheme="minorEastAsia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二）优化市场营商环境，激发市场发展活力</w:t>
      </w:r>
    </w:p>
    <w:p>
      <w:pPr>
        <w:widowControl w:val="0"/>
        <w:spacing w:line="580" w:lineRule="exact"/>
        <w:ind w:left="0" w:leftChars="0" w:firstLine="640" w:firstLineChars="0"/>
        <w:jc w:val="both"/>
        <w:outlineLvl w:val="9"/>
        <w:rPr>
          <w:rFonts w:hint="eastAsia" w:eastAsia="宋体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一是优化租赁用地地价的年期修正方式，按照租赁年期采用直线折算方法进行年期修正，实现减负增效的目标。二是完善地价分期缴交相关规定，扩大分期缴交政策的适用范围，经人民政府批准的项目均可分期缴交。对于原《规则》已明确的特定用地类型、总部项目及通用产业用房分期缴交不计收利息；其余项目按规定计收利息。三是优化溢价成交地价分摊规则，明确招拍挂出让的溢价部分可由土地使用权人自主确定分摊方式，进一步激发市场活力。四是调整竣工超面积补缴地价规则，优化商业产权条件、商业楼层、新型产业产权条件修正系数等等。</w:t>
      </w:r>
    </w:p>
    <w:p>
      <w:pPr>
        <w:widowControl w:val="0"/>
        <w:spacing w:line="580" w:lineRule="exact"/>
        <w:ind w:left="0" w:leftChars="0" w:firstLine="640" w:firstLineChars="0"/>
        <w:jc w:val="both"/>
        <w:outlineLvl w:val="1"/>
        <w:rPr>
          <w:rFonts w:hint="eastAsia" w:eastAsia="宋体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三）保障民生盘活资产，推动资源高效利用</w:t>
      </w:r>
    </w:p>
    <w:p>
      <w:pPr>
        <w:widowControl w:val="0"/>
        <w:spacing w:line="580" w:lineRule="exact"/>
        <w:ind w:left="0" w:leftChars="0" w:firstLine="640" w:firstLineChars="0"/>
        <w:jc w:val="both"/>
        <w:outlineLvl w:val="9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完善地价规则推动闲置资源盘活，更好保障公共服务供给。一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是新增政府资产处置补缴地价规则，明确地价补缴主体及标准，促进政府闲置资产的盘活利用和良性循环。二是衔接整合地上、地下连通空间的地价计收规则，确保政策标准统一，针对全天候向公众开放的公共连通通道不计收地价，充分体现政策的公共惠民导向。三是针对划拨用地转出让用地的情形，依据产权归属的不同情形设置差异化的补缴规则。四是衔接我市既有非居住建筑功能转换相关政策，明确地价补缴规则，对过渡期满后延长期限内的地价按直线法计算年期修正，支持既有空间优化功能布局，激发存量空间利用潜力。</w:t>
      </w:r>
    </w:p>
    <w:p>
      <w:pPr>
        <w:spacing w:line="580" w:lineRule="exact"/>
        <w:ind w:left="0" w:leftChars="0" w:firstLine="640" w:firstLineChars="0"/>
        <w:outlineLvl w:val="1"/>
        <w:rPr>
          <w:rFonts w:hint="default" w:eastAsia="宋体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四）完善存量用地地价规则，保障政策预期稳定</w:t>
      </w:r>
    </w:p>
    <w:p>
      <w:pPr>
        <w:widowControl w:val="0"/>
        <w:spacing w:line="580" w:lineRule="exact"/>
        <w:ind w:left="0" w:leftChars="0" w:firstLine="640" w:firstLineChars="0"/>
        <w:jc w:val="both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是完善留用土地项目地价规则，衔接《关于进一步完善房屋征收补偿机制的若干意见》（深府函〔2016〕306号）《关于征地安置补偿和土地置换的若干规定（试行）》（深府规〔2025〕8号）等规定，明确安置房地价补缴规则、超出等价值置换部分的地价补缴规则等。二是完善城市更新项目地价规则，对小地块城市更新项目应移交未移交用地、已办理征转地补偿的零星国有未出让用地调整修正因子，删除原“超容”地价规定，明确城市更新分期开发指标腾挪规则，明确配建保障性住房相关的地价优惠系数适用规定，等等。</w:t>
      </w:r>
    </w:p>
    <w:p>
      <w:pPr>
        <w:widowControl w:val="0"/>
        <w:spacing w:line="580" w:lineRule="exact"/>
        <w:ind w:left="0" w:leftChars="0" w:firstLine="640" w:firstLineChars="0"/>
        <w:jc w:val="both"/>
        <w:outlineLvl w:val="1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楷体" w:hAnsi="楷体" w:eastAsia="楷体" w:cs="Times New Roman"/>
          <w:kern w:val="2"/>
          <w:sz w:val="32"/>
          <w:szCs w:val="32"/>
          <w:lang w:val="en-US" w:eastAsia="zh-CN" w:bidi="ar-SA"/>
        </w:rPr>
        <w:t>（五）完善评估及发布机制，构建灵活管理体系</w:t>
      </w:r>
    </w:p>
    <w:p>
      <w:pPr>
        <w:widowControl w:val="0"/>
        <w:spacing w:line="580" w:lineRule="exact"/>
        <w:ind w:left="0" w:leftChars="0" w:firstLine="640" w:firstLineChars="0"/>
        <w:jc w:val="both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本次修订完善标定地价评估及更新发布机制，明确市规划和自然资源部门可结合土地市场实际运行情况，增加标定地价更新发布频次。同时，进一步完善特殊情形地价评估机制，针对特殊项目以及房地产市场发生重大变动的情形，建立个案评估机制，有效提升地价管理制度的整体适应性与灵活性。</w:t>
      </w:r>
    </w:p>
    <w:p>
      <w:pPr>
        <w:spacing w:line="580" w:lineRule="exact"/>
        <w:ind w:firstLine="645"/>
        <w:outlineLvl w:val="9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综上，本次修订系统完善了地价管理规则，落实了国家土地要素市场化改革要求，充分适配城市发展新阶段，聚焦降低市场主体成本、赋能产业发展、保障民生需求，为土地利用管理工作提供清晰的规则指引，推动土地资源高效配置，为深圳高质量发展提供坚实的要素保障。</w:t>
      </w:r>
    </w:p>
    <w:p>
      <w:pPr>
        <w:spacing w:line="580" w:lineRule="exact"/>
        <w:ind w:firstLine="645"/>
        <w:outlineLvl w:val="9"/>
      </w:pPr>
      <w:r>
        <w:rPr>
          <w:rFonts w:hint="eastAsia" w:ascii="仿宋_GB2312" w:hAnsi="仿宋" w:eastAsia="仿宋_GB2312"/>
          <w:sz w:val="32"/>
          <w:szCs w:val="32"/>
        </w:rPr>
        <w:t>特此说明。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8A6725"/>
    <w:rsid w:val="04133956"/>
    <w:rsid w:val="04B073F7"/>
    <w:rsid w:val="084A1910"/>
    <w:rsid w:val="08D33112"/>
    <w:rsid w:val="097D358F"/>
    <w:rsid w:val="1954439D"/>
    <w:rsid w:val="1F607885"/>
    <w:rsid w:val="206C46C2"/>
    <w:rsid w:val="208A6725"/>
    <w:rsid w:val="220E3C6C"/>
    <w:rsid w:val="23E66539"/>
    <w:rsid w:val="2B2D63A8"/>
    <w:rsid w:val="2BC532A2"/>
    <w:rsid w:val="306453B6"/>
    <w:rsid w:val="32F56799"/>
    <w:rsid w:val="37306998"/>
    <w:rsid w:val="3B950B19"/>
    <w:rsid w:val="3DCB3C88"/>
    <w:rsid w:val="42C54B0D"/>
    <w:rsid w:val="48391F39"/>
    <w:rsid w:val="48BD40E6"/>
    <w:rsid w:val="4A6849A5"/>
    <w:rsid w:val="4A8423CD"/>
    <w:rsid w:val="4C404189"/>
    <w:rsid w:val="4F824D7E"/>
    <w:rsid w:val="540463E4"/>
    <w:rsid w:val="553C395C"/>
    <w:rsid w:val="591F7797"/>
    <w:rsid w:val="5E9860A7"/>
    <w:rsid w:val="62CB5A6E"/>
    <w:rsid w:val="6BEC7A32"/>
    <w:rsid w:val="6D174C7A"/>
    <w:rsid w:val="708239E7"/>
    <w:rsid w:val="759E0133"/>
    <w:rsid w:val="75F61BD9"/>
    <w:rsid w:val="78A76A20"/>
    <w:rsid w:val="7FCFF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2804</Words>
  <Characters>2829</Characters>
  <Lines>0</Lines>
  <Paragraphs>0</Paragraphs>
  <TotalTime>4</TotalTime>
  <ScaleCrop>false</ScaleCrop>
  <LinksUpToDate>false</LinksUpToDate>
  <CharactersWithSpaces>2829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2026-05-18T15:33:00Z</dcterms:created>
  <dc:creator>竹</dc:creator>
  <cp:lastModifiedBy>caizi</cp:lastModifiedBy>
  <dcterms:modified xsi:type="dcterms:W3CDTF">2026-07-07T17:56:04Z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8B2CF7A154EC880034CD4C6A35431CF1</vt:lpwstr>
  </property>
  <property fmtid="{D5CDD505-2E9C-101B-9397-08002B2CF9AE}" pid="4" name="KSOTemplateDocerSaveRecord">
    <vt:lpwstr>eyJoZGlkIjoiMWU5NDMyM2M4NTg4OTg0ZmUzMTBiMzFmY2YwMzRhNGUiLCJ1c2VySWQiOiIzNzg0ODI3OTMifQ==</vt:lpwstr>
  </property>
</Properties>
</file>