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_GBK" w:hAnsi="方正小标宋_GBK" w:eastAsia="方正小标宋_GBK" w:cs="方正小标宋_GBK"/>
          <w:b w:val="0"/>
          <w:bCs/>
          <w:kern w:val="0"/>
          <w:sz w:val="44"/>
          <w:szCs w:val="32"/>
        </w:rPr>
      </w:pPr>
      <w:bookmarkStart w:id="50" w:name="_GoBack"/>
      <w:r>
        <w:rPr>
          <w:rFonts w:hint="eastAsia" w:ascii="方正小标宋_GBK" w:hAnsi="方正小标宋_GBK" w:eastAsia="方正小标宋_GBK" w:cs="方正小标宋_GBK"/>
          <w:b w:val="0"/>
          <w:bCs/>
          <w:kern w:val="0"/>
          <w:sz w:val="44"/>
          <w:szCs w:val="32"/>
        </w:rPr>
        <w:t>深圳市地价管理办法</w:t>
      </w:r>
    </w:p>
    <w:p>
      <w:pPr>
        <w:spacing w:line="560" w:lineRule="exact"/>
        <w:jc w:val="center"/>
        <w:rPr>
          <w:rFonts w:hint="eastAsia" w:ascii="仿宋" w:hAnsi="仿宋" w:eastAsia="仿宋" w:cs="宋体"/>
          <w:b w:val="0"/>
          <w:bCs w:val="0"/>
          <w:kern w:val="0"/>
          <w:sz w:val="32"/>
          <w:szCs w:val="32"/>
        </w:rPr>
      </w:pPr>
      <w:r>
        <w:rPr>
          <w:rFonts w:hint="eastAsia" w:ascii="仿宋" w:hAnsi="仿宋" w:eastAsia="仿宋" w:cs="宋体"/>
          <w:b w:val="0"/>
          <w:bCs w:val="0"/>
          <w:kern w:val="0"/>
          <w:sz w:val="32"/>
          <w:szCs w:val="32"/>
        </w:rPr>
        <w:t>（</w:t>
      </w:r>
      <w:r>
        <w:rPr>
          <w:rFonts w:hint="eastAsia" w:ascii="仿宋" w:hAnsi="仿宋" w:eastAsia="仿宋" w:cs="宋体"/>
          <w:b w:val="0"/>
          <w:bCs w:val="0"/>
          <w:kern w:val="0"/>
          <w:sz w:val="32"/>
          <w:szCs w:val="32"/>
          <w:lang w:eastAsia="zh-CN"/>
        </w:rPr>
        <w:t>修订征求意见稿</w:t>
      </w:r>
      <w:r>
        <w:rPr>
          <w:rFonts w:hint="eastAsia" w:ascii="仿宋" w:hAnsi="仿宋" w:eastAsia="仿宋" w:cs="宋体"/>
          <w:b w:val="0"/>
          <w:bCs w:val="0"/>
          <w:kern w:val="0"/>
          <w:sz w:val="32"/>
          <w:szCs w:val="32"/>
        </w:rPr>
        <w:t>）</w:t>
      </w:r>
      <w:bookmarkEnd w:id="50"/>
    </w:p>
    <w:p>
      <w:pPr>
        <w:spacing w:line="560" w:lineRule="exact"/>
        <w:jc w:val="center"/>
        <w:outlineLvl w:val="0"/>
        <w:rPr>
          <w:rFonts w:hint="eastAsia" w:ascii="方正黑体_GBK" w:hAnsi="方正黑体_GBK" w:eastAsia="方正黑体_GBK" w:cs="方正黑体_GBK"/>
          <w:sz w:val="32"/>
          <w:szCs w:val="32"/>
        </w:rPr>
      </w:pPr>
    </w:p>
    <w:p>
      <w:pPr>
        <w:spacing w:line="560" w:lineRule="exact"/>
        <w:jc w:val="center"/>
        <w:outlineLvl w:val="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第一章 通 则</w:t>
      </w:r>
    </w:p>
    <w:p>
      <w:pPr>
        <w:spacing w:line="560" w:lineRule="exact"/>
        <w:ind w:firstLineChars="200"/>
        <w:rPr>
          <w:rFonts w:hint="eastAsia" w:ascii="仿宋" w:hAnsi="仿宋" w:eastAsia="仿宋" w:cs="宋体"/>
          <w:kern w:val="0"/>
          <w:sz w:val="32"/>
          <w:szCs w:val="32"/>
        </w:rPr>
      </w:pPr>
      <w:r>
        <w:rPr>
          <w:rFonts w:hint="eastAsia" w:ascii="方正黑体_GBK" w:hAnsi="方正黑体_GBK" w:eastAsia="方正黑体_GBK" w:cs="方正黑体_GBK"/>
          <w:sz w:val="32"/>
          <w:szCs w:val="32"/>
        </w:rPr>
        <w:t>第一条 【目的】</w:t>
      </w:r>
      <w:r>
        <w:rPr>
          <w:rFonts w:hint="eastAsia" w:ascii="仿宋" w:hAnsi="仿宋" w:eastAsia="仿宋" w:cs="宋体"/>
          <w:kern w:val="0"/>
          <w:sz w:val="32"/>
          <w:szCs w:val="32"/>
        </w:rPr>
        <w:t>为贯</w:t>
      </w:r>
      <w:bookmarkStart w:id="0" w:name="OLE_LINK16"/>
      <w:bookmarkStart w:id="1" w:name="OLE_LINK15"/>
      <w:r>
        <w:rPr>
          <w:rFonts w:hint="eastAsia" w:ascii="仿宋" w:hAnsi="仿宋" w:eastAsia="仿宋" w:cs="宋体"/>
          <w:kern w:val="0"/>
          <w:sz w:val="32"/>
          <w:szCs w:val="32"/>
        </w:rPr>
        <w:t>彻落</w:t>
      </w:r>
      <w:bookmarkEnd w:id="0"/>
      <w:bookmarkEnd w:id="1"/>
      <w:r>
        <w:rPr>
          <w:rFonts w:hint="eastAsia" w:ascii="仿宋" w:hAnsi="仿宋" w:eastAsia="仿宋" w:cs="宋体"/>
          <w:kern w:val="0"/>
          <w:sz w:val="32"/>
          <w:szCs w:val="32"/>
        </w:rPr>
        <w:t>实国有土地有</w:t>
      </w:r>
      <w:bookmarkStart w:id="2" w:name="OLE_LINK18"/>
      <w:bookmarkStart w:id="3" w:name="OLE_LINK17"/>
      <w:r>
        <w:rPr>
          <w:rFonts w:hint="eastAsia" w:ascii="仿宋" w:hAnsi="仿宋" w:eastAsia="仿宋" w:cs="宋体"/>
          <w:kern w:val="0"/>
          <w:sz w:val="32"/>
          <w:szCs w:val="32"/>
        </w:rPr>
        <w:t>偿使用</w:t>
      </w:r>
      <w:bookmarkEnd w:id="2"/>
      <w:bookmarkEnd w:id="3"/>
      <w:r>
        <w:rPr>
          <w:rFonts w:hint="eastAsia" w:ascii="仿宋" w:hAnsi="仿宋" w:eastAsia="仿宋" w:cs="宋体"/>
          <w:kern w:val="0"/>
          <w:sz w:val="32"/>
          <w:szCs w:val="32"/>
        </w:rPr>
        <w:t>制度，建立全国统一大市场，优化要素市场化配置，规范我市地价管理工作，根据有关法律、法规、规章和行业标准，结合深圳实际，制定本办法。</w:t>
      </w:r>
    </w:p>
    <w:p>
      <w:pPr>
        <w:spacing w:line="560" w:lineRule="exact"/>
        <w:ind w:firstLineChars="200"/>
        <w:rPr>
          <w:rFonts w:hint="eastAsia" w:ascii="仿宋" w:hAnsi="仿宋" w:eastAsia="仿宋" w:cs="宋体"/>
          <w:kern w:val="0"/>
          <w:sz w:val="32"/>
          <w:szCs w:val="32"/>
        </w:rPr>
      </w:pPr>
      <w:r>
        <w:rPr>
          <w:rFonts w:hint="eastAsia" w:ascii="方正黑体_GBK" w:hAnsi="方正黑体_GBK" w:eastAsia="方正黑体_GBK" w:cs="方正黑体_GBK"/>
          <w:sz w:val="32"/>
          <w:szCs w:val="32"/>
        </w:rPr>
        <w:t>第二条 【适用范围】</w:t>
      </w:r>
      <w:r>
        <w:rPr>
          <w:rFonts w:hint="eastAsia" w:ascii="仿宋" w:hAnsi="仿宋" w:eastAsia="仿宋" w:cs="宋体"/>
          <w:kern w:val="0"/>
          <w:sz w:val="32"/>
          <w:szCs w:val="32"/>
        </w:rPr>
        <w:t>本办法适用于</w:t>
      </w:r>
      <w:bookmarkStart w:id="4" w:name="OLE_LINK28"/>
      <w:bookmarkStart w:id="5" w:name="OLE_LINK29"/>
      <w:r>
        <w:rPr>
          <w:rFonts w:hint="eastAsia" w:ascii="仿宋" w:hAnsi="仿宋" w:eastAsia="仿宋" w:cs="宋体"/>
          <w:kern w:val="0"/>
          <w:sz w:val="32"/>
          <w:szCs w:val="32"/>
        </w:rPr>
        <w:t>我市行政区域范围内供应</w:t>
      </w:r>
      <w:bookmarkEnd w:id="4"/>
      <w:bookmarkEnd w:id="5"/>
      <w:r>
        <w:rPr>
          <w:rFonts w:hint="eastAsia" w:ascii="仿宋" w:hAnsi="仿宋" w:eastAsia="仿宋" w:cs="宋体"/>
          <w:kern w:val="0"/>
          <w:sz w:val="32"/>
          <w:szCs w:val="32"/>
        </w:rPr>
        <w:t>建设用地使用权价格及租金（以下简称地价）的确定。</w:t>
      </w:r>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sz w:val="32"/>
          <w:szCs w:val="32"/>
        </w:rPr>
        <w:t>第三条 【土地有偿使用原则】</w:t>
      </w:r>
      <w:r>
        <w:rPr>
          <w:rFonts w:hint="eastAsia" w:ascii="仿宋" w:hAnsi="仿宋" w:eastAsia="仿宋" w:cs="仿宋"/>
          <w:sz w:val="32"/>
          <w:szCs w:val="32"/>
        </w:rPr>
        <w:t>以划拨方式供应的土地不计收地价。</w:t>
      </w:r>
    </w:p>
    <w:p>
      <w:pPr>
        <w:spacing w:line="560" w:lineRule="exact"/>
        <w:ind w:firstLine="640" w:firstLineChars="200"/>
        <w:rPr>
          <w:rFonts w:hint="eastAsia" w:ascii="仿宋" w:hAnsi="仿宋" w:eastAsia="仿宋" w:cs="仿宋"/>
          <w:sz w:val="32"/>
          <w:szCs w:val="32"/>
          <w:highlight w:val="yellow"/>
        </w:rPr>
      </w:pPr>
      <w:r>
        <w:rPr>
          <w:rFonts w:hint="eastAsia" w:ascii="仿宋" w:hAnsi="仿宋" w:eastAsia="仿宋" w:cs="仿宋"/>
          <w:sz w:val="32"/>
          <w:szCs w:val="32"/>
        </w:rPr>
        <w:t>以出让、租赁方式供应（含划拨转为出让、租赁）的土地，应当根据土地市场价格及本办法计收地价。产权归政府的建筑面积不计收地价，短期租赁和临时使用土地除外。</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以作价出资（入股）方式供应的土地，应当根据土地市场价格及本办法确定作价出资（入股）金额</w:t>
      </w:r>
      <w:bookmarkStart w:id="6" w:name="OLE_LINK5"/>
      <w:bookmarkStart w:id="7" w:name="OLE_LINK8"/>
      <w:r>
        <w:rPr>
          <w:rFonts w:hint="eastAsia" w:ascii="仿宋" w:hAnsi="仿宋" w:eastAsia="仿宋" w:cs="仿宋"/>
          <w:sz w:val="32"/>
          <w:szCs w:val="32"/>
        </w:rPr>
        <w:t>，其中产权归政府的建筑面积不计作价出资（入股）金额。</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配售型保障性住房及配套设施按国家及我市有关规定收取土地取得成本。</w:t>
      </w:r>
    </w:p>
    <w:bookmarkEnd w:id="6"/>
    <w:bookmarkEnd w:id="7"/>
    <w:p>
      <w:pPr>
        <w:spacing w:line="560" w:lineRule="exact"/>
        <w:ind w:firstLineChars="200"/>
        <w:rPr>
          <w:rFonts w:hint="eastAsia" w:ascii="仿宋" w:hAnsi="仿宋" w:eastAsia="仿宋" w:cs="仿宋"/>
          <w:color w:val="000000" w:themeColor="text1"/>
          <w:sz w:val="32"/>
          <w:szCs w:val="32"/>
          <w14:textFill>
            <w14:solidFill>
              <w14:schemeClr w14:val="tx1"/>
            </w14:solidFill>
          </w14:textFill>
        </w:rPr>
      </w:pPr>
      <w:r>
        <w:rPr>
          <w:rFonts w:hint="eastAsia" w:ascii="方正黑体_GBK" w:hAnsi="方正黑体_GBK" w:eastAsia="方正黑体_GBK" w:cs="方正黑体_GBK"/>
          <w:sz w:val="32"/>
          <w:szCs w:val="32"/>
        </w:rPr>
        <w:t>第四条 【土地市场价格定义】</w:t>
      </w:r>
      <w:r>
        <w:rPr>
          <w:rFonts w:hint="eastAsia" w:ascii="仿宋" w:hAnsi="仿宋" w:eastAsia="仿宋" w:cs="仿宋"/>
          <w:sz w:val="32"/>
          <w:szCs w:val="32"/>
        </w:rPr>
        <w:t>土地市场价格由市规划和自然资源部门组织市非营利性评估机构评估确定。市非营利性评估机构根据土地的区位条件、市场变化等因素，采用标定地价系数修正法和剩余法（整体估价），分别评估住宅、商业、办公、工业、新型产业、酒店、公共管理与服务设施、公用设施等用途的土地市场价格，</w:t>
      </w:r>
      <w:r>
        <w:rPr>
          <w:rFonts w:hint="eastAsia" w:ascii="仿宋" w:hAnsi="仿宋" w:eastAsia="仿宋" w:cs="仿宋"/>
          <w:color w:val="000000" w:themeColor="text1"/>
          <w:sz w:val="32"/>
          <w:szCs w:val="32"/>
          <w14:textFill>
            <w14:solidFill>
              <w14:schemeClr w14:val="tx1"/>
            </w14:solidFill>
          </w14:textFill>
        </w:rPr>
        <w:t>标定地价系数修正法和剩余法（整体估价）的权重分别为70%和30%。</w:t>
      </w:r>
    </w:p>
    <w:p>
      <w:pPr>
        <w:spacing w:line="560" w:lineRule="exact"/>
        <w:ind w:firstLine="640" w:firstLineChars="200"/>
        <w:rPr>
          <w:rFonts w:hint="eastAsia" w:ascii="仿宋" w:hAnsi="仿宋" w:eastAsia="仿宋" w:cs="仿宋"/>
          <w:sz w:val="32"/>
          <w:szCs w:val="32"/>
        </w:rPr>
      </w:pPr>
      <w:r>
        <w:rPr>
          <w:rFonts w:hint="eastAsia" w:ascii="方正黑体_GBK" w:hAnsi="方正黑体_GBK" w:eastAsia="方正黑体_GBK" w:cs="方正黑体_GBK"/>
          <w:sz w:val="32"/>
          <w:szCs w:val="32"/>
          <w:lang w:eastAsia="zh-CN"/>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lang w:eastAsia="zh-CN"/>
        </w:rPr>
        <w:t>条</w:t>
      </w:r>
      <w:r>
        <w:rPr>
          <w:rFonts w:hint="eastAsia" w:ascii="方正黑体_GBK" w:hAnsi="方正黑体_GBK" w:eastAsia="方正黑体_GBK" w:cs="方正黑体_GBK"/>
          <w:sz w:val="32"/>
          <w:szCs w:val="32"/>
        </w:rPr>
        <w:t xml:space="preserve"> 【地价测算】</w:t>
      </w:r>
      <w:r>
        <w:rPr>
          <w:rFonts w:hint="eastAsia" w:ascii="仿宋" w:hAnsi="仿宋" w:eastAsia="仿宋" w:cs="宋体"/>
          <w:kern w:val="0"/>
          <w:sz w:val="32"/>
          <w:szCs w:val="32"/>
        </w:rPr>
        <w:t>我市地价测算以宗地为单位，以建筑面积为计算基数，在土地市场价格的基础上，综合适用基础修正系数和项目修正系数，按照宗地内不同用途建筑面积分别测算后合计。</w:t>
      </w:r>
    </w:p>
    <w:p>
      <w:pPr>
        <w:spacing w:line="560" w:lineRule="exact"/>
        <w:ind w:firstLineChars="200"/>
        <w:rPr>
          <w:rFonts w:hint="eastAsia" w:ascii="仿宋" w:hAnsi="仿宋" w:eastAsia="仿宋" w:cs="宋体"/>
          <w:kern w:val="0"/>
          <w:sz w:val="32"/>
          <w:szCs w:val="32"/>
        </w:rPr>
      </w:pPr>
      <w:r>
        <w:rPr>
          <w:rFonts w:hint="eastAsia" w:ascii="方正黑体_GBK" w:hAnsi="方正黑体_GBK" w:eastAsia="方正黑体_GBK" w:cs="方正黑体_GBK"/>
          <w:sz w:val="32"/>
          <w:szCs w:val="32"/>
        </w:rPr>
        <w:t>第六条 【地价测算时点】</w:t>
      </w:r>
      <w:r>
        <w:rPr>
          <w:rFonts w:hint="eastAsia" w:ascii="仿宋" w:hAnsi="仿宋" w:eastAsia="仿宋" w:cs="宋体"/>
          <w:kern w:val="0"/>
          <w:sz w:val="32"/>
          <w:szCs w:val="32"/>
        </w:rPr>
        <w:t>地价测算时点按以下规则确定：</w:t>
      </w:r>
    </w:p>
    <w:p>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（一）以招拍挂方式供应土地的，按市规划和自然资源部门或其派出机构（以下简称主管部门）编制供应方案的时点确定。</w:t>
      </w:r>
    </w:p>
    <w:p>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（二）以协议方式供应土地的，按主管部门受理签订建设用地使用权供应合同（以下简称供应合同）申请的时点确定。</w:t>
      </w:r>
    </w:p>
    <w:p>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（三）以作价出资（入股）方式供应土地的，按主管部门编制作价出资（入股）方案的时点确定。</w:t>
      </w:r>
    </w:p>
    <w:p>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（四）土地供应后经批</w:t>
      </w:r>
      <w:bookmarkStart w:id="8" w:name="OLE_LINK19"/>
      <w:r>
        <w:rPr>
          <w:rFonts w:hint="eastAsia" w:ascii="仿宋" w:hAnsi="仿宋" w:eastAsia="仿宋" w:cs="宋体"/>
          <w:kern w:val="0"/>
          <w:sz w:val="32"/>
          <w:szCs w:val="32"/>
        </w:rPr>
        <w:t>准调整</w:t>
      </w:r>
      <w:bookmarkEnd w:id="8"/>
      <w:r>
        <w:rPr>
          <w:rFonts w:hint="eastAsia" w:ascii="仿宋" w:hAnsi="仿宋" w:eastAsia="仿宋" w:cs="宋体"/>
          <w:kern w:val="0"/>
          <w:sz w:val="32"/>
          <w:szCs w:val="32"/>
        </w:rPr>
        <w:t>土地利用条件的，按主管部门受理供应合同变更申请的时点确定。</w:t>
      </w:r>
    </w:p>
    <w:p>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土地整备及其他相关协议另有约定的，从其约定。</w:t>
      </w:r>
    </w:p>
    <w:p>
      <w:pPr>
        <w:spacing w:line="560" w:lineRule="exact"/>
        <w:jc w:val="center"/>
        <w:outlineLvl w:val="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 xml:space="preserve">章 </w:t>
      </w:r>
      <w:r>
        <w:rPr>
          <w:rFonts w:hint="eastAsia" w:ascii="方正黑体_GBK" w:hAnsi="方正黑体_GBK" w:eastAsia="方正黑体_GBK" w:cs="方正黑体_GBK"/>
          <w:sz w:val="32"/>
          <w:szCs w:val="32"/>
          <w:lang w:val="en-US" w:eastAsia="zh-CN"/>
        </w:rPr>
        <w:t>新出让</w:t>
      </w:r>
    </w:p>
    <w:p>
      <w:pPr>
        <w:spacing w:line="560" w:lineRule="exact"/>
        <w:ind w:firstLineChars="200"/>
        <w:rPr>
          <w:rFonts w:hint="eastAsia" w:ascii="仿宋" w:hAnsi="仿宋" w:eastAsia="仿宋" w:cs="仿宋"/>
          <w:color w:val="000000" w:themeColor="text1"/>
          <w:sz w:val="32"/>
          <w:szCs w:val="32"/>
          <w14:textFill>
            <w14:solidFill>
              <w14:schemeClr w14:val="tx1"/>
            </w14:solidFill>
          </w14:textFill>
        </w:rPr>
      </w:pPr>
      <w:r>
        <w:rPr>
          <w:rFonts w:hint="eastAsia" w:ascii="方正黑体_GBK" w:hAnsi="方正黑体_GBK" w:eastAsia="方正黑体_GBK" w:cs="方正黑体_GBK"/>
          <w:sz w:val="32"/>
          <w:szCs w:val="32"/>
        </w:rPr>
        <w:t>第七条 【</w:t>
      </w:r>
      <w:r>
        <w:rPr>
          <w:rFonts w:hint="eastAsia" w:ascii="方正黑体_GBK" w:hAnsi="方正黑体_GBK" w:eastAsia="方正黑体_GBK" w:cs="方正黑体_GBK"/>
          <w:sz w:val="32"/>
          <w:szCs w:val="32"/>
          <w:lang w:val="en-US" w:eastAsia="zh-CN"/>
        </w:rPr>
        <w:t>新出让地价测算公式</w:t>
      </w:r>
      <w:r>
        <w:rPr>
          <w:rFonts w:hint="eastAsia" w:ascii="方正黑体_GBK" w:hAnsi="方正黑体_GBK" w:eastAsia="方正黑体_GBK" w:cs="方正黑体_GBK"/>
          <w:sz w:val="32"/>
          <w:szCs w:val="32"/>
        </w:rPr>
        <w:t>】</w:t>
      </w:r>
      <w:r>
        <w:rPr>
          <w:rFonts w:hint="eastAsia" w:ascii="仿宋" w:hAnsi="仿宋" w:eastAsia="仿宋" w:cs="仿宋"/>
          <w:color w:val="auto"/>
          <w:sz w:val="32"/>
          <w:szCs w:val="32"/>
          <w:lang w:val="en-US" w:eastAsia="zh-CN"/>
        </w:rPr>
        <w:t>新供应土地地价</w:t>
      </w:r>
      <w:r>
        <w:rPr>
          <w:rFonts w:hint="eastAsia" w:ascii="仿宋" w:hAnsi="仿宋" w:eastAsia="仿宋" w:cs="仿宋"/>
          <w:color w:val="auto"/>
          <w:sz w:val="32"/>
          <w:szCs w:val="32"/>
        </w:rPr>
        <w:t>测算公式</w:t>
      </w:r>
      <w:r>
        <w:rPr>
          <w:rFonts w:hint="eastAsia" w:ascii="仿宋" w:hAnsi="仿宋" w:eastAsia="仿宋" w:cs="仿宋"/>
          <w:color w:val="000000" w:themeColor="text1"/>
          <w:sz w:val="32"/>
          <w:szCs w:val="32"/>
          <w14:textFill>
            <w14:solidFill>
              <w14:schemeClr w14:val="tx1"/>
            </w14:solidFill>
          </w14:textFill>
        </w:rPr>
        <w:t>如下：</w:t>
      </w:r>
    </w:p>
    <w:p>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宗地地价＝∑（土地市场价格×对应建筑面积×基础修正系数×项目修正系数）。</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color w:val="auto"/>
          <w:sz w:val="32"/>
          <w:szCs w:val="32"/>
        </w:rPr>
        <w:t>基础修正系数包括建筑类型、保障性住房类型、土地使用年期、产权条件、产业项目类型、地上商业楼层、地下空间修正系数。项目修正系数包括</w:t>
      </w:r>
      <w:r>
        <w:rPr>
          <w:rFonts w:hint="eastAsia" w:ascii="仿宋" w:hAnsi="仿宋" w:eastAsia="仿宋" w:cs="仿宋"/>
          <w:color w:val="auto"/>
          <w:sz w:val="32"/>
          <w:szCs w:val="32"/>
          <w:highlight w:val="none"/>
        </w:rPr>
        <w:t>原农村集体经济组织留用土地项目（包括非农建设用地、征地返还用地、土地整备留用土地及置换用地，以下简称留用土地）</w:t>
      </w:r>
      <w:r>
        <w:rPr>
          <w:rFonts w:hint="eastAsia" w:ascii="仿宋" w:hAnsi="仿宋" w:eastAsia="仿宋" w:cs="仿宋"/>
          <w:color w:val="auto"/>
          <w:sz w:val="32"/>
          <w:szCs w:val="32"/>
        </w:rPr>
        <w:t>、拆除重建类城市更新项目修正系数。</w:t>
      </w:r>
      <w:r>
        <w:rPr>
          <w:rFonts w:hint="eastAsia" w:ascii="仿宋" w:hAnsi="仿宋" w:eastAsia="仿宋" w:cs="仿宋"/>
          <w:sz w:val="32"/>
          <w:szCs w:val="32"/>
        </w:rPr>
        <w:t>基础修正系数和项目修正系数取值按照附</w:t>
      </w:r>
      <w:r>
        <w:rPr>
          <w:rFonts w:hint="eastAsia" w:ascii="仿宋" w:hAnsi="仿宋" w:eastAsia="仿宋" w:cs="仿宋"/>
          <w:color w:val="auto"/>
          <w:sz w:val="32"/>
          <w:szCs w:val="32"/>
        </w:rPr>
        <w:t>表1至附表</w:t>
      </w:r>
      <w:r>
        <w:rPr>
          <w:rFonts w:ascii="仿宋" w:hAnsi="仿宋" w:eastAsia="仿宋" w:cs="仿宋"/>
          <w:color w:val="auto"/>
          <w:sz w:val="32"/>
          <w:szCs w:val="32"/>
        </w:rPr>
        <w:t>8</w:t>
      </w:r>
      <w:r>
        <w:rPr>
          <w:rFonts w:hint="eastAsia" w:ascii="仿宋" w:hAnsi="仿宋" w:eastAsia="仿宋" w:cs="仿宋"/>
          <w:color w:val="auto"/>
          <w:sz w:val="32"/>
          <w:szCs w:val="32"/>
        </w:rPr>
        <w:t>执行，</w:t>
      </w:r>
      <w:r>
        <w:rPr>
          <w:rFonts w:hint="eastAsia" w:ascii="仿宋" w:hAnsi="仿宋" w:eastAsia="仿宋" w:cs="仿宋"/>
          <w:sz w:val="32"/>
          <w:szCs w:val="32"/>
        </w:rPr>
        <w:t>不同的基础修正系数之间为连乘关系。</w:t>
      </w:r>
    </w:p>
    <w:p>
      <w:pPr>
        <w:spacing w:line="560" w:lineRule="exact"/>
        <w:ind w:firstLineChars="200"/>
        <w:rPr>
          <w:rFonts w:hint="eastAsia" w:ascii="仿宋" w:hAnsi="仿宋" w:eastAsia="仿宋" w:cs="宋体"/>
          <w:kern w:val="0"/>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【工业用地最低价】</w:t>
      </w:r>
      <w:r>
        <w:rPr>
          <w:rFonts w:hint="eastAsia" w:ascii="仿宋" w:hAnsi="仿宋" w:eastAsia="仿宋" w:cs="宋体"/>
          <w:kern w:val="0"/>
          <w:sz w:val="32"/>
          <w:szCs w:val="32"/>
        </w:rPr>
        <w:t>以招拍挂、协议、作价出资、租赁等各种方式供应的新出让工业用地，供应价格底价不得低于片区平均土地取得成本。</w:t>
      </w:r>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color w:val="000000" w:themeColor="text1"/>
          <w:sz w:val="32"/>
          <w:szCs w:val="32"/>
          <w14:textFill>
            <w14:solidFill>
              <w14:schemeClr w14:val="tx1"/>
            </w14:solidFill>
          </w14:textFill>
        </w:rPr>
        <w:t>第</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九</w:t>
      </w:r>
      <w:r>
        <w:rPr>
          <w:rFonts w:hint="eastAsia" w:ascii="方正黑体_GBK" w:hAnsi="方正黑体_GBK" w:eastAsia="方正黑体_GBK" w:cs="方正黑体_GBK"/>
          <w:color w:val="000000" w:themeColor="text1"/>
          <w:sz w:val="32"/>
          <w:szCs w:val="32"/>
          <w14:textFill>
            <w14:solidFill>
              <w14:schemeClr w14:val="tx1"/>
            </w14:solidFill>
          </w14:textFill>
        </w:rPr>
        <w:t>条 【</w:t>
      </w:r>
      <w:bookmarkStart w:id="9" w:name="OLE_LINK36"/>
      <w:bookmarkStart w:id="10" w:name="OLE_LINK35"/>
      <w:r>
        <w:rPr>
          <w:rFonts w:hint="eastAsia" w:ascii="方正黑体_GBK" w:hAnsi="方正黑体_GBK" w:eastAsia="方正黑体_GBK" w:cs="方正黑体_GBK"/>
          <w:color w:val="000000" w:themeColor="text1"/>
          <w:sz w:val="32"/>
          <w:szCs w:val="32"/>
          <w14:textFill>
            <w14:solidFill>
              <w14:schemeClr w14:val="tx1"/>
            </w14:solidFill>
          </w14:textFill>
        </w:rPr>
        <w:t>产业发展类地价标准</w:t>
      </w:r>
      <w:bookmarkEnd w:id="9"/>
      <w:bookmarkEnd w:id="10"/>
      <w:r>
        <w:rPr>
          <w:rFonts w:hint="eastAsia" w:ascii="方正黑体_GBK" w:hAnsi="方正黑体_GBK" w:eastAsia="方正黑体_GBK" w:cs="方正黑体_GBK"/>
          <w:color w:val="000000" w:themeColor="text1"/>
          <w:sz w:val="32"/>
          <w:szCs w:val="32"/>
          <w14:textFill>
            <w14:solidFill>
              <w14:schemeClr w14:val="tx1"/>
            </w14:solidFill>
          </w14:textFill>
        </w:rPr>
        <w:t>】</w:t>
      </w:r>
      <w:bookmarkStart w:id="11" w:name="OLE_LINK23"/>
      <w:r>
        <w:rPr>
          <w:rFonts w:hint="eastAsia" w:ascii="仿宋" w:hAnsi="仿宋" w:eastAsia="仿宋" w:cs="仿宋"/>
          <w:sz w:val="32"/>
          <w:szCs w:val="32"/>
        </w:rPr>
        <w:t>地价测算时，产业用地属于战略性新兴产业（新一代信息技术、高端装备制造、绿色低碳、生物医药、数字经济、新材料、海洋经济等及市产业部门认定的需要重点扶持的其他类型）、优势传统产业、生产性现代服务业的适用产业发展类地价标准。其中，产业发展类厂房、仓库适用产业发展类工业地价标准，产业发展类研发用房、物流建筑适用产业发展类新型产业地价标准，其余配套建筑可适用0</w:t>
      </w:r>
      <w:r>
        <w:rPr>
          <w:rFonts w:ascii="仿宋" w:hAnsi="仿宋" w:eastAsia="仿宋" w:cs="仿宋"/>
          <w:sz w:val="32"/>
          <w:szCs w:val="32"/>
        </w:rPr>
        <w:t>.5</w:t>
      </w:r>
      <w:r>
        <w:rPr>
          <w:rFonts w:hint="eastAsia" w:ascii="仿宋" w:hAnsi="仿宋" w:eastAsia="仿宋" w:cs="仿宋"/>
          <w:sz w:val="32"/>
          <w:szCs w:val="32"/>
        </w:rPr>
        <w:t>的修正系数，但商业、宿舍型保障性租赁住房以及已适用产业发展类价格标准的建筑面积除外。</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本条规定</w:t>
      </w:r>
      <w:r>
        <w:rPr>
          <w:rFonts w:ascii="仿宋" w:hAnsi="仿宋" w:eastAsia="仿宋" w:cs="仿宋"/>
          <w:sz w:val="32"/>
          <w:szCs w:val="32"/>
        </w:rPr>
        <w:t>不适用</w:t>
      </w:r>
      <w:r>
        <w:rPr>
          <w:rFonts w:hint="eastAsia" w:ascii="仿宋" w:hAnsi="仿宋" w:eastAsia="仿宋" w:cs="仿宋"/>
          <w:sz w:val="32"/>
          <w:szCs w:val="32"/>
        </w:rPr>
        <w:t>于</w:t>
      </w:r>
      <w:r>
        <w:rPr>
          <w:rFonts w:ascii="仿宋" w:hAnsi="仿宋" w:eastAsia="仿宋" w:cs="仿宋"/>
          <w:sz w:val="32"/>
          <w:szCs w:val="32"/>
        </w:rPr>
        <w:t>城市更新项目、留用土地项目。</w:t>
      </w:r>
    </w:p>
    <w:bookmarkEnd w:id="11"/>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十</w:t>
      </w:r>
      <w:r>
        <w:rPr>
          <w:rFonts w:hint="eastAsia" w:ascii="方正黑体_GBK" w:hAnsi="方正黑体_GBK" w:eastAsia="方正黑体_GBK" w:cs="方正黑体_GBK"/>
          <w:sz w:val="32"/>
          <w:szCs w:val="32"/>
        </w:rPr>
        <w:t>条 【产业用地弹性年期地价规定】</w:t>
      </w:r>
      <w:bookmarkStart w:id="12" w:name="OLE_LINK12"/>
      <w:bookmarkStart w:id="13" w:name="OLE_LINK13"/>
      <w:r>
        <w:rPr>
          <w:rFonts w:hint="eastAsia" w:ascii="仿宋" w:hAnsi="仿宋" w:eastAsia="仿宋" w:cs="仿宋"/>
          <w:sz w:val="32"/>
          <w:szCs w:val="32"/>
        </w:rPr>
        <w:t>出让年期（或土地剩余年期）不超过30年的</w:t>
      </w:r>
      <w:bookmarkEnd w:id="12"/>
      <w:bookmarkEnd w:id="13"/>
      <w:r>
        <w:rPr>
          <w:rFonts w:hint="eastAsia" w:ascii="仿宋" w:hAnsi="仿宋" w:eastAsia="仿宋" w:cs="仿宋"/>
          <w:sz w:val="32"/>
          <w:szCs w:val="32"/>
        </w:rPr>
        <w:t>产业用地，其厂房、仓库的地价按出让年期（或土地剩余年期）与工业用地地价标准年期的比值进行年期修正。</w:t>
      </w:r>
    </w:p>
    <w:p>
      <w:pPr>
        <w:spacing w:line="560" w:lineRule="exact"/>
        <w:ind w:firstLineChars="200"/>
        <w:rPr>
          <w:rFonts w:hint="eastAsia" w:ascii="仿宋" w:hAnsi="仿宋" w:eastAsia="仿宋" w:cs="宋体"/>
          <w:kern w:val="0"/>
          <w:sz w:val="32"/>
          <w:szCs w:val="32"/>
        </w:rPr>
      </w:pPr>
      <w:r>
        <w:rPr>
          <w:rFonts w:hint="eastAsia" w:ascii="方正黑体_GBK" w:hAnsi="方正黑体_GBK" w:eastAsia="方正黑体_GBK" w:cs="方正黑体_GBK"/>
          <w:sz w:val="32"/>
          <w:szCs w:val="32"/>
        </w:rPr>
        <w:t>第十</w:t>
      </w:r>
      <w:r>
        <w:rPr>
          <w:rFonts w:hint="eastAsia" w:ascii="方正黑体_GBK" w:hAnsi="方正黑体_GBK" w:eastAsia="方正黑体_GBK" w:cs="方正黑体_GBK"/>
          <w:sz w:val="32"/>
          <w:szCs w:val="32"/>
          <w:lang w:val="en-US" w:eastAsia="zh-CN"/>
        </w:rPr>
        <w:t>一</w:t>
      </w:r>
      <w:r>
        <w:rPr>
          <w:rFonts w:hint="eastAsia" w:ascii="方正黑体_GBK" w:hAnsi="方正黑体_GBK" w:eastAsia="方正黑体_GBK" w:cs="方正黑体_GBK"/>
          <w:sz w:val="32"/>
          <w:szCs w:val="32"/>
        </w:rPr>
        <w:t>条 【租赁用地年租金标准】</w:t>
      </w:r>
      <w:r>
        <w:rPr>
          <w:rFonts w:hint="eastAsia" w:ascii="仿宋" w:hAnsi="仿宋" w:eastAsia="仿宋" w:cs="宋体"/>
          <w:color w:val="auto"/>
          <w:kern w:val="0"/>
          <w:sz w:val="32"/>
          <w:szCs w:val="32"/>
        </w:rPr>
        <w:t>以租赁方式或先租后让方式供应的工业及其他产业用地</w:t>
      </w:r>
      <w:r>
        <w:rPr>
          <w:rFonts w:hint="eastAsia" w:ascii="仿宋" w:hAnsi="仿宋" w:eastAsia="仿宋" w:cs="宋体"/>
          <w:kern w:val="0"/>
          <w:sz w:val="32"/>
          <w:szCs w:val="32"/>
        </w:rPr>
        <w:t>，年租金底价按照该类建设用地20年期地价的3%测算。</w:t>
      </w:r>
    </w:p>
    <w:p>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其他以租赁方式供应的土地，</w:t>
      </w:r>
      <w:bookmarkStart w:id="14" w:name="OLE_LINK1"/>
      <w:bookmarkStart w:id="15" w:name="OLE_LINK2"/>
      <w:r>
        <w:rPr>
          <w:rFonts w:hint="eastAsia" w:ascii="仿宋" w:hAnsi="仿宋" w:eastAsia="仿宋" w:cs="宋体"/>
          <w:color w:val="auto"/>
          <w:kern w:val="0"/>
          <w:sz w:val="32"/>
          <w:szCs w:val="32"/>
        </w:rPr>
        <w:t>租金总额</w:t>
      </w:r>
      <w:bookmarkEnd w:id="14"/>
      <w:bookmarkEnd w:id="15"/>
      <w:r>
        <w:rPr>
          <w:rFonts w:hint="eastAsia" w:ascii="仿宋" w:hAnsi="仿宋" w:eastAsia="仿宋" w:cs="宋体"/>
          <w:color w:val="auto"/>
          <w:kern w:val="0"/>
          <w:sz w:val="32"/>
          <w:szCs w:val="32"/>
        </w:rPr>
        <w:t>按租赁年期与相应用途标定地价规定的年期（以下简称地价标准年期）的比值进行年期修正</w:t>
      </w:r>
      <w:r>
        <w:rPr>
          <w:rFonts w:hint="eastAsia" w:ascii="仿宋" w:hAnsi="仿宋" w:eastAsia="仿宋" w:cs="宋体"/>
          <w:kern w:val="0"/>
          <w:sz w:val="32"/>
          <w:szCs w:val="32"/>
        </w:rPr>
        <w:t>。</w:t>
      </w:r>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color w:val="000000" w:themeColor="text1"/>
          <w:sz w:val="32"/>
          <w:szCs w:val="32"/>
          <w14:textFill>
            <w14:solidFill>
              <w14:schemeClr w14:val="tx1"/>
            </w14:solidFill>
          </w14:textFill>
        </w:rPr>
        <w:t>第十</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二</w:t>
      </w:r>
      <w:r>
        <w:rPr>
          <w:rFonts w:hint="eastAsia" w:ascii="方正黑体_GBK" w:hAnsi="方正黑体_GBK" w:eastAsia="方正黑体_GBK" w:cs="方正黑体_GBK"/>
          <w:color w:val="000000" w:themeColor="text1"/>
          <w:sz w:val="32"/>
          <w:szCs w:val="32"/>
          <w14:textFill>
            <w14:solidFill>
              <w14:schemeClr w14:val="tx1"/>
            </w14:solidFill>
          </w14:textFill>
        </w:rPr>
        <w:t>条 【临时使用土地补偿费标准】</w:t>
      </w:r>
      <w:r>
        <w:rPr>
          <w:rFonts w:hint="eastAsia" w:ascii="仿宋" w:hAnsi="仿宋" w:eastAsia="仿宋" w:cs="仿宋"/>
          <w:sz w:val="32"/>
          <w:szCs w:val="32"/>
        </w:rPr>
        <w:t>临时使用土地补偿费，按照不得转让的工业用途土地市场价格计收。</w:t>
      </w:r>
    </w:p>
    <w:p>
      <w:pPr>
        <w:ind w:firstLineChars="200"/>
        <w:rPr>
          <w:rFonts w:hint="eastAsia" w:ascii="仿宋" w:hAnsi="仿宋" w:eastAsia="仿宋" w:cs="宋体"/>
          <w:kern w:val="0"/>
          <w:sz w:val="32"/>
          <w:szCs w:val="32"/>
        </w:rPr>
      </w:pPr>
      <w:r>
        <w:rPr>
          <w:rFonts w:hint="eastAsia" w:ascii="方正黑体_GBK" w:hAnsi="方正黑体_GBK" w:eastAsia="方正黑体_GBK" w:cs="方正黑体_GBK"/>
          <w:sz w:val="32"/>
          <w:szCs w:val="32"/>
        </w:rPr>
        <w:t>第十</w:t>
      </w: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条 【地上、地下连通空间】</w:t>
      </w:r>
      <w:r>
        <w:rPr>
          <w:rFonts w:hint="eastAsia" w:ascii="仿宋" w:hAnsi="仿宋" w:eastAsia="仿宋" w:cs="宋体"/>
          <w:kern w:val="0"/>
          <w:sz w:val="32"/>
          <w:szCs w:val="32"/>
        </w:rPr>
        <w:t>鼓励地上、地下空间统筹规划、立体开发。独立供应地上、地下连通空间建设用地使用权的，按照实际用途计收地价。</w:t>
      </w:r>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color w:val="000000" w:themeColor="text1"/>
          <w:sz w:val="32"/>
          <w:szCs w:val="32"/>
          <w:lang w:eastAsia="zh-CN"/>
          <w14:textFill>
            <w14:solidFill>
              <w14:schemeClr w14:val="tx1"/>
            </w14:solidFill>
          </w14:textFill>
        </w:rPr>
        <w:t>第十</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四</w:t>
      </w:r>
      <w:r>
        <w:rPr>
          <w:rFonts w:hint="eastAsia" w:ascii="方正黑体_GBK" w:hAnsi="方正黑体_GBK" w:eastAsia="方正黑体_GBK" w:cs="方正黑体_GBK"/>
          <w:color w:val="000000" w:themeColor="text1"/>
          <w:sz w:val="32"/>
          <w:szCs w:val="32"/>
          <w:lang w:eastAsia="zh-CN"/>
          <w14:textFill>
            <w14:solidFill>
              <w14:schemeClr w14:val="tx1"/>
            </w14:solidFill>
          </w14:textFill>
        </w:rPr>
        <w:t>条</w:t>
      </w:r>
      <w:r>
        <w:rPr>
          <w:rFonts w:hint="eastAsia" w:ascii="方正黑体_GBK" w:hAnsi="方正黑体_GBK" w:eastAsia="方正黑体_GBK" w:cs="方正黑体_GBK"/>
          <w:color w:val="000000" w:themeColor="text1"/>
          <w:sz w:val="32"/>
          <w:szCs w:val="32"/>
          <w14:textFill>
            <w14:solidFill>
              <w14:schemeClr w14:val="tx1"/>
            </w14:solidFill>
          </w14:textFill>
        </w:rPr>
        <w:t xml:space="preserve"> 【</w:t>
      </w:r>
      <w:r>
        <w:rPr>
          <w:rFonts w:hint="eastAsia" w:ascii="方正黑体_GBK" w:hAnsi="方正黑体_GBK" w:eastAsia="方正黑体_GBK" w:cs="方正黑体_GBK"/>
          <w:sz w:val="32"/>
          <w:szCs w:val="32"/>
        </w:rPr>
        <w:t>综合能源补给站地价规则</w:t>
      </w:r>
      <w:r>
        <w:rPr>
          <w:rFonts w:hint="eastAsia" w:ascii="方正黑体_GBK" w:hAnsi="方正黑体_GBK" w:eastAsia="方正黑体_GBK" w:cs="方正黑体_GBK"/>
          <w:color w:val="000000" w:themeColor="text1"/>
          <w:sz w:val="32"/>
          <w:szCs w:val="32"/>
          <w14:textFill>
            <w14:solidFill>
              <w14:schemeClr w14:val="tx1"/>
            </w14:solidFill>
          </w14:textFill>
        </w:rPr>
        <w:t>】</w:t>
      </w:r>
      <w:r>
        <w:rPr>
          <w:rFonts w:hint="eastAsia" w:ascii="仿宋" w:hAnsi="仿宋" w:eastAsia="仿宋" w:cs="仿宋"/>
          <w:sz w:val="32"/>
          <w:szCs w:val="32"/>
        </w:rPr>
        <w:t>新供应的综合能源补给站（含加油、加气加氢、充换电中两种或以上功能的）用地，含加油功能的按加油站地价标准计收地价；不含加油功能的按加气加氢、充换电地价标准计收地价。</w:t>
      </w:r>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color w:val="000000" w:themeColor="text1"/>
          <w:sz w:val="32"/>
          <w:szCs w:val="32"/>
          <w14:textFill>
            <w14:solidFill>
              <w14:schemeClr w14:val="tx1"/>
            </w14:solidFill>
          </w14:textFill>
        </w:rPr>
        <w:t>第十</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五</w:t>
      </w:r>
      <w:r>
        <w:rPr>
          <w:rFonts w:hint="eastAsia" w:ascii="方正黑体_GBK" w:hAnsi="方正黑体_GBK" w:eastAsia="方正黑体_GBK" w:cs="方正黑体_GBK"/>
          <w:color w:val="000000" w:themeColor="text1"/>
          <w:sz w:val="32"/>
          <w:szCs w:val="32"/>
          <w14:textFill>
            <w14:solidFill>
              <w14:schemeClr w14:val="tx1"/>
            </w14:solidFill>
          </w14:textFill>
        </w:rPr>
        <w:t>条 【安置用房地价规则】</w:t>
      </w:r>
      <w:r>
        <w:rPr>
          <w:rFonts w:hint="eastAsia" w:ascii="仿宋" w:hAnsi="仿宋" w:eastAsia="仿宋" w:cs="仿宋"/>
          <w:sz w:val="32"/>
          <w:szCs w:val="32"/>
        </w:rPr>
        <w:t>政府投资新建的安置用房和产权归属政府的房屋用作安置用房的，地价按照相应用途的10%测算。</w:t>
      </w:r>
    </w:p>
    <w:p>
      <w:pPr>
        <w:spacing w:line="560" w:lineRule="exact"/>
        <w:ind w:firstLineChars="200"/>
        <w:jc w:val="center"/>
        <w:outlineLvl w:val="0"/>
        <w:rPr>
          <w:rFonts w:hint="eastAsia" w:ascii="楷体" w:hAnsi="楷体" w:eastAsia="楷体" w:cs="楷体"/>
          <w:kern w:val="0"/>
          <w:sz w:val="32"/>
          <w:szCs w:val="32"/>
          <w:highlight w:val="lightGray"/>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章 变更与补缴</w:t>
      </w:r>
    </w:p>
    <w:p>
      <w:pPr>
        <w:spacing w:line="560" w:lineRule="exact"/>
        <w:ind w:firstLineChars="200"/>
        <w:rPr>
          <w:rFonts w:hint="eastAsia" w:ascii="仿宋" w:hAnsi="仿宋" w:eastAsia="仿宋" w:cs="仿宋"/>
          <w:color w:val="000000" w:themeColor="text1"/>
          <w:sz w:val="32"/>
          <w:szCs w:val="32"/>
          <w14:textFill>
            <w14:solidFill>
              <w14:schemeClr w14:val="tx1"/>
            </w14:solidFill>
          </w14:textFill>
        </w:rPr>
      </w:pPr>
      <w:r>
        <w:rPr>
          <w:rFonts w:hint="eastAsia" w:ascii="方正黑体_GBK" w:hAnsi="方正黑体_GBK" w:eastAsia="方正黑体_GBK" w:cs="方正黑体_GBK"/>
          <w:sz w:val="32"/>
          <w:szCs w:val="32"/>
          <w:lang w:eastAsia="zh-CN"/>
        </w:rPr>
        <w:t>第十六条</w:t>
      </w:r>
      <w:r>
        <w:rPr>
          <w:rFonts w:hint="eastAsia" w:ascii="方正黑体_GBK" w:hAnsi="方正黑体_GBK" w:eastAsia="方正黑体_GBK" w:cs="方正黑体_GBK"/>
          <w:sz w:val="32"/>
          <w:szCs w:val="32"/>
        </w:rPr>
        <w:t xml:space="preserve"> 【土地利用条件变更情形】</w:t>
      </w:r>
      <w:r>
        <w:rPr>
          <w:rFonts w:hint="eastAsia" w:ascii="仿宋" w:hAnsi="仿宋" w:eastAsia="仿宋" w:cs="仿宋"/>
          <w:sz w:val="32"/>
          <w:szCs w:val="32"/>
        </w:rPr>
        <w:t>已签订供应合同或办理不动产权登记的土地，经批准变更土地利用条件的，应当补缴变更前后的地价差额。如差额为负，不再计收地价。</w:t>
      </w:r>
      <w:r>
        <w:rPr>
          <w:rFonts w:hint="eastAsia" w:ascii="仿宋" w:hAnsi="仿宋" w:eastAsia="仿宋" w:cs="仿宋"/>
          <w:color w:val="000000" w:themeColor="text1"/>
          <w:sz w:val="32"/>
          <w:szCs w:val="32"/>
          <w14:textFill>
            <w14:solidFill>
              <w14:schemeClr w14:val="tx1"/>
            </w14:solidFill>
          </w14:textFill>
        </w:rPr>
        <w:t>具体测算公式如下：</w:t>
      </w:r>
    </w:p>
    <w:p>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应补缴地价＝∑(土地市场价格×变更后对应建筑面积×变更后基础修正系数)-∑(土地市场价格×变更前对应建筑面积×变更前基础修正系数)</w:t>
      </w:r>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color w:val="000000" w:themeColor="text1"/>
          <w:sz w:val="32"/>
          <w:szCs w:val="32"/>
          <w14:textFill>
            <w14:solidFill>
              <w14:schemeClr w14:val="tx1"/>
            </w14:solidFill>
          </w14:textFill>
        </w:rPr>
        <w:t>第十</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七</w:t>
      </w:r>
      <w:r>
        <w:rPr>
          <w:rFonts w:hint="eastAsia" w:ascii="方正黑体_GBK" w:hAnsi="方正黑体_GBK" w:eastAsia="方正黑体_GBK" w:cs="方正黑体_GBK"/>
          <w:color w:val="000000" w:themeColor="text1"/>
          <w:sz w:val="32"/>
          <w:szCs w:val="32"/>
          <w14:textFill>
            <w14:solidFill>
              <w14:schemeClr w14:val="tx1"/>
            </w14:solidFill>
          </w14:textFill>
        </w:rPr>
        <w:t>条</w:t>
      </w:r>
      <w:r>
        <w:rPr>
          <w:rFonts w:hint="eastAsia" w:ascii="方正黑体_GBK" w:hAnsi="方正黑体_GBK" w:eastAsia="方正黑体_GBK" w:cs="方正黑体_GBK"/>
          <w:sz w:val="32"/>
          <w:szCs w:val="32"/>
        </w:rPr>
        <w:t xml:space="preserve"> 【划拨土地利用条件变更情形】</w:t>
      </w:r>
      <w:r>
        <w:rPr>
          <w:rFonts w:hint="eastAsia" w:ascii="仿宋" w:hAnsi="仿宋" w:eastAsia="仿宋" w:cs="仿宋"/>
          <w:sz w:val="32"/>
          <w:szCs w:val="32"/>
        </w:rPr>
        <w:t>2001年8月6日前以划拨方式供应的土地，仍符合我市现行规定土地划拨情形的，土地利用条件变更不补缴地价。不符合我市现行规定土地划拨情形需转为有偿使用土地的，按照本办法规定补缴地价后办理相关用地手续。</w:t>
      </w:r>
    </w:p>
    <w:p>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按照前款规定补缴地价的，原合法取得的建筑面积竣工验收后在不改变用途的情况下，产权归属自然人的建筑面积按照本办法</w:t>
      </w:r>
      <w:r>
        <w:rPr>
          <w:rFonts w:hint="eastAsia" w:ascii="仿宋" w:hAnsi="仿宋" w:eastAsia="仿宋" w:cs="仿宋"/>
          <w:color w:val="000000" w:themeColor="text1"/>
          <w:sz w:val="32"/>
          <w:szCs w:val="32"/>
          <w:lang w:eastAsia="zh-CN"/>
          <w14:textFill>
            <w14:solidFill>
              <w14:schemeClr w14:val="tx1"/>
            </w14:solidFill>
          </w14:textFill>
        </w:rPr>
        <w:t>第十六条</w:t>
      </w:r>
      <w:r>
        <w:rPr>
          <w:rFonts w:hint="eastAsia" w:ascii="仿宋" w:hAnsi="仿宋" w:eastAsia="仿宋" w:cs="仿宋"/>
          <w:color w:val="000000" w:themeColor="text1"/>
          <w:sz w:val="32"/>
          <w:szCs w:val="32"/>
          <w14:textFill>
            <w14:solidFill>
              <w14:schemeClr w14:val="tx1"/>
            </w14:solidFill>
          </w14:textFill>
        </w:rPr>
        <w:t>测算结果的7%补缴地价，产权归属非自然人的建筑面积按照测算结果的40%补缴地价。</w:t>
      </w:r>
    </w:p>
    <w:p>
      <w:pPr>
        <w:spacing w:line="560" w:lineRule="exact"/>
        <w:ind w:firstLineChars="200"/>
        <w:rPr>
          <w:rFonts w:hint="eastAsia" w:ascii="仿宋" w:hAnsi="仿宋" w:eastAsia="仿宋" w:cs="宋体"/>
          <w:kern w:val="0"/>
          <w:sz w:val="32"/>
          <w:szCs w:val="32"/>
        </w:rPr>
      </w:pPr>
      <w:r>
        <w:rPr>
          <w:rFonts w:hint="eastAsia" w:ascii="方正黑体_GBK" w:hAnsi="方正黑体_GBK" w:eastAsia="方正黑体_GBK" w:cs="方正黑体_GBK"/>
          <w:color w:val="000000" w:themeColor="text1"/>
          <w:sz w:val="32"/>
          <w:szCs w:val="32"/>
          <w14:textFill>
            <w14:solidFill>
              <w14:schemeClr w14:val="tx1"/>
            </w14:solidFill>
          </w14:textFill>
        </w:rPr>
        <w:t>第十</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八</w:t>
      </w:r>
      <w:r>
        <w:rPr>
          <w:rFonts w:hint="eastAsia" w:ascii="方正黑体_GBK" w:hAnsi="方正黑体_GBK" w:eastAsia="方正黑体_GBK" w:cs="方正黑体_GBK"/>
          <w:color w:val="000000" w:themeColor="text1"/>
          <w:sz w:val="32"/>
          <w:szCs w:val="32"/>
          <w14:textFill>
            <w14:solidFill>
              <w14:schemeClr w14:val="tx1"/>
            </w14:solidFill>
          </w14:textFill>
        </w:rPr>
        <w:t>条 【</w:t>
      </w:r>
      <w:r>
        <w:rPr>
          <w:rFonts w:hint="eastAsia" w:ascii="方正黑体_GBK" w:hAnsi="方正黑体_GBK" w:eastAsia="方正黑体_GBK" w:cs="方正黑体_GBK"/>
          <w:sz w:val="32"/>
          <w:szCs w:val="32"/>
        </w:rPr>
        <w:t>协议方式供应非商品性质住宅转让情形】</w:t>
      </w:r>
      <w:r>
        <w:rPr>
          <w:rFonts w:hint="eastAsia" w:ascii="仿宋" w:hAnsi="仿宋" w:eastAsia="仿宋" w:cs="宋体"/>
          <w:kern w:val="0"/>
          <w:sz w:val="32"/>
          <w:szCs w:val="32"/>
        </w:rPr>
        <w:t>2001年8月6日前以协议方式供应的非商品性质住宅用地竣工验收后，除微利商品房（全成本微利房、社会微利商品房）、福利商品房（准成本房、准成本商品房、全成本房、全成本商品房）、单位集资合作建房等政策性住房外，经批准转让的，应当按照</w:t>
      </w:r>
      <w:r>
        <w:rPr>
          <w:rFonts w:hint="eastAsia" w:ascii="仿宋" w:hAnsi="仿宋" w:eastAsia="仿宋" w:cs="仿宋"/>
          <w:color w:val="000000" w:themeColor="text1"/>
          <w:sz w:val="32"/>
          <w:szCs w:val="32"/>
          <w14:textFill>
            <w14:solidFill>
              <w14:schemeClr w14:val="tx1"/>
            </w14:solidFill>
          </w14:textFill>
        </w:rPr>
        <w:t>本办法</w:t>
      </w:r>
      <w:r>
        <w:rPr>
          <w:rFonts w:hint="eastAsia" w:ascii="仿宋" w:hAnsi="仿宋" w:eastAsia="仿宋" w:cs="仿宋"/>
          <w:color w:val="000000" w:themeColor="text1"/>
          <w:sz w:val="32"/>
          <w:szCs w:val="32"/>
          <w:lang w:eastAsia="zh-CN"/>
          <w14:textFill>
            <w14:solidFill>
              <w14:schemeClr w14:val="tx1"/>
            </w14:solidFill>
          </w14:textFill>
        </w:rPr>
        <w:t>第十六条</w:t>
      </w:r>
      <w:r>
        <w:rPr>
          <w:rFonts w:hint="eastAsia" w:ascii="仿宋" w:hAnsi="仿宋" w:eastAsia="仿宋" w:cs="宋体"/>
          <w:kern w:val="0"/>
          <w:sz w:val="32"/>
          <w:szCs w:val="32"/>
        </w:rPr>
        <w:t>测算结果的20%补缴地价。</w:t>
      </w:r>
    </w:p>
    <w:p>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前款范围内的政策性住房，根据法院裁定需办理转移登记且市、区住房建设主管部门确定不回购的或单位持有的政策性住房因撤销、破产、合并等原因需办理转移登记且市住房建设主管部门确定不回购的，应当按照</w:t>
      </w:r>
      <w:r>
        <w:rPr>
          <w:rFonts w:hint="eastAsia" w:ascii="仿宋" w:hAnsi="仿宋" w:eastAsia="仿宋" w:cs="仿宋"/>
          <w:color w:val="000000" w:themeColor="text1"/>
          <w:sz w:val="32"/>
          <w:szCs w:val="32"/>
          <w14:textFill>
            <w14:solidFill>
              <w14:schemeClr w14:val="tx1"/>
            </w14:solidFill>
          </w14:textFill>
        </w:rPr>
        <w:t>本办法</w:t>
      </w:r>
      <w:r>
        <w:rPr>
          <w:rFonts w:hint="eastAsia" w:ascii="仿宋" w:hAnsi="仿宋" w:eastAsia="仿宋" w:cs="仿宋"/>
          <w:color w:val="000000" w:themeColor="text1"/>
          <w:sz w:val="32"/>
          <w:szCs w:val="32"/>
          <w:lang w:eastAsia="zh-CN"/>
          <w14:textFill>
            <w14:solidFill>
              <w14:schemeClr w14:val="tx1"/>
            </w14:solidFill>
          </w14:textFill>
        </w:rPr>
        <w:t>第十六条</w:t>
      </w:r>
      <w:r>
        <w:rPr>
          <w:rFonts w:hint="eastAsia" w:ascii="仿宋" w:hAnsi="仿宋" w:eastAsia="仿宋" w:cs="宋体"/>
          <w:kern w:val="0"/>
          <w:sz w:val="32"/>
          <w:szCs w:val="32"/>
        </w:rPr>
        <w:t>补缴地价，变更后地价按照允许分割转让的住宅地价标准确定，变更前地价按照不得转让的住宅地价标准确定。</w:t>
      </w:r>
    </w:p>
    <w:p>
      <w:pPr>
        <w:spacing w:line="560" w:lineRule="exact"/>
        <w:ind w:firstLineChars="200"/>
        <w:rPr>
          <w:rFonts w:hint="eastAsia" w:ascii="仿宋" w:hAnsi="仿宋" w:eastAsia="仿宋" w:cs="仿宋"/>
          <w:strike/>
          <w:color w:val="808080" w:themeColor="text1" w:themeTint="80"/>
          <w:sz w:val="32"/>
          <w:szCs w:val="32"/>
          <w14:textFill>
            <w14:solidFill>
              <w14:schemeClr w14:val="tx1">
                <w14:lumMod w14:val="50000"/>
                <w14:lumOff w14:val="50000"/>
              </w14:schemeClr>
            </w14:solidFill>
          </w14:textFill>
        </w:rPr>
      </w:pPr>
      <w:r>
        <w:rPr>
          <w:rFonts w:hint="eastAsia" w:ascii="方正黑体_GBK" w:hAnsi="方正黑体_GBK" w:eastAsia="方正黑体_GBK" w:cs="方正黑体_GBK"/>
          <w:color w:val="000000" w:themeColor="text1"/>
          <w:sz w:val="32"/>
          <w:szCs w:val="32"/>
          <w14:textFill>
            <w14:solidFill>
              <w14:schemeClr w14:val="tx1"/>
            </w14:solidFill>
          </w14:textFill>
        </w:rPr>
        <w:t>第十</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九</w:t>
      </w:r>
      <w:r>
        <w:rPr>
          <w:rFonts w:hint="eastAsia" w:ascii="方正黑体_GBK" w:hAnsi="方正黑体_GBK" w:eastAsia="方正黑体_GBK" w:cs="方正黑体_GBK"/>
          <w:color w:val="000000" w:themeColor="text1"/>
          <w:sz w:val="32"/>
          <w:szCs w:val="32"/>
          <w14:textFill>
            <w14:solidFill>
              <w14:schemeClr w14:val="tx1"/>
            </w14:solidFill>
          </w14:textFill>
        </w:rPr>
        <w:t>条</w:t>
      </w:r>
      <w:r>
        <w:rPr>
          <w:rFonts w:hint="eastAsia" w:ascii="方正黑体_GBK" w:hAnsi="方正黑体_GBK" w:eastAsia="方正黑体_GBK" w:cs="方正黑体_GBK"/>
          <w:sz w:val="32"/>
          <w:szCs w:val="32"/>
        </w:rPr>
        <w:t xml:space="preserve"> 【产业用地提高容积】</w:t>
      </w:r>
      <w:r>
        <w:rPr>
          <w:rFonts w:hint="eastAsia" w:ascii="仿宋" w:hAnsi="仿宋" w:eastAsia="仿宋" w:cs="仿宋"/>
          <w:sz w:val="32"/>
          <w:szCs w:val="32"/>
        </w:rPr>
        <w:t>产业用地经批准提高容积，应当按照</w:t>
      </w:r>
      <w:r>
        <w:rPr>
          <w:rFonts w:hint="eastAsia" w:ascii="仿宋" w:hAnsi="仿宋" w:eastAsia="仿宋" w:cs="仿宋"/>
          <w:color w:val="000000" w:themeColor="text1"/>
          <w:sz w:val="32"/>
          <w:szCs w:val="32"/>
          <w14:textFill>
            <w14:solidFill>
              <w14:schemeClr w14:val="tx1"/>
            </w14:solidFill>
          </w14:textFill>
        </w:rPr>
        <w:t>本办法</w:t>
      </w:r>
      <w:r>
        <w:rPr>
          <w:rFonts w:hint="eastAsia" w:ascii="仿宋" w:hAnsi="仿宋" w:eastAsia="仿宋" w:cs="仿宋"/>
          <w:color w:val="000000" w:themeColor="text1"/>
          <w:sz w:val="32"/>
          <w:szCs w:val="32"/>
          <w:lang w:eastAsia="zh-CN"/>
          <w14:textFill>
            <w14:solidFill>
              <w14:schemeClr w14:val="tx1"/>
            </w14:solidFill>
          </w14:textFill>
        </w:rPr>
        <w:t>第十六条</w:t>
      </w:r>
      <w:r>
        <w:rPr>
          <w:rFonts w:hint="eastAsia" w:ascii="仿宋" w:hAnsi="仿宋" w:eastAsia="仿宋" w:cs="仿宋"/>
          <w:sz w:val="32"/>
          <w:szCs w:val="32"/>
        </w:rPr>
        <w:t>补缴地价。</w:t>
      </w:r>
    </w:p>
    <w:p>
      <w:pPr>
        <w:spacing w:line="560" w:lineRule="exact"/>
        <w:ind w:firstLine="640" w:firstLineChars="200"/>
        <w:rPr>
          <w:rFonts w:hint="eastAsia" w:ascii="仿宋" w:hAnsi="仿宋" w:eastAsia="仿宋" w:cs="仿宋"/>
          <w:color w:val="C00000"/>
          <w:sz w:val="32"/>
          <w:szCs w:val="32"/>
        </w:rPr>
      </w:pPr>
      <w:r>
        <w:rPr>
          <w:rFonts w:hint="eastAsia" w:ascii="仿宋" w:hAnsi="仿宋" w:eastAsia="仿宋" w:cs="仿宋"/>
          <w:sz w:val="32"/>
          <w:szCs w:val="32"/>
        </w:rPr>
        <w:t>产业用地经批准提高容积，新增的分项建筑面积分不同情形测算应补缴地价。普通工业用地（M1）和新型产业用地（M0）上新增的工业厂房及相应辅助设施（如物业用房、配电用房）、仓储用地（</w:t>
      </w:r>
      <w:r>
        <w:rPr>
          <w:rFonts w:ascii="仿宋" w:hAnsi="仿宋" w:eastAsia="仿宋" w:cs="仿宋"/>
          <w:sz w:val="32"/>
          <w:szCs w:val="32"/>
        </w:rPr>
        <w:t>W1）和物流用地（W0）上</w:t>
      </w:r>
      <w:r>
        <w:rPr>
          <w:rFonts w:hint="eastAsia" w:ascii="仿宋" w:hAnsi="仿宋" w:eastAsia="仿宋" w:cs="仿宋"/>
          <w:sz w:val="32"/>
          <w:szCs w:val="32"/>
        </w:rPr>
        <w:t>新增</w:t>
      </w:r>
      <w:r>
        <w:rPr>
          <w:rFonts w:ascii="仿宋" w:hAnsi="仿宋" w:eastAsia="仿宋" w:cs="仿宋"/>
          <w:sz w:val="32"/>
          <w:szCs w:val="32"/>
        </w:rPr>
        <w:t>的仓库及相应辅助设施（如物业用房、配电用房）</w:t>
      </w:r>
      <w:r>
        <w:rPr>
          <w:rFonts w:hint="eastAsia" w:ascii="仿宋" w:hAnsi="仿宋" w:eastAsia="仿宋" w:cs="仿宋"/>
          <w:sz w:val="32"/>
          <w:szCs w:val="32"/>
        </w:rPr>
        <w:t>，不补缴地价；新增的商业按全额计收地价；其他新增的建筑面积按50%计收。</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前款规定的</w:t>
      </w:r>
      <w:r>
        <w:rPr>
          <w:rFonts w:ascii="仿宋" w:hAnsi="仿宋" w:eastAsia="仿宋" w:cs="仿宋"/>
          <w:sz w:val="32"/>
          <w:szCs w:val="32"/>
        </w:rPr>
        <w:t>新增分项建筑面积是指对比原出让合同（未全部建成的工业及物流仓储用地）或规划条件核实（规划验收）文件（已全部建成的工业及物流仓储用地），增设建筑类型对应的建筑面积以及原有建筑类型增加的建筑面积。</w:t>
      </w:r>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color w:val="000000" w:themeColor="text1"/>
          <w:sz w:val="32"/>
          <w:szCs w:val="32"/>
          <w14:textFill>
            <w14:solidFill>
              <w14:schemeClr w14:val="tx1"/>
            </w14:solidFill>
          </w14:textFill>
        </w:rPr>
        <w:t>第</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二十</w:t>
      </w:r>
      <w:r>
        <w:rPr>
          <w:rFonts w:hint="eastAsia" w:ascii="方正黑体_GBK" w:hAnsi="方正黑体_GBK" w:eastAsia="方正黑体_GBK" w:cs="方正黑体_GBK"/>
          <w:color w:val="000000" w:themeColor="text1"/>
          <w:sz w:val="32"/>
          <w:szCs w:val="32"/>
          <w14:textFill>
            <w14:solidFill>
              <w14:schemeClr w14:val="tx1"/>
            </w14:solidFill>
          </w14:textFill>
        </w:rPr>
        <w:t>条 【政府资产处置】</w:t>
      </w:r>
      <w:r>
        <w:rPr>
          <w:rFonts w:hint="eastAsia" w:ascii="仿宋" w:hAnsi="仿宋" w:eastAsia="仿宋" w:cs="仿宋"/>
          <w:color w:val="000000" w:themeColor="text1"/>
          <w:sz w:val="32"/>
          <w:szCs w:val="32"/>
          <w14:textFill>
            <w14:solidFill>
              <w14:schemeClr w14:val="tx1"/>
            </w14:solidFill>
          </w14:textFill>
        </w:rPr>
        <w:t>根据国家、省、市行政事业单位国有资产处置有关规定进行资产处置需补缴地价的，由转让方按照本办法</w:t>
      </w:r>
      <w:r>
        <w:rPr>
          <w:rFonts w:hint="eastAsia" w:ascii="仿宋" w:hAnsi="仿宋" w:eastAsia="仿宋" w:cs="仿宋"/>
          <w:color w:val="000000" w:themeColor="text1"/>
          <w:sz w:val="32"/>
          <w:szCs w:val="32"/>
          <w:lang w:eastAsia="zh-CN"/>
          <w14:textFill>
            <w14:solidFill>
              <w14:schemeClr w14:val="tx1"/>
            </w14:solidFill>
          </w14:textFill>
        </w:rPr>
        <w:t>第十六条</w:t>
      </w:r>
      <w:r>
        <w:rPr>
          <w:rFonts w:hint="eastAsia" w:ascii="仿宋" w:hAnsi="仿宋" w:eastAsia="仿宋" w:cs="仿宋"/>
          <w:color w:val="000000" w:themeColor="text1"/>
          <w:sz w:val="32"/>
          <w:szCs w:val="32"/>
          <w14:textFill>
            <w14:solidFill>
              <w14:schemeClr w14:val="tx1"/>
            </w14:solidFill>
          </w14:textFill>
        </w:rPr>
        <w:t>测算结果的</w:t>
      </w:r>
      <w:r>
        <w:rPr>
          <w:rFonts w:hint="eastAsia" w:ascii="仿宋" w:hAnsi="仿宋" w:eastAsia="仿宋" w:cs="仿宋"/>
          <w:sz w:val="32"/>
          <w:szCs w:val="32"/>
        </w:rPr>
        <w:t>7%补缴地价后再办理不动产权转移登记手续，产权条件按照政府资产处置方案确定。划拨、免地价协议出让或建成后移交政府且未计收地价的建筑面积，处置前的地价按零计算。</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行政机关、事业单位之间调拨划转国有资产，不补缴地价。</w:t>
      </w:r>
    </w:p>
    <w:p>
      <w:pPr>
        <w:spacing w:line="560" w:lineRule="exact"/>
        <w:ind w:firstLineChars="200"/>
        <w:rPr>
          <w:rFonts w:hint="eastAsia" w:ascii="方正黑体_GBK" w:hAnsi="方正黑体_GBK" w:eastAsia="方正黑体_GBK" w:cs="方正黑体_GBK"/>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32"/>
          <w:szCs w:val="32"/>
          <w14:textFill>
            <w14:solidFill>
              <w14:schemeClr w14:val="tx1"/>
            </w14:solidFill>
          </w14:textFill>
        </w:rPr>
        <w:t>第</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二十一</w:t>
      </w:r>
      <w:r>
        <w:rPr>
          <w:rFonts w:hint="eastAsia" w:ascii="方正黑体_GBK" w:hAnsi="方正黑体_GBK" w:eastAsia="方正黑体_GBK" w:cs="方正黑体_GBK"/>
          <w:color w:val="000000" w:themeColor="text1"/>
          <w:sz w:val="32"/>
          <w:szCs w:val="32"/>
          <w14:textFill>
            <w14:solidFill>
              <w14:schemeClr w14:val="tx1"/>
            </w14:solidFill>
          </w14:textFill>
        </w:rPr>
        <w:t>条 【既有非居住建筑功能转换】</w:t>
      </w:r>
      <w:r>
        <w:rPr>
          <w:rFonts w:hint="eastAsia" w:ascii="仿宋" w:hAnsi="仿宋" w:eastAsia="仿宋" w:cs="仿宋"/>
          <w:sz w:val="32"/>
          <w:szCs w:val="32"/>
        </w:rPr>
        <w:t>我市既有非居住建筑经批准转换功能的应按照</w:t>
      </w:r>
      <w:r>
        <w:rPr>
          <w:rFonts w:hint="eastAsia" w:ascii="仿宋" w:hAnsi="仿宋" w:eastAsia="仿宋" w:cs="仿宋"/>
          <w:color w:val="000000" w:themeColor="text1"/>
          <w:sz w:val="32"/>
          <w:szCs w:val="32"/>
          <w14:textFill>
            <w14:solidFill>
              <w14:schemeClr w14:val="tx1"/>
            </w14:solidFill>
          </w14:textFill>
        </w:rPr>
        <w:t>本办法</w:t>
      </w:r>
      <w:r>
        <w:rPr>
          <w:rFonts w:hint="eastAsia" w:ascii="仿宋" w:hAnsi="仿宋" w:eastAsia="仿宋" w:cs="仿宋"/>
          <w:color w:val="000000" w:themeColor="text1"/>
          <w:sz w:val="32"/>
          <w:szCs w:val="32"/>
          <w:lang w:eastAsia="zh-CN"/>
          <w14:textFill>
            <w14:solidFill>
              <w14:schemeClr w14:val="tx1"/>
            </w14:solidFill>
          </w14:textFill>
        </w:rPr>
        <w:t>第十六条</w:t>
      </w:r>
      <w:r>
        <w:rPr>
          <w:rFonts w:hint="eastAsia" w:ascii="仿宋" w:hAnsi="仿宋" w:eastAsia="仿宋" w:cs="仿宋"/>
          <w:sz w:val="32"/>
          <w:szCs w:val="32"/>
        </w:rPr>
        <w:t>补缴地价。其中，5年过渡期内不补缴地价，过渡期满后确需延长建筑功能转换有效期的，按照建筑功能转换年期与相应用途地价标准年期的比值进行年期修正。</w:t>
      </w:r>
    </w:p>
    <w:p>
      <w:pPr>
        <w:spacing w:line="560" w:lineRule="exact"/>
        <w:ind w:firstLineChars="200"/>
        <w:jc w:val="center"/>
        <w:outlineLvl w:val="0"/>
        <w:rPr>
          <w:rFonts w:hint="eastAsia" w:ascii="方正黑体_GBK" w:hAnsi="方正黑体_GBK" w:eastAsia="方正黑体_GBK" w:cs="方正黑体_GBK"/>
          <w:sz w:val="32"/>
          <w:szCs w:val="32"/>
        </w:rPr>
      </w:pPr>
      <w:bookmarkStart w:id="16" w:name="OLE_LINK11"/>
      <w:bookmarkStart w:id="17" w:name="OLE_LINK27"/>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章 特殊情形</w:t>
      </w:r>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color w:val="000000" w:themeColor="text1"/>
          <w:sz w:val="32"/>
          <w:szCs w:val="32"/>
          <w14:textFill>
            <w14:solidFill>
              <w14:schemeClr w14:val="tx1"/>
            </w14:solidFill>
          </w14:textFill>
        </w:rPr>
        <w:t>第</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二十二</w:t>
      </w:r>
      <w:r>
        <w:rPr>
          <w:rFonts w:hint="eastAsia" w:ascii="方正黑体_GBK" w:hAnsi="方正黑体_GBK" w:eastAsia="方正黑体_GBK" w:cs="方正黑体_GBK"/>
          <w:color w:val="000000" w:themeColor="text1"/>
          <w:sz w:val="32"/>
          <w:szCs w:val="32"/>
          <w14:textFill>
            <w14:solidFill>
              <w14:schemeClr w14:val="tx1"/>
            </w14:solidFill>
          </w14:textFill>
        </w:rPr>
        <w:t>条 【不计收地价情形】</w:t>
      </w:r>
      <w:r>
        <w:rPr>
          <w:rFonts w:hint="eastAsia" w:ascii="仿宋" w:hAnsi="仿宋" w:eastAsia="仿宋" w:cs="仿宋"/>
          <w:sz w:val="32"/>
          <w:szCs w:val="32"/>
        </w:rPr>
        <w:t>以下情形不计收地价：</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（一）已供应土地经批准增加充换电基础设施，不计收地价。</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（二）加油站用</w:t>
      </w:r>
      <w:bookmarkStart w:id="18" w:name="OLE_LINK20"/>
      <w:r>
        <w:rPr>
          <w:rFonts w:hint="eastAsia" w:ascii="仿宋" w:hAnsi="仿宋" w:eastAsia="仿宋" w:cs="仿宋"/>
          <w:sz w:val="32"/>
          <w:szCs w:val="32"/>
        </w:rPr>
        <w:t>地经批</w:t>
      </w:r>
      <w:bookmarkEnd w:id="18"/>
      <w:r>
        <w:rPr>
          <w:rFonts w:hint="eastAsia" w:ascii="仿宋" w:hAnsi="仿宋" w:eastAsia="仿宋" w:cs="仿宋"/>
          <w:sz w:val="32"/>
          <w:szCs w:val="32"/>
        </w:rPr>
        <w:t>准增加加气、充换电功能，</w:t>
      </w:r>
      <w:r>
        <w:rPr>
          <w:rFonts w:hint="eastAsia" w:ascii="仿宋" w:hAnsi="仿宋" w:eastAsia="仿宋" w:cs="宋体"/>
          <w:kern w:val="0"/>
          <w:sz w:val="32"/>
          <w:szCs w:val="32"/>
        </w:rPr>
        <w:t>不计收</w:t>
      </w:r>
      <w:r>
        <w:rPr>
          <w:rFonts w:hint="eastAsia" w:ascii="仿宋" w:hAnsi="仿宋" w:eastAsia="仿宋" w:cs="仿宋"/>
          <w:sz w:val="32"/>
          <w:szCs w:val="32"/>
        </w:rPr>
        <w:t>地价。</w:t>
      </w:r>
    </w:p>
    <w:p>
      <w:pPr>
        <w:spacing w:line="560" w:lineRule="exact"/>
        <w:ind w:firstLine="640" w:firstLineChars="200"/>
        <w:rPr>
          <w:rFonts w:hint="eastAsia" w:ascii="仿宋" w:hAnsi="仿宋" w:eastAsia="仿宋" w:cs="仿宋"/>
          <w:strike/>
          <w:sz w:val="32"/>
          <w:szCs w:val="32"/>
        </w:rPr>
      </w:pPr>
      <w:r>
        <w:rPr>
          <w:rFonts w:hint="eastAsia" w:ascii="仿宋" w:hAnsi="仿宋" w:eastAsia="仿宋" w:cs="宋体"/>
          <w:kern w:val="0"/>
          <w:sz w:val="32"/>
          <w:szCs w:val="32"/>
        </w:rPr>
        <w:t>（三）全天候向公众开放的地上、地下连通空间，用作公共通道的部分不计收地价。</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（四）法律、行政法规规定和国务院决定的其他不</w:t>
      </w:r>
      <w:bookmarkEnd w:id="16"/>
      <w:bookmarkEnd w:id="17"/>
      <w:r>
        <w:rPr>
          <w:rFonts w:hint="eastAsia" w:ascii="仿宋" w:hAnsi="仿宋" w:eastAsia="仿宋" w:cs="仿宋"/>
          <w:sz w:val="32"/>
          <w:szCs w:val="32"/>
        </w:rPr>
        <w:t>计收地价的情形。</w:t>
      </w:r>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color w:val="000000" w:themeColor="text1"/>
          <w:sz w:val="32"/>
          <w:szCs w:val="32"/>
          <w14:textFill>
            <w14:solidFill>
              <w14:schemeClr w14:val="tx1"/>
            </w14:solidFill>
          </w14:textFill>
        </w:rPr>
        <w:t>第二十</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三</w:t>
      </w:r>
      <w:r>
        <w:rPr>
          <w:rFonts w:hint="eastAsia" w:ascii="方正黑体_GBK" w:hAnsi="方正黑体_GBK" w:eastAsia="方正黑体_GBK" w:cs="方正黑体_GBK"/>
          <w:color w:val="000000" w:themeColor="text1"/>
          <w:sz w:val="32"/>
          <w:szCs w:val="32"/>
          <w14:textFill>
            <w14:solidFill>
              <w14:schemeClr w14:val="tx1"/>
            </w14:solidFill>
          </w14:textFill>
        </w:rPr>
        <w:t>条</w:t>
      </w:r>
      <w:r>
        <w:rPr>
          <w:rFonts w:hint="eastAsia" w:ascii="方正黑体_GBK" w:hAnsi="方正黑体_GBK" w:eastAsia="方正黑体_GBK" w:cs="方正黑体_GBK"/>
          <w:sz w:val="32"/>
          <w:szCs w:val="32"/>
        </w:rPr>
        <w:t xml:space="preserve"> 【除住宅用地外，地上规定建筑面积小于土地面积情形】</w:t>
      </w:r>
      <w:r>
        <w:rPr>
          <w:rFonts w:hint="eastAsia" w:ascii="仿宋" w:hAnsi="仿宋" w:eastAsia="仿宋" w:cs="仿宋"/>
          <w:sz w:val="32"/>
          <w:szCs w:val="32"/>
        </w:rPr>
        <w:t>除住宅用地外，机场、港口码头、堆场、供燃气、游乐设施、道路用地等地上规定建筑面积小于土地面积且主用途不占建筑面积的，按土地面积和建筑面积分别测算地价后合计。具体计算公式如下：</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宗地地价＝主用途土地市场价格×土地面积×基础修正系数×项目修正系数+∑(建筑物建筑类型土地市场价格×对应建筑面积×基础修正系数×项目修正系数)</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除住宅用地外，地上规定建筑面积小于土地面积的其他情形，测算地价的建筑面积按土地面积确定，各种建筑类型的建筑面积按照实际建筑面积中各种建筑类型所占比例确定。</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除住宅用地外，地上规定建筑面积小于土地面积的用地，变更规划指标按照实际建筑面积差额测算补缴地价，其他土地利用条件变更情形按土地面积测算。</w:t>
      </w:r>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color w:val="000000" w:themeColor="text1"/>
          <w:sz w:val="32"/>
          <w:szCs w:val="32"/>
          <w14:textFill>
            <w14:solidFill>
              <w14:schemeClr w14:val="tx1"/>
            </w14:solidFill>
          </w14:textFill>
        </w:rPr>
        <w:t>第二十</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四</w:t>
      </w:r>
      <w:r>
        <w:rPr>
          <w:rFonts w:hint="eastAsia" w:ascii="方正黑体_GBK" w:hAnsi="方正黑体_GBK" w:eastAsia="方正黑体_GBK" w:cs="方正黑体_GBK"/>
          <w:color w:val="000000" w:themeColor="text1"/>
          <w:sz w:val="32"/>
          <w:szCs w:val="32"/>
          <w14:textFill>
            <w14:solidFill>
              <w14:schemeClr w14:val="tx1"/>
            </w14:solidFill>
          </w14:textFill>
        </w:rPr>
        <w:t xml:space="preserve">条 </w:t>
      </w:r>
      <w:r>
        <w:rPr>
          <w:rFonts w:hint="eastAsia" w:ascii="方正黑体_GBK" w:hAnsi="方正黑体_GBK" w:eastAsia="方正黑体_GBK" w:cs="方正黑体_GBK"/>
          <w:sz w:val="32"/>
          <w:szCs w:val="32"/>
        </w:rPr>
        <w:t>【关于原宝安县未缴纳市政配套金的土地】</w:t>
      </w:r>
      <w:r>
        <w:rPr>
          <w:rFonts w:hint="eastAsia" w:ascii="仿宋" w:hAnsi="仿宋" w:eastAsia="仿宋" w:cs="仿宋"/>
          <w:sz w:val="32"/>
          <w:szCs w:val="32"/>
        </w:rPr>
        <w:t>原宝安县已签订供应合同但未缴纳市政配套金的土地，在不改变供应合同约定土地利用条件的前提下，按照</w:t>
      </w:r>
      <w:r>
        <w:rPr>
          <w:rFonts w:hint="eastAsia" w:ascii="仿宋" w:hAnsi="仿宋" w:eastAsia="仿宋" w:cs="仿宋"/>
          <w:color w:val="000000" w:themeColor="text1"/>
          <w:sz w:val="32"/>
          <w:szCs w:val="32"/>
          <w14:textFill>
            <w14:solidFill>
              <w14:schemeClr w14:val="tx1"/>
            </w14:solidFill>
          </w14:textFill>
        </w:rPr>
        <w:t>本办法</w:t>
      </w:r>
      <w:r>
        <w:rPr>
          <w:rFonts w:hint="eastAsia" w:ascii="仿宋" w:hAnsi="仿宋" w:eastAsia="仿宋" w:cs="仿宋"/>
          <w:color w:val="000000" w:themeColor="text1"/>
          <w:sz w:val="32"/>
          <w:szCs w:val="32"/>
          <w:lang w:eastAsia="zh-CN"/>
          <w14:textFill>
            <w14:solidFill>
              <w14:schemeClr w14:val="tx1"/>
            </w14:solidFill>
          </w14:textFill>
        </w:rPr>
        <w:t>第七条</w:t>
      </w:r>
      <w:r>
        <w:rPr>
          <w:rFonts w:hint="eastAsia" w:ascii="仿宋" w:hAnsi="仿宋" w:eastAsia="仿宋" w:cs="仿宋"/>
          <w:sz w:val="32"/>
          <w:szCs w:val="32"/>
        </w:rPr>
        <w:t>测算结果的20%补缴地价，供应合同约定不需要补缴市政配套金的除外。补缴地价后，除供应合同另有约定外，住宅、商业、办公用地允许分割转让，其余用地仅允许整体转让。</w:t>
      </w:r>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color w:val="000000" w:themeColor="text1"/>
          <w:sz w:val="32"/>
          <w:szCs w:val="32"/>
          <w14:textFill>
            <w14:solidFill>
              <w14:schemeClr w14:val="tx1"/>
            </w14:solidFill>
          </w14:textFill>
        </w:rPr>
        <w:t>第二十</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五</w:t>
      </w:r>
      <w:r>
        <w:rPr>
          <w:rFonts w:hint="eastAsia" w:ascii="方正黑体_GBK" w:hAnsi="方正黑体_GBK" w:eastAsia="方正黑体_GBK" w:cs="方正黑体_GBK"/>
          <w:color w:val="000000" w:themeColor="text1"/>
          <w:sz w:val="32"/>
          <w:szCs w:val="32"/>
          <w14:textFill>
            <w14:solidFill>
              <w14:schemeClr w14:val="tx1"/>
            </w14:solidFill>
          </w14:textFill>
        </w:rPr>
        <w:t xml:space="preserve">条 </w:t>
      </w:r>
      <w:r>
        <w:rPr>
          <w:rFonts w:hint="eastAsia" w:ascii="方正黑体_GBK" w:hAnsi="方正黑体_GBK" w:eastAsia="方正黑体_GBK" w:cs="方正黑体_GBK"/>
          <w:sz w:val="32"/>
          <w:szCs w:val="32"/>
        </w:rPr>
        <w:t>【关于成片开发区的适用规则】</w:t>
      </w:r>
      <w:r>
        <w:rPr>
          <w:rFonts w:hint="eastAsia" w:ascii="仿宋" w:hAnsi="仿宋" w:eastAsia="仿宋" w:cs="仿宋"/>
          <w:sz w:val="32"/>
          <w:szCs w:val="32"/>
        </w:rPr>
        <w:t>成片开发区（蛇口工业区、赤湾港等已签订大协议的用地及原深圳市蛇口区管理局批出的协议出让用地）的历史用地补办用地手续、土地使用年期续期、补地价进入市场等事项，地价</w:t>
      </w:r>
      <w:r>
        <w:rPr>
          <w:rFonts w:hint="eastAsia" w:ascii="仿宋" w:hAnsi="仿宋" w:eastAsia="仿宋" w:cs="宋体"/>
          <w:color w:val="000000" w:themeColor="text1"/>
          <w:kern w:val="0"/>
          <w:sz w:val="32"/>
          <w:szCs w:val="32"/>
          <w14:textFill>
            <w14:solidFill>
              <w14:schemeClr w14:val="tx1"/>
            </w14:solidFill>
          </w14:textFill>
        </w:rPr>
        <w:t>按照</w:t>
      </w:r>
      <w:r>
        <w:rPr>
          <w:rFonts w:hint="eastAsia" w:ascii="仿宋" w:hAnsi="仿宋" w:eastAsia="仿宋" w:cs="仿宋"/>
          <w:color w:val="000000" w:themeColor="text1"/>
          <w:sz w:val="32"/>
          <w:szCs w:val="32"/>
          <w14:textFill>
            <w14:solidFill>
              <w14:schemeClr w14:val="tx1"/>
            </w14:solidFill>
          </w14:textFill>
        </w:rPr>
        <w:t>本办法</w:t>
      </w:r>
      <w:r>
        <w:rPr>
          <w:rFonts w:hint="eastAsia" w:ascii="仿宋" w:hAnsi="仿宋" w:eastAsia="仿宋" w:cs="仿宋"/>
          <w:color w:val="000000" w:themeColor="text1"/>
          <w:sz w:val="32"/>
          <w:szCs w:val="32"/>
          <w:lang w:eastAsia="zh-CN"/>
          <w14:textFill>
            <w14:solidFill>
              <w14:schemeClr w14:val="tx1"/>
            </w14:solidFill>
          </w14:textFill>
        </w:rPr>
        <w:t>第十六条</w:t>
      </w:r>
      <w:r>
        <w:rPr>
          <w:rFonts w:hint="eastAsia" w:ascii="仿宋" w:hAnsi="仿宋" w:eastAsia="仿宋" w:cs="仿宋"/>
          <w:sz w:val="32"/>
          <w:szCs w:val="32"/>
        </w:rPr>
        <w:t>测算结果的20%计收。</w:t>
      </w:r>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color w:val="000000" w:themeColor="text1"/>
          <w:sz w:val="32"/>
          <w:szCs w:val="32"/>
          <w14:textFill>
            <w14:solidFill>
              <w14:schemeClr w14:val="tx1"/>
            </w14:solidFill>
          </w14:textFill>
        </w:rPr>
        <w:t>二十</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六</w:t>
      </w:r>
      <w:r>
        <w:rPr>
          <w:rFonts w:hint="eastAsia" w:ascii="方正黑体_GBK" w:hAnsi="方正黑体_GBK" w:eastAsia="方正黑体_GBK" w:cs="方正黑体_GBK"/>
          <w:sz w:val="32"/>
          <w:szCs w:val="32"/>
        </w:rPr>
        <w:t>条 【关于农村城市化历史遗留违法建筑地价规定】</w:t>
      </w:r>
      <w:r>
        <w:rPr>
          <w:rFonts w:hint="eastAsia" w:ascii="仿宋" w:hAnsi="仿宋" w:eastAsia="仿宋" w:cs="仿宋"/>
          <w:sz w:val="32"/>
          <w:szCs w:val="32"/>
        </w:rPr>
        <w:t>农村城市化历史遗留违法建筑处理过程中涉及的地价，按照《深圳市人民政府关于农村城市化历史遗留产业类和公共配套类违法建筑的处理办法》（深圳市人民政府令第312号）、《深圳经济特区处理历史遗留违法私房若干规定》（深圳市人民代表大会常务委员会公告第33号）、《深圳经济特区处理历史遗留生产经营性违法建筑若干规定》（深圳市人民代表大会常务委员会公告第34号）、《</w:t>
      </w:r>
      <w:r>
        <w:rPr>
          <w:rFonts w:hint="eastAsia" w:ascii="微软雅黑" w:hAnsi="微软雅黑" w:eastAsia="微软雅黑" w:cs="微软雅黑"/>
          <w:sz w:val="32"/>
          <w:szCs w:val="32"/>
        </w:rPr>
        <w:t>〈</w:t>
      </w:r>
      <w:r>
        <w:rPr>
          <w:rFonts w:hint="eastAsia" w:ascii="仿宋" w:hAnsi="仿宋" w:eastAsia="仿宋" w:cs="仿宋"/>
          <w:sz w:val="32"/>
          <w:szCs w:val="32"/>
        </w:rPr>
        <w:t>深圳经济特区处理历史遗留违法私房若干规定</w:t>
      </w:r>
      <w:r>
        <w:rPr>
          <w:rFonts w:hint="eastAsia" w:ascii="微软雅黑" w:hAnsi="微软雅黑" w:eastAsia="微软雅黑" w:cs="微软雅黑"/>
          <w:sz w:val="32"/>
          <w:szCs w:val="32"/>
        </w:rPr>
        <w:t>〉</w:t>
      </w:r>
      <w:r>
        <w:rPr>
          <w:rFonts w:hint="eastAsia" w:ascii="仿宋" w:hAnsi="仿宋" w:eastAsia="仿宋" w:cs="仿宋"/>
          <w:sz w:val="32"/>
          <w:szCs w:val="32"/>
        </w:rPr>
        <w:t>实施细则》（深圳市人民政府令第111号）等规定执行。</w:t>
      </w:r>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color w:val="000000" w:themeColor="text1"/>
          <w:sz w:val="32"/>
          <w:szCs w:val="32"/>
          <w14:textFill>
            <w14:solidFill>
              <w14:schemeClr w14:val="tx1"/>
            </w14:solidFill>
          </w14:textFill>
        </w:rPr>
        <w:t>第二十</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七</w:t>
      </w:r>
      <w:r>
        <w:rPr>
          <w:rFonts w:hint="eastAsia" w:ascii="方正黑体_GBK" w:hAnsi="方正黑体_GBK" w:eastAsia="方正黑体_GBK" w:cs="方正黑体_GBK"/>
          <w:color w:val="000000" w:themeColor="text1"/>
          <w:sz w:val="32"/>
          <w:szCs w:val="32"/>
          <w14:textFill>
            <w14:solidFill>
              <w14:schemeClr w14:val="tx1"/>
            </w14:solidFill>
          </w14:textFill>
        </w:rPr>
        <w:t>条</w:t>
      </w:r>
      <w:r>
        <w:rPr>
          <w:rFonts w:hint="eastAsia" w:ascii="方正黑体_GBK" w:hAnsi="方正黑体_GBK" w:eastAsia="方正黑体_GBK" w:cs="方正黑体_GBK"/>
          <w:sz w:val="32"/>
          <w:szCs w:val="32"/>
        </w:rPr>
        <w:t xml:space="preserve"> 【关于不动产登记历史遗留问题等特殊情形】</w:t>
      </w:r>
      <w:r>
        <w:rPr>
          <w:rFonts w:ascii="仿宋" w:hAnsi="仿宋" w:eastAsia="仿宋" w:cs="仿宋"/>
          <w:sz w:val="32"/>
          <w:szCs w:val="32"/>
        </w:rPr>
        <w:t>按照</w:t>
      </w:r>
      <w:r>
        <w:rPr>
          <w:rFonts w:hint="eastAsia" w:ascii="仿宋" w:hAnsi="仿宋" w:eastAsia="仿宋" w:cs="仿宋"/>
          <w:sz w:val="32"/>
          <w:szCs w:val="32"/>
        </w:rPr>
        <w:t>《深圳市国有建设用地不动产登记历史遗留问题处理规定》（</w:t>
      </w:r>
      <w:r>
        <w:rPr>
          <w:rFonts w:ascii="仿宋" w:hAnsi="仿宋" w:eastAsia="仿宋" w:cs="仿宋"/>
          <w:sz w:val="32"/>
          <w:szCs w:val="32"/>
        </w:rPr>
        <w:t>深府规〔2025〕2号</w:t>
      </w:r>
      <w:r>
        <w:rPr>
          <w:rFonts w:hint="eastAsia" w:ascii="仿宋" w:hAnsi="仿宋" w:eastAsia="仿宋" w:cs="仿宋"/>
          <w:sz w:val="32"/>
          <w:szCs w:val="32"/>
        </w:rPr>
        <w:t>）等有关规定完善用地手续需补缴地价</w:t>
      </w:r>
      <w:r>
        <w:rPr>
          <w:rFonts w:ascii="仿宋" w:hAnsi="仿宋" w:eastAsia="仿宋" w:cs="仿宋"/>
          <w:sz w:val="32"/>
          <w:szCs w:val="32"/>
        </w:rPr>
        <w:t>的，按</w:t>
      </w:r>
      <w:r>
        <w:rPr>
          <w:rFonts w:hint="eastAsia" w:ascii="仿宋" w:hAnsi="仿宋" w:eastAsia="仿宋" w:cs="仿宋"/>
          <w:sz w:val="32"/>
          <w:szCs w:val="32"/>
        </w:rPr>
        <w:t>照</w:t>
      </w:r>
      <w:r>
        <w:rPr>
          <w:rFonts w:ascii="仿宋" w:hAnsi="仿宋" w:eastAsia="仿宋" w:cs="仿宋"/>
          <w:sz w:val="32"/>
          <w:szCs w:val="32"/>
        </w:rPr>
        <w:t>剩余土地使用年期计收地价</w:t>
      </w:r>
      <w:r>
        <w:rPr>
          <w:rFonts w:hint="eastAsia" w:ascii="仿宋" w:hAnsi="仿宋" w:eastAsia="仿宋" w:cs="仿宋"/>
          <w:sz w:val="32"/>
          <w:szCs w:val="32"/>
        </w:rPr>
        <w:t>，测算时点按照</w:t>
      </w:r>
      <w:r>
        <w:rPr>
          <w:rFonts w:hint="eastAsia" w:ascii="仿宋" w:hAnsi="仿宋" w:eastAsia="仿宋" w:cs="宋体"/>
          <w:kern w:val="0"/>
          <w:sz w:val="32"/>
          <w:szCs w:val="32"/>
        </w:rPr>
        <w:t>本办法</w:t>
      </w:r>
      <w:r>
        <w:rPr>
          <w:rFonts w:hint="eastAsia" w:ascii="仿宋" w:hAnsi="仿宋" w:eastAsia="仿宋" w:cs="仿宋"/>
          <w:sz w:val="32"/>
          <w:szCs w:val="32"/>
        </w:rPr>
        <w:t>第六条第一款第（二）项确定。</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2006年2月15日前以协议方式供应的土地，批准产权转移（包括已批准预售及销售、已办理产权转移登记等情形）的面积超出供应合同约定建筑面积的应补缴地价，按照</w:t>
      </w:r>
      <w:r>
        <w:rPr>
          <w:rFonts w:hint="eastAsia" w:ascii="仿宋" w:hAnsi="仿宋" w:eastAsia="仿宋" w:cs="仿宋"/>
          <w:color w:val="000000" w:themeColor="text1"/>
          <w:sz w:val="32"/>
          <w:szCs w:val="32"/>
          <w14:textFill>
            <w14:solidFill>
              <w14:schemeClr w14:val="tx1"/>
            </w14:solidFill>
          </w14:textFill>
        </w:rPr>
        <w:t>本办法</w:t>
      </w:r>
      <w:r>
        <w:rPr>
          <w:rFonts w:hint="eastAsia" w:ascii="仿宋" w:hAnsi="仿宋" w:eastAsia="仿宋" w:cs="仿宋"/>
          <w:color w:val="000000" w:themeColor="text1"/>
          <w:sz w:val="32"/>
          <w:szCs w:val="32"/>
          <w:lang w:eastAsia="zh-CN"/>
          <w14:textFill>
            <w14:solidFill>
              <w14:schemeClr w14:val="tx1"/>
            </w14:solidFill>
          </w14:textFill>
        </w:rPr>
        <w:t>第十六条</w:t>
      </w:r>
      <w:r>
        <w:rPr>
          <w:rFonts w:hint="eastAsia" w:ascii="仿宋" w:hAnsi="仿宋" w:eastAsia="仿宋" w:cs="仿宋"/>
          <w:sz w:val="32"/>
          <w:szCs w:val="32"/>
        </w:rPr>
        <w:t>测算结果的20%计收。</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因处理其他历史遗留问题涉及地价测算与本细则规定不一致的，由市规划和自然资源部门确定地价计收原则，报市政府审定。</w:t>
      </w:r>
    </w:p>
    <w:p>
      <w:pPr>
        <w:spacing w:line="560" w:lineRule="exact"/>
        <w:ind w:firstLineChars="200"/>
        <w:jc w:val="center"/>
        <w:outlineLvl w:val="0"/>
        <w:rPr>
          <w:rFonts w:hint="eastAsia" w:ascii="仿宋" w:hAnsi="仿宋" w:eastAsia="仿宋" w:cs="仿宋"/>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章 附 则</w:t>
      </w:r>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sz w:val="32"/>
          <w:szCs w:val="32"/>
        </w:rPr>
        <w:t>第</w:t>
      </w:r>
      <w:bookmarkStart w:id="19" w:name="OLE_LINK37"/>
      <w:bookmarkStart w:id="20" w:name="OLE_LINK34"/>
      <w:r>
        <w:rPr>
          <w:rFonts w:hint="eastAsia" w:ascii="方正黑体_GBK" w:hAnsi="方正黑体_GBK" w:eastAsia="方正黑体_GBK" w:cs="方正黑体_GBK"/>
          <w:color w:val="000000" w:themeColor="text1"/>
          <w:sz w:val="32"/>
          <w:szCs w:val="32"/>
          <w14:textFill>
            <w14:solidFill>
              <w14:schemeClr w14:val="tx1"/>
            </w14:solidFill>
          </w14:textFill>
        </w:rPr>
        <w:t>二十</w:t>
      </w:r>
      <w:bookmarkEnd w:id="19"/>
      <w:bookmarkEnd w:id="20"/>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八</w:t>
      </w:r>
      <w:r>
        <w:rPr>
          <w:rFonts w:hint="eastAsia" w:ascii="方正黑体_GBK" w:hAnsi="方正黑体_GBK" w:eastAsia="方正黑体_GBK" w:cs="方正黑体_GBK"/>
          <w:sz w:val="32"/>
          <w:szCs w:val="32"/>
        </w:rPr>
        <w:t>条 【地价分期缴交规定】</w:t>
      </w:r>
      <w:r>
        <w:rPr>
          <w:rFonts w:hint="eastAsia" w:ascii="仿宋" w:hAnsi="仿宋" w:eastAsia="仿宋" w:cs="仿宋"/>
          <w:sz w:val="32"/>
          <w:szCs w:val="32"/>
        </w:rPr>
        <w:t>地价应当按照规定期限及时、足额缴交。</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经有批准权的人民政府批准，地价可以分期缴交，首次缴交比例不得低于50%，余款自签订合同之日起1年内缴清。重点产业项目、城市更新项目、总部项目、通用产业用房项目分期缴交地价不计收利息，其余项目分期缴交地价应当按规定计收利息。</w:t>
      </w:r>
    </w:p>
    <w:p>
      <w:pPr>
        <w:widowControl/>
        <w:spacing w:line="560" w:lineRule="exact"/>
        <w:ind w:firstLineChars="200"/>
        <w:jc w:val="left"/>
        <w:rPr>
          <w:rFonts w:hint="eastAsia" w:ascii="仿宋" w:hAnsi="仿宋" w:eastAsia="仿宋" w:cs="仿宋"/>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color w:val="000000" w:themeColor="text1"/>
          <w:sz w:val="32"/>
          <w:szCs w:val="32"/>
          <w14:textFill>
            <w14:solidFill>
              <w14:schemeClr w14:val="tx1"/>
            </w14:solidFill>
          </w14:textFill>
        </w:rPr>
        <w:t>二十</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九</w:t>
      </w:r>
      <w:r>
        <w:rPr>
          <w:rFonts w:hint="eastAsia" w:ascii="方正黑体_GBK" w:hAnsi="方正黑体_GBK" w:eastAsia="方正黑体_GBK" w:cs="方正黑体_GBK"/>
          <w:sz w:val="32"/>
          <w:szCs w:val="32"/>
        </w:rPr>
        <w:t>条 【招拍挂方式供应并溢价成交地价分摊】</w:t>
      </w:r>
      <w:bookmarkStart w:id="21" w:name="OLE_LINK6"/>
      <w:bookmarkStart w:id="22" w:name="OLE_LINK7"/>
      <w:r>
        <w:rPr>
          <w:rFonts w:hint="eastAsia" w:ascii="仿宋" w:hAnsi="仿宋" w:eastAsia="仿宋" w:cs="宋体"/>
          <w:kern w:val="0"/>
          <w:sz w:val="32"/>
          <w:szCs w:val="32"/>
        </w:rPr>
        <w:t>以招</w:t>
      </w:r>
      <w:bookmarkStart w:id="23" w:name="OLE_LINK22"/>
      <w:bookmarkStart w:id="24" w:name="OLE_LINK21"/>
      <w:r>
        <w:rPr>
          <w:rFonts w:hint="eastAsia" w:ascii="仿宋" w:hAnsi="仿宋" w:eastAsia="仿宋" w:cs="宋体"/>
          <w:kern w:val="0"/>
          <w:sz w:val="32"/>
          <w:szCs w:val="32"/>
        </w:rPr>
        <w:t>拍挂方</w:t>
      </w:r>
      <w:bookmarkEnd w:id="23"/>
      <w:bookmarkEnd w:id="24"/>
      <w:r>
        <w:rPr>
          <w:rFonts w:hint="eastAsia" w:ascii="仿宋" w:hAnsi="仿宋" w:eastAsia="仿宋" w:cs="仿宋"/>
          <w:sz w:val="32"/>
          <w:szCs w:val="32"/>
        </w:rPr>
        <w:t>式供应并溢价成交的土地，成交溢价在不同建筑面积之间的具体分摊方式由土地使用权人自行确定。</w:t>
      </w:r>
      <w:bookmarkEnd w:id="21"/>
      <w:bookmarkEnd w:id="22"/>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color w:val="000000" w:themeColor="text1"/>
          <w:sz w:val="32"/>
          <w:szCs w:val="32"/>
          <w14:textFill>
            <w14:solidFill>
              <w14:schemeClr w14:val="tx1"/>
            </w14:solidFill>
          </w14:textFill>
        </w:rPr>
        <w:t>十</w:t>
      </w:r>
      <w:r>
        <w:rPr>
          <w:rFonts w:hint="eastAsia" w:ascii="方正黑体_GBK" w:hAnsi="方正黑体_GBK" w:eastAsia="方正黑体_GBK" w:cs="方正黑体_GBK"/>
          <w:sz w:val="32"/>
          <w:szCs w:val="32"/>
        </w:rPr>
        <w:t>条 【标定地价更新发布】</w:t>
      </w:r>
      <w:r>
        <w:rPr>
          <w:rFonts w:hint="eastAsia" w:ascii="仿宋" w:hAnsi="仿宋" w:eastAsia="仿宋" w:cs="仿宋"/>
          <w:sz w:val="32"/>
          <w:szCs w:val="32"/>
        </w:rPr>
        <w:t>标定地价成果由市规划和自然资源部门组织市非营利性评估机构按年度更新发布，市规划和自然资源部门</w:t>
      </w:r>
      <w:bookmarkStart w:id="25" w:name="OLE_LINK4"/>
      <w:bookmarkStart w:id="26" w:name="OLE_LINK3"/>
      <w:r>
        <w:rPr>
          <w:rFonts w:hint="eastAsia" w:ascii="仿宋" w:hAnsi="仿宋" w:eastAsia="仿宋" w:cs="仿宋"/>
          <w:sz w:val="32"/>
          <w:szCs w:val="32"/>
        </w:rPr>
        <w:t>可结合市场情况适时增加更新发布频次</w:t>
      </w:r>
      <w:bookmarkEnd w:id="25"/>
      <w:bookmarkEnd w:id="26"/>
      <w:r>
        <w:rPr>
          <w:rFonts w:hint="eastAsia" w:ascii="仿宋" w:hAnsi="仿宋" w:eastAsia="仿宋" w:cs="仿宋"/>
          <w:sz w:val="32"/>
          <w:szCs w:val="32"/>
        </w:rPr>
        <w:t>。标定地价成果以每年1月1日为估价时点开展更新工作。标定地价价格水平的变化幅度超过5%时，应当报市政府批准后发布。 </w:t>
      </w:r>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sz w:val="32"/>
          <w:szCs w:val="32"/>
        </w:rPr>
        <w:t>第三十</w:t>
      </w:r>
      <w:r>
        <w:rPr>
          <w:rFonts w:hint="eastAsia" w:ascii="方正黑体_GBK" w:hAnsi="方正黑体_GBK" w:eastAsia="方正黑体_GBK" w:cs="方正黑体_GBK"/>
          <w:sz w:val="32"/>
          <w:szCs w:val="32"/>
          <w:lang w:val="en-US" w:eastAsia="zh-CN"/>
        </w:rPr>
        <w:t>一</w:t>
      </w:r>
      <w:r>
        <w:rPr>
          <w:rFonts w:hint="eastAsia" w:ascii="方正黑体_GBK" w:hAnsi="方正黑体_GBK" w:eastAsia="方正黑体_GBK" w:cs="方正黑体_GBK"/>
          <w:sz w:val="32"/>
          <w:szCs w:val="32"/>
        </w:rPr>
        <w:t>条 【特殊情形评估】</w:t>
      </w:r>
      <w:r>
        <w:rPr>
          <w:rFonts w:hint="eastAsia" w:ascii="仿宋" w:hAnsi="仿宋" w:eastAsia="仿宋" w:cs="仿宋"/>
          <w:sz w:val="32"/>
          <w:szCs w:val="32"/>
        </w:rPr>
        <w:t>涉及高尔夫球场、地上规定建筑面积小于土地面积的住宅、平急两用建设项目、加油站、加气站、充换电站、建筑废弃物综合利用厂、混凝土搅拌站、附带安置房建设要求的土地出让及本办法未规定的其他特殊情形，由主管部门组织市非营利性评估机构另行评估。</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当期标定地价成果更新发布后，国家统计局发布的二手房价格指数或地价动态监测指数季度变化幅度超过5%，以及其他房地产市场形势发生重大变动的情形，市非营利性评估机构可以提出个案评估建议，经主管部门党组会议集体决策后纳入用地出让方案。</w:t>
      </w:r>
    </w:p>
    <w:p>
      <w:pPr>
        <w:spacing w:line="560" w:lineRule="exact"/>
        <w:ind w:firstLineChars="200"/>
        <w:rPr>
          <w:rFonts w:hint="eastAsia" w:ascii="仿宋" w:hAnsi="仿宋" w:eastAsia="仿宋" w:cs="仿宋"/>
          <w:sz w:val="32"/>
          <w:szCs w:val="32"/>
        </w:rPr>
      </w:pPr>
      <w:r>
        <w:rPr>
          <w:rFonts w:hint="eastAsia" w:ascii="方正黑体_GBK" w:hAnsi="方正黑体_GBK" w:eastAsia="方正黑体_GBK" w:cs="方正黑体_GBK"/>
          <w:sz w:val="32"/>
          <w:szCs w:val="32"/>
        </w:rPr>
        <w:t>第三十</w:t>
      </w: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条 【办法实施期限及解释权】</w:t>
      </w:r>
      <w:r>
        <w:rPr>
          <w:rFonts w:hint="eastAsia" w:ascii="仿宋" w:hAnsi="仿宋" w:eastAsia="仿宋" w:cs="仿宋"/>
          <w:sz w:val="32"/>
          <w:szCs w:val="32"/>
        </w:rPr>
        <w:t>本办法自</w:t>
      </w:r>
      <w:r>
        <w:rPr>
          <w:rFonts w:hint="eastAsia" w:ascii="仿宋" w:hAnsi="仿宋" w:eastAsia="仿宋" w:cs="仿宋"/>
          <w:sz w:val="32"/>
          <w:szCs w:val="32"/>
          <w:u w:val="none"/>
        </w:rPr>
        <w:t xml:space="preserve">   年  月  日</w:t>
      </w:r>
      <w:r>
        <w:rPr>
          <w:rFonts w:hint="eastAsia" w:ascii="仿宋" w:hAnsi="仿宋" w:eastAsia="仿宋" w:cs="仿宋"/>
          <w:sz w:val="32"/>
          <w:szCs w:val="32"/>
        </w:rPr>
        <w:t>起施行。《深圳市地价测算规则》（深府办规〔2019〕9号）和《〈深圳市地价测算规则〉附表（2025年修订稿）》（深规划资源〔2025〕773号）自本办法实施之日起废止。本办法实施前，已向主管部门申请并符合地价测算条件的（含变更补缴情形），地价计收标准及方式仍按照原有规定执行。</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因政策调整本办法不再涵盖的建筑类型按照《深圳市地价测算规则》（深府办规〔2019〕9号）、《〈深圳市地价测算规则〉附表（2020年修订稿）》（深规划资源发〔2020〕194号）、《〈深圳市地价测算规则〉附表（2025年修订稿）》（深规划资源〔2025〕773号）确定。</w:t>
      </w:r>
    </w:p>
    <w:p>
      <w:pPr>
        <w:spacing w:line="560" w:lineRule="exact"/>
        <w:ind w:firstLine="640" w:firstLineChars="200"/>
        <w:rPr>
          <w:rFonts w:hint="eastAsia" w:ascii="仿宋" w:hAnsi="仿宋" w:eastAsia="仿宋" w:cs="仿宋"/>
          <w:sz w:val="28"/>
          <w:szCs w:val="28"/>
        </w:rPr>
      </w:pPr>
      <w:bookmarkStart w:id="27" w:name="OLE_LINK30"/>
      <w:bookmarkStart w:id="28" w:name="OLE_LINK33"/>
      <w:r>
        <w:rPr>
          <w:rFonts w:hint="eastAsia" w:ascii="仿宋" w:hAnsi="仿宋" w:eastAsia="仿宋" w:cs="仿宋"/>
          <w:sz w:val="32"/>
          <w:szCs w:val="32"/>
        </w:rPr>
        <w:t>本办法由市规划和自然资源部门负责解释。</w:t>
      </w:r>
    </w:p>
    <w:p>
      <w:pPr>
        <w:spacing w:line="560" w:lineRule="exact"/>
        <w:ind w:firstLine="560" w:firstLineChars="200"/>
        <w:rPr>
          <w:rFonts w:hint="eastAsia" w:ascii="仿宋" w:hAnsi="仿宋" w:eastAsia="仿宋" w:cs="仿宋"/>
          <w:sz w:val="28"/>
          <w:szCs w:val="28"/>
        </w:rPr>
      </w:pPr>
    </w:p>
    <w:bookmarkEnd w:id="27"/>
    <w:bookmarkEnd w:id="28"/>
    <w:p>
      <w:pPr>
        <w:pStyle w:val="8"/>
        <w:spacing w:before="0" w:beforeAutospacing="0" w:after="0" w:afterAutospacing="0" w:line="570" w:lineRule="atLeast"/>
        <w:rPr>
          <w:rStyle w:val="12"/>
          <w:rFonts w:hint="eastAsia" w:ascii="楷体" w:hAnsi="楷体" w:eastAsia="楷体" w:cs="楷体"/>
          <w:sz w:val="32"/>
          <w:szCs w:val="32"/>
        </w:rPr>
      </w:pPr>
      <w:r>
        <w:rPr>
          <w:rStyle w:val="12"/>
          <w:rFonts w:hint="eastAsia" w:ascii="楷体" w:hAnsi="楷体" w:eastAsia="楷体" w:cs="楷体"/>
          <w:sz w:val="32"/>
          <w:szCs w:val="32"/>
        </w:rPr>
        <w:t>附件</w:t>
      </w:r>
    </w:p>
    <w:p>
      <w:pPr>
        <w:pStyle w:val="8"/>
        <w:spacing w:before="0" w:beforeAutospacing="0" w:after="0" w:afterAutospacing="0" w:line="570" w:lineRule="atLeast"/>
        <w:jc w:val="center"/>
        <w:rPr>
          <w:rStyle w:val="12"/>
          <w:rFonts w:hint="eastAsia" w:ascii="&amp;quot" w:hAnsi="&amp;quot"/>
          <w:sz w:val="44"/>
          <w:szCs w:val="44"/>
        </w:rPr>
      </w:pPr>
      <w:r>
        <w:rPr>
          <w:rStyle w:val="12"/>
          <w:rFonts w:hint="eastAsia" w:ascii="&amp;quot" w:hAnsi="&amp;quot"/>
          <w:sz w:val="44"/>
          <w:szCs w:val="44"/>
        </w:rPr>
        <w:t>《</w:t>
      </w:r>
      <w:r>
        <w:rPr>
          <w:rStyle w:val="12"/>
          <w:rFonts w:ascii="&amp;quot" w:hAnsi="&amp;quot"/>
          <w:sz w:val="44"/>
          <w:szCs w:val="44"/>
        </w:rPr>
        <w:t>深圳市地价</w:t>
      </w:r>
      <w:r>
        <w:rPr>
          <w:rStyle w:val="12"/>
          <w:rFonts w:hint="eastAsia" w:ascii="&amp;quot" w:hAnsi="&amp;quot"/>
          <w:sz w:val="44"/>
          <w:szCs w:val="44"/>
        </w:rPr>
        <w:t>管理办法实施细则》附表</w:t>
      </w:r>
    </w:p>
    <w:p>
      <w:pPr>
        <w:spacing w:line="579" w:lineRule="exact"/>
        <w:jc w:val="center"/>
        <w:outlineLvl w:val="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附表1  建筑类型适用地价标准及修正系数表</w:t>
      </w:r>
    </w:p>
    <w:tbl>
      <w:tblPr>
        <w:tblStyle w:val="10"/>
        <w:tblW w:w="5000" w:type="pct"/>
        <w:jc w:val="center"/>
        <w:tblLayout w:type="autofit"/>
        <w:tblCellMar>
          <w:top w:w="0" w:type="dxa"/>
          <w:left w:w="108" w:type="dxa"/>
          <w:bottom w:w="0" w:type="dxa"/>
          <w:right w:w="108" w:type="dxa"/>
        </w:tblCellMar>
      </w:tblPr>
      <w:tblGrid>
        <w:gridCol w:w="673"/>
        <w:gridCol w:w="5197"/>
        <w:gridCol w:w="1749"/>
        <w:gridCol w:w="903"/>
      </w:tblGrid>
      <w:tr>
        <w:tblPrEx>
          <w:tblCellMar>
            <w:top w:w="0" w:type="dxa"/>
            <w:left w:w="108" w:type="dxa"/>
            <w:bottom w:w="0" w:type="dxa"/>
            <w:right w:w="108" w:type="dxa"/>
          </w:tblCellMar>
        </w:tblPrEx>
        <w:trPr>
          <w:trHeight w:val="284" w:hRule="atLeast"/>
          <w:jc w:val="center"/>
        </w:trPr>
        <w:tc>
          <w:tcPr>
            <w:tcW w:w="395" w:type="pct"/>
            <w:tcBorders>
              <w:top w:val="single" w:color="auto" w:sz="4" w:space="0"/>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b/>
                <w:sz w:val="24"/>
              </w:rPr>
            </w:pPr>
            <w:r>
              <w:rPr>
                <w:rFonts w:hint="eastAsia" w:ascii="仿宋_GB2312" w:hAnsi="仿宋_GB2312" w:eastAsia="仿宋_GB2312" w:cs="仿宋_GB2312"/>
                <w:b/>
                <w:sz w:val="24"/>
              </w:rPr>
              <w:t>序号</w:t>
            </w:r>
          </w:p>
        </w:tc>
        <w:tc>
          <w:tcPr>
            <w:tcW w:w="3049" w:type="pct"/>
            <w:tcBorders>
              <w:top w:val="single" w:color="auto" w:sz="4" w:space="0"/>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b/>
                <w:sz w:val="24"/>
              </w:rPr>
            </w:pPr>
            <w:r>
              <w:rPr>
                <w:rFonts w:hint="eastAsia" w:ascii="仿宋_GB2312" w:hAnsi="仿宋_GB2312" w:eastAsia="仿宋_GB2312" w:cs="仿宋_GB2312"/>
                <w:b/>
                <w:sz w:val="24"/>
              </w:rPr>
              <w:t>建筑类型</w:t>
            </w:r>
          </w:p>
        </w:tc>
        <w:tc>
          <w:tcPr>
            <w:tcW w:w="1026" w:type="pct"/>
            <w:tcBorders>
              <w:top w:val="single" w:color="auto" w:sz="4" w:space="0"/>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b/>
                <w:sz w:val="24"/>
              </w:rPr>
            </w:pPr>
            <w:r>
              <w:rPr>
                <w:rFonts w:hint="eastAsia" w:ascii="仿宋_GB2312" w:hAnsi="仿宋_GB2312" w:eastAsia="仿宋_GB2312" w:cs="仿宋_GB2312"/>
                <w:b/>
                <w:sz w:val="24"/>
              </w:rPr>
              <w:t>适用地价类型</w:t>
            </w:r>
          </w:p>
        </w:tc>
        <w:tc>
          <w:tcPr>
            <w:tcW w:w="529" w:type="pct"/>
            <w:tcBorders>
              <w:top w:val="single" w:color="auto" w:sz="4" w:space="0"/>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b/>
                <w:sz w:val="24"/>
              </w:rPr>
            </w:pPr>
            <w:r>
              <w:rPr>
                <w:rFonts w:hint="eastAsia" w:ascii="仿宋_GB2312" w:hAnsi="仿宋_GB2312" w:eastAsia="仿宋_GB2312" w:cs="仿宋_GB2312"/>
                <w:b/>
                <w:sz w:val="24"/>
              </w:rPr>
              <w:t>修正</w:t>
            </w:r>
          </w:p>
          <w:p>
            <w:pPr>
              <w:spacing w:line="290" w:lineRule="exact"/>
              <w:jc w:val="center"/>
              <w:rPr>
                <w:rFonts w:hint="eastAsia" w:ascii="仿宋_GB2312" w:hAnsi="仿宋_GB2312" w:eastAsia="仿宋_GB2312" w:cs="仿宋_GB2312"/>
                <w:b/>
                <w:sz w:val="24"/>
              </w:rPr>
            </w:pPr>
            <w:r>
              <w:rPr>
                <w:rFonts w:hint="eastAsia" w:ascii="仿宋_GB2312" w:hAnsi="仿宋_GB2312" w:eastAsia="仿宋_GB2312" w:cs="仿宋_GB2312"/>
                <w:b/>
                <w:sz w:val="24"/>
              </w:rPr>
              <w:t>系数</w:t>
            </w:r>
          </w:p>
        </w:tc>
      </w:tr>
      <w:tr>
        <w:tblPrEx>
          <w:tblCellMar>
            <w:top w:w="0" w:type="dxa"/>
            <w:left w:w="108" w:type="dxa"/>
            <w:bottom w:w="0" w:type="dxa"/>
            <w:right w:w="108" w:type="dxa"/>
          </w:tblCellMar>
        </w:tblPrEx>
        <w:trPr>
          <w:trHeight w:val="284" w:hRule="atLeast"/>
          <w:jc w:val="center"/>
        </w:trPr>
        <w:tc>
          <w:tcPr>
            <w:tcW w:w="395" w:type="pct"/>
            <w:tcBorders>
              <w:top w:val="single" w:color="auto" w:sz="4" w:space="0"/>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3049" w:type="pct"/>
            <w:tcBorders>
              <w:top w:val="single" w:color="auto" w:sz="4" w:space="0"/>
              <w:left w:val="nil"/>
              <w:bottom w:val="single" w:color="auto" w:sz="4" w:space="0"/>
              <w:right w:val="single" w:color="auto" w:sz="4" w:space="0"/>
            </w:tcBorders>
            <w:vAlign w:val="center"/>
          </w:tcPr>
          <w:p>
            <w:pPr>
              <w:spacing w:line="29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厂房（含新型产业用地中的厂房）、仓库（含物流用地中的仓库）</w:t>
            </w:r>
          </w:p>
        </w:tc>
        <w:tc>
          <w:tcPr>
            <w:tcW w:w="1026" w:type="pct"/>
            <w:tcBorders>
              <w:top w:val="single" w:color="auto" w:sz="4" w:space="0"/>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工业</w:t>
            </w:r>
            <w:r>
              <w:rPr>
                <w:rFonts w:hint="eastAsia" w:ascii="仿宋_GB2312" w:hAnsi="仿宋_GB2312" w:eastAsia="仿宋_GB2312" w:cs="仿宋_GB2312"/>
                <w:sz w:val="24"/>
                <w:highlight w:val="none"/>
              </w:rPr>
              <w:t>（含产业发展类）</w:t>
            </w:r>
          </w:p>
        </w:tc>
        <w:tc>
          <w:tcPr>
            <w:tcW w:w="529" w:type="pct"/>
            <w:tcBorders>
              <w:top w:val="single" w:color="auto" w:sz="4" w:space="0"/>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r>
      <w:tr>
        <w:tblPrEx>
          <w:tblCellMar>
            <w:top w:w="0" w:type="dxa"/>
            <w:left w:w="108" w:type="dxa"/>
            <w:bottom w:w="0" w:type="dxa"/>
            <w:right w:w="108" w:type="dxa"/>
          </w:tblCellMar>
        </w:tblPrEx>
        <w:trPr>
          <w:trHeight w:val="284" w:hRule="atLeast"/>
          <w:jc w:val="center"/>
        </w:trPr>
        <w:tc>
          <w:tcPr>
            <w:tcW w:w="395" w:type="pct"/>
            <w:tcBorders>
              <w:top w:val="single" w:color="auto" w:sz="4" w:space="0"/>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3049" w:type="pct"/>
            <w:tcBorders>
              <w:top w:val="single" w:color="auto" w:sz="4" w:space="0"/>
              <w:left w:val="nil"/>
              <w:bottom w:val="single" w:color="auto" w:sz="4" w:space="0"/>
              <w:right w:val="single" w:color="auto" w:sz="4" w:space="0"/>
            </w:tcBorders>
            <w:vAlign w:val="center"/>
          </w:tcPr>
          <w:p>
            <w:pPr>
              <w:spacing w:line="29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研发用房、物流建筑</w:t>
            </w:r>
          </w:p>
        </w:tc>
        <w:tc>
          <w:tcPr>
            <w:tcW w:w="1026" w:type="pct"/>
            <w:tcBorders>
              <w:top w:val="single" w:color="auto" w:sz="4" w:space="0"/>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新型产业</w:t>
            </w:r>
            <w:r>
              <w:rPr>
                <w:rFonts w:hint="eastAsia" w:ascii="仿宋_GB2312" w:hAnsi="仿宋_GB2312" w:eastAsia="仿宋_GB2312" w:cs="仿宋_GB2312"/>
                <w:sz w:val="24"/>
                <w:highlight w:val="none"/>
              </w:rPr>
              <w:t>（含产业发展类）</w:t>
            </w:r>
          </w:p>
        </w:tc>
        <w:tc>
          <w:tcPr>
            <w:tcW w:w="529" w:type="pct"/>
            <w:tcBorders>
              <w:top w:val="single" w:color="auto" w:sz="4" w:space="0"/>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r>
      <w:tr>
        <w:tblPrEx>
          <w:tblCellMar>
            <w:top w:w="0" w:type="dxa"/>
            <w:left w:w="108" w:type="dxa"/>
            <w:bottom w:w="0" w:type="dxa"/>
            <w:right w:w="108" w:type="dxa"/>
          </w:tblCellMar>
        </w:tblPrEx>
        <w:trPr>
          <w:trHeight w:val="284" w:hRule="atLeast"/>
          <w:jc w:val="center"/>
        </w:trPr>
        <w:tc>
          <w:tcPr>
            <w:tcW w:w="395" w:type="pct"/>
            <w:tcBorders>
              <w:top w:val="single" w:color="auto" w:sz="4" w:space="0"/>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ascii="仿宋_GB2312" w:hAnsi="仿宋_GB2312" w:eastAsia="仿宋_GB2312" w:cs="仿宋_GB2312"/>
                <w:sz w:val="24"/>
              </w:rPr>
              <w:t>3</w:t>
            </w:r>
          </w:p>
        </w:tc>
        <w:tc>
          <w:tcPr>
            <w:tcW w:w="3049" w:type="pct"/>
            <w:tcBorders>
              <w:top w:val="single" w:color="auto" w:sz="4" w:space="0"/>
              <w:left w:val="nil"/>
              <w:bottom w:val="single" w:color="auto" w:sz="4" w:space="0"/>
              <w:right w:val="single" w:color="auto" w:sz="4" w:space="0"/>
            </w:tcBorders>
            <w:vAlign w:val="center"/>
          </w:tcPr>
          <w:p>
            <w:pPr>
              <w:spacing w:line="29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住宅</w:t>
            </w:r>
          </w:p>
        </w:tc>
        <w:tc>
          <w:tcPr>
            <w:tcW w:w="1026" w:type="pct"/>
            <w:vMerge w:val="restart"/>
            <w:tcBorders>
              <w:top w:val="single" w:color="auto" w:sz="4" w:space="0"/>
              <w:left w:val="nil"/>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住宅</w:t>
            </w:r>
          </w:p>
        </w:tc>
        <w:tc>
          <w:tcPr>
            <w:tcW w:w="529" w:type="pct"/>
            <w:tcBorders>
              <w:top w:val="single" w:color="auto" w:sz="4" w:space="0"/>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r>
      <w:tr>
        <w:tblPrEx>
          <w:tblCellMar>
            <w:top w:w="0" w:type="dxa"/>
            <w:left w:w="108" w:type="dxa"/>
            <w:bottom w:w="0" w:type="dxa"/>
            <w:right w:w="108" w:type="dxa"/>
          </w:tblCellMar>
        </w:tblPrEx>
        <w:trPr>
          <w:trHeight w:val="284" w:hRule="atLeast"/>
          <w:jc w:val="center"/>
        </w:trPr>
        <w:tc>
          <w:tcPr>
            <w:tcW w:w="395" w:type="pct"/>
            <w:tcBorders>
              <w:top w:val="single" w:color="auto" w:sz="4" w:space="0"/>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3049" w:type="pct"/>
            <w:tcBorders>
              <w:top w:val="single" w:color="auto" w:sz="4" w:space="0"/>
              <w:left w:val="nil"/>
              <w:bottom w:val="single" w:color="auto" w:sz="4" w:space="0"/>
              <w:right w:val="single" w:color="auto" w:sz="4" w:space="0"/>
            </w:tcBorders>
            <w:vAlign w:val="center"/>
          </w:tcPr>
          <w:p>
            <w:pPr>
              <w:spacing w:line="29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宿舍</w:t>
            </w:r>
          </w:p>
        </w:tc>
        <w:tc>
          <w:tcPr>
            <w:tcW w:w="1026" w:type="pct"/>
            <w:vMerge w:val="continue"/>
            <w:tcBorders>
              <w:left w:val="nil"/>
              <w:right w:val="single" w:color="auto" w:sz="4" w:space="0"/>
            </w:tcBorders>
            <w:vAlign w:val="center"/>
          </w:tcPr>
          <w:p>
            <w:pPr>
              <w:spacing w:line="290" w:lineRule="exact"/>
              <w:jc w:val="center"/>
              <w:rPr>
                <w:rFonts w:hint="eastAsia" w:ascii="仿宋_GB2312" w:hAnsi="仿宋_GB2312" w:eastAsia="仿宋_GB2312" w:cs="仿宋_GB2312"/>
                <w:sz w:val="24"/>
              </w:rPr>
            </w:pPr>
          </w:p>
        </w:tc>
        <w:tc>
          <w:tcPr>
            <w:tcW w:w="529" w:type="pct"/>
            <w:tcBorders>
              <w:top w:val="single" w:color="auto" w:sz="4" w:space="0"/>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0.6</w:t>
            </w:r>
          </w:p>
        </w:tc>
      </w:tr>
      <w:tr>
        <w:tblPrEx>
          <w:tblCellMar>
            <w:top w:w="0" w:type="dxa"/>
            <w:left w:w="108" w:type="dxa"/>
            <w:bottom w:w="0" w:type="dxa"/>
            <w:right w:w="108" w:type="dxa"/>
          </w:tblCellMar>
        </w:tblPrEx>
        <w:trPr>
          <w:trHeight w:val="284" w:hRule="atLeast"/>
          <w:jc w:val="center"/>
        </w:trPr>
        <w:tc>
          <w:tcPr>
            <w:tcW w:w="395" w:type="pct"/>
            <w:tcBorders>
              <w:top w:val="single" w:color="auto" w:sz="4" w:space="0"/>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3049" w:type="pct"/>
            <w:tcBorders>
              <w:top w:val="single" w:color="auto" w:sz="4" w:space="0"/>
              <w:left w:val="nil"/>
              <w:bottom w:val="single" w:color="auto" w:sz="4" w:space="0"/>
              <w:right w:val="single" w:color="auto" w:sz="4" w:space="0"/>
            </w:tcBorders>
            <w:vAlign w:val="center"/>
          </w:tcPr>
          <w:p>
            <w:pPr>
              <w:spacing w:line="290" w:lineRule="exact"/>
              <w:rPr>
                <w:rFonts w:hint="eastAsia" w:ascii="仿宋_GB2312" w:hAnsi="仿宋_GB2312" w:eastAsia="仿宋_GB2312" w:cs="仿宋_GB2312"/>
                <w:sz w:val="24"/>
              </w:rPr>
            </w:pPr>
            <w:r>
              <w:rPr>
                <w:rFonts w:hint="eastAsia" w:ascii="仿宋_GB2312" w:hAnsi="仿宋_GB2312" w:eastAsia="仿宋_GB2312" w:cs="仿宋_GB2312"/>
                <w:sz w:val="24"/>
              </w:rPr>
              <w:t>办公</w:t>
            </w:r>
          </w:p>
        </w:tc>
        <w:tc>
          <w:tcPr>
            <w:tcW w:w="1026" w:type="pct"/>
            <w:vMerge w:val="restart"/>
            <w:tcBorders>
              <w:top w:val="single" w:color="auto" w:sz="4" w:space="0"/>
              <w:left w:val="single" w:color="auto" w:sz="4" w:space="0"/>
              <w:right w:val="nil"/>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办公</w:t>
            </w:r>
          </w:p>
        </w:tc>
        <w:tc>
          <w:tcPr>
            <w:tcW w:w="529" w:type="pct"/>
            <w:tcBorders>
              <w:top w:val="nil"/>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r>
      <w:tr>
        <w:tblPrEx>
          <w:tblCellMar>
            <w:top w:w="0" w:type="dxa"/>
            <w:left w:w="108" w:type="dxa"/>
            <w:bottom w:w="0" w:type="dxa"/>
            <w:right w:w="108" w:type="dxa"/>
          </w:tblCellMar>
        </w:tblPrEx>
        <w:trPr>
          <w:trHeight w:val="284" w:hRule="atLeast"/>
          <w:jc w:val="center"/>
        </w:trPr>
        <w:tc>
          <w:tcPr>
            <w:tcW w:w="395" w:type="pct"/>
            <w:tcBorders>
              <w:top w:val="nil"/>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3049" w:type="pct"/>
            <w:tcBorders>
              <w:top w:val="single" w:color="auto" w:sz="4" w:space="0"/>
              <w:left w:val="nil"/>
              <w:bottom w:val="single" w:color="auto" w:sz="4" w:space="0"/>
              <w:right w:val="single" w:color="auto" w:sz="4" w:space="0"/>
            </w:tcBorders>
            <w:vAlign w:val="center"/>
          </w:tcPr>
          <w:p>
            <w:pPr>
              <w:spacing w:line="290" w:lineRule="exact"/>
              <w:rPr>
                <w:rFonts w:hint="eastAsia" w:ascii="仿宋_GB2312" w:hAnsi="仿宋_GB2312" w:eastAsia="仿宋_GB2312" w:cs="仿宋_GB2312"/>
                <w:sz w:val="24"/>
              </w:rPr>
            </w:pPr>
            <w:r>
              <w:rPr>
                <w:rFonts w:hint="eastAsia" w:ascii="仿宋_GB2312" w:hAnsi="仿宋_GB2312" w:eastAsia="仿宋_GB2312" w:cs="仿宋_GB2312"/>
                <w:sz w:val="24"/>
              </w:rPr>
              <w:t>会议中心</w:t>
            </w:r>
          </w:p>
        </w:tc>
        <w:tc>
          <w:tcPr>
            <w:tcW w:w="1026" w:type="pct"/>
            <w:vMerge w:val="continue"/>
            <w:tcBorders>
              <w:left w:val="single" w:color="auto" w:sz="4" w:space="0"/>
              <w:right w:val="nil"/>
            </w:tcBorders>
            <w:vAlign w:val="center"/>
          </w:tcPr>
          <w:p>
            <w:pPr>
              <w:spacing w:line="290" w:lineRule="exact"/>
              <w:jc w:val="center"/>
              <w:rPr>
                <w:rFonts w:hint="eastAsia" w:ascii="仿宋_GB2312" w:hAnsi="仿宋_GB2312" w:eastAsia="仿宋_GB2312" w:cs="仿宋_GB2312"/>
                <w:sz w:val="24"/>
              </w:rPr>
            </w:pPr>
          </w:p>
        </w:tc>
        <w:tc>
          <w:tcPr>
            <w:tcW w:w="529" w:type="pct"/>
            <w:tcBorders>
              <w:top w:val="nil"/>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0.5</w:t>
            </w:r>
          </w:p>
        </w:tc>
      </w:tr>
      <w:tr>
        <w:tblPrEx>
          <w:tblCellMar>
            <w:top w:w="0" w:type="dxa"/>
            <w:left w:w="108" w:type="dxa"/>
            <w:bottom w:w="0" w:type="dxa"/>
            <w:right w:w="108" w:type="dxa"/>
          </w:tblCellMar>
        </w:tblPrEx>
        <w:trPr>
          <w:trHeight w:val="284" w:hRule="atLeast"/>
          <w:jc w:val="center"/>
        </w:trPr>
        <w:tc>
          <w:tcPr>
            <w:tcW w:w="395" w:type="pct"/>
            <w:tcBorders>
              <w:top w:val="nil"/>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3049" w:type="pct"/>
            <w:tcBorders>
              <w:top w:val="single" w:color="auto" w:sz="4" w:space="0"/>
              <w:left w:val="nil"/>
              <w:bottom w:val="single" w:color="auto" w:sz="4" w:space="0"/>
              <w:right w:val="single" w:color="auto" w:sz="4" w:space="0"/>
            </w:tcBorders>
            <w:vAlign w:val="center"/>
          </w:tcPr>
          <w:p>
            <w:pPr>
              <w:spacing w:line="290" w:lineRule="exact"/>
              <w:rPr>
                <w:rFonts w:hint="eastAsia" w:ascii="仿宋_GB2312" w:hAnsi="仿宋_GB2312" w:eastAsia="仿宋_GB2312" w:cs="仿宋_GB2312"/>
                <w:sz w:val="24"/>
              </w:rPr>
            </w:pPr>
            <w:r>
              <w:rPr>
                <w:rFonts w:hint="eastAsia" w:ascii="仿宋_GB2312" w:hAnsi="仿宋_GB2312" w:eastAsia="仿宋_GB2312" w:cs="仿宋_GB2312"/>
                <w:sz w:val="24"/>
              </w:rPr>
              <w:t>社会停车场（库）、</w:t>
            </w:r>
            <w:bookmarkStart w:id="29" w:name="OLE_LINK14"/>
            <w:r>
              <w:rPr>
                <w:rFonts w:hint="eastAsia" w:ascii="仿宋_GB2312" w:hAnsi="仿宋_GB2312" w:eastAsia="仿宋_GB2312" w:cs="仿宋_GB2312"/>
                <w:color w:val="auto"/>
                <w:sz w:val="24"/>
                <w:u w:val="none"/>
              </w:rPr>
              <w:t>邮政支局、邮政所</w:t>
            </w:r>
            <w:bookmarkEnd w:id="29"/>
          </w:p>
        </w:tc>
        <w:tc>
          <w:tcPr>
            <w:tcW w:w="1026" w:type="pct"/>
            <w:vMerge w:val="continue"/>
            <w:tcBorders>
              <w:left w:val="single" w:color="auto" w:sz="4" w:space="0"/>
              <w:bottom w:val="single" w:color="auto" w:sz="4" w:space="0"/>
              <w:right w:val="nil"/>
            </w:tcBorders>
            <w:vAlign w:val="center"/>
          </w:tcPr>
          <w:p>
            <w:pPr>
              <w:spacing w:line="290" w:lineRule="exact"/>
              <w:jc w:val="center"/>
              <w:rPr>
                <w:rFonts w:hint="eastAsia" w:ascii="仿宋_GB2312" w:hAnsi="仿宋_GB2312" w:eastAsia="仿宋_GB2312" w:cs="仿宋_GB2312"/>
                <w:sz w:val="24"/>
              </w:rPr>
            </w:pPr>
          </w:p>
        </w:tc>
        <w:tc>
          <w:tcPr>
            <w:tcW w:w="529" w:type="pct"/>
            <w:tcBorders>
              <w:top w:val="nil"/>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0.1</w:t>
            </w:r>
          </w:p>
        </w:tc>
      </w:tr>
      <w:tr>
        <w:tblPrEx>
          <w:tblCellMar>
            <w:top w:w="0" w:type="dxa"/>
            <w:left w:w="108" w:type="dxa"/>
            <w:bottom w:w="0" w:type="dxa"/>
            <w:right w:w="108" w:type="dxa"/>
          </w:tblCellMar>
        </w:tblPrEx>
        <w:trPr>
          <w:trHeight w:val="90" w:hRule="atLeast"/>
          <w:jc w:val="center"/>
        </w:trPr>
        <w:tc>
          <w:tcPr>
            <w:tcW w:w="395" w:type="pct"/>
            <w:tcBorders>
              <w:top w:val="single" w:color="auto" w:sz="4" w:space="0"/>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8</w:t>
            </w:r>
          </w:p>
        </w:tc>
        <w:tc>
          <w:tcPr>
            <w:tcW w:w="3049" w:type="pct"/>
            <w:tcBorders>
              <w:top w:val="nil"/>
              <w:left w:val="nil"/>
              <w:bottom w:val="single" w:color="auto" w:sz="4" w:space="0"/>
              <w:right w:val="single" w:color="auto" w:sz="4" w:space="0"/>
            </w:tcBorders>
            <w:vAlign w:val="center"/>
          </w:tcPr>
          <w:p>
            <w:pPr>
              <w:spacing w:line="290" w:lineRule="exact"/>
              <w:rPr>
                <w:rFonts w:hint="eastAsia" w:ascii="仿宋_GB2312" w:hAnsi="仿宋_GB2312" w:eastAsia="仿宋_GB2312" w:cs="仿宋_GB2312"/>
                <w:sz w:val="24"/>
              </w:rPr>
            </w:pPr>
            <w:r>
              <w:rPr>
                <w:rFonts w:hint="eastAsia" w:ascii="仿宋_GB2312" w:hAnsi="仿宋_GB2312" w:eastAsia="仿宋_GB2312" w:cs="仿宋_GB2312"/>
                <w:sz w:val="24"/>
              </w:rPr>
              <w:t>商业（不包括旅馆业建筑、肉菜市场、游乐设施、会议中心）</w:t>
            </w:r>
          </w:p>
        </w:tc>
        <w:tc>
          <w:tcPr>
            <w:tcW w:w="1026" w:type="pct"/>
            <w:vMerge w:val="restart"/>
            <w:tcBorders>
              <w:top w:val="single" w:color="auto" w:sz="4" w:space="0"/>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商业</w:t>
            </w:r>
          </w:p>
        </w:tc>
        <w:tc>
          <w:tcPr>
            <w:tcW w:w="529" w:type="pct"/>
            <w:tcBorders>
              <w:top w:val="nil"/>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r>
      <w:tr>
        <w:tblPrEx>
          <w:tblCellMar>
            <w:top w:w="0" w:type="dxa"/>
            <w:left w:w="108" w:type="dxa"/>
            <w:bottom w:w="0" w:type="dxa"/>
            <w:right w:w="108" w:type="dxa"/>
          </w:tblCellMar>
        </w:tblPrEx>
        <w:trPr>
          <w:trHeight w:val="284" w:hRule="atLeast"/>
          <w:jc w:val="center"/>
        </w:trPr>
        <w:tc>
          <w:tcPr>
            <w:tcW w:w="395" w:type="pct"/>
            <w:tcBorders>
              <w:top w:val="single" w:color="auto" w:sz="4" w:space="0"/>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9</w:t>
            </w:r>
          </w:p>
        </w:tc>
        <w:tc>
          <w:tcPr>
            <w:tcW w:w="3049" w:type="pct"/>
            <w:tcBorders>
              <w:top w:val="nil"/>
              <w:left w:val="nil"/>
              <w:bottom w:val="single" w:color="auto" w:sz="4" w:space="0"/>
              <w:right w:val="single" w:color="auto" w:sz="4" w:space="0"/>
            </w:tcBorders>
            <w:vAlign w:val="center"/>
          </w:tcPr>
          <w:p>
            <w:pPr>
              <w:spacing w:line="290" w:lineRule="exact"/>
              <w:rPr>
                <w:rFonts w:hint="eastAsia" w:ascii="仿宋_GB2312" w:hAnsi="仿宋_GB2312" w:eastAsia="仿宋_GB2312" w:cs="仿宋_GB2312"/>
                <w:sz w:val="24"/>
              </w:rPr>
            </w:pPr>
            <w:r>
              <w:rPr>
                <w:rFonts w:hint="eastAsia" w:ascii="仿宋_GB2312" w:hAnsi="仿宋_GB2312" w:eastAsia="仿宋_GB2312" w:cs="仿宋_GB2312"/>
                <w:sz w:val="24"/>
              </w:rPr>
              <w:t>游乐设施</w:t>
            </w:r>
          </w:p>
        </w:tc>
        <w:tc>
          <w:tcPr>
            <w:tcW w:w="1026" w:type="pct"/>
            <w:vMerge w:val="continue"/>
            <w:tcBorders>
              <w:top w:val="single" w:color="auto" w:sz="4" w:space="0"/>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p>
        </w:tc>
        <w:tc>
          <w:tcPr>
            <w:tcW w:w="529" w:type="pct"/>
            <w:tcBorders>
              <w:top w:val="nil"/>
              <w:left w:val="nil"/>
              <w:bottom w:val="single" w:color="auto" w:sz="4" w:space="0"/>
              <w:right w:val="single" w:color="auto" w:sz="4" w:space="0"/>
            </w:tcBorders>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0.4</w:t>
            </w:r>
          </w:p>
        </w:tc>
      </w:tr>
      <w:tr>
        <w:tblPrEx>
          <w:tblCellMar>
            <w:top w:w="0" w:type="dxa"/>
            <w:left w:w="108" w:type="dxa"/>
            <w:bottom w:w="0" w:type="dxa"/>
            <w:right w:w="108" w:type="dxa"/>
          </w:tblCellMar>
        </w:tblPrEx>
        <w:trPr>
          <w:trHeight w:val="284" w:hRule="atLeast"/>
          <w:jc w:val="center"/>
        </w:trPr>
        <w:tc>
          <w:tcPr>
            <w:tcW w:w="395" w:type="pct"/>
            <w:tcBorders>
              <w:top w:val="single" w:color="auto" w:sz="4" w:space="0"/>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10</w:t>
            </w:r>
          </w:p>
        </w:tc>
        <w:tc>
          <w:tcPr>
            <w:tcW w:w="3049" w:type="pct"/>
            <w:tcBorders>
              <w:top w:val="nil"/>
              <w:left w:val="nil"/>
              <w:bottom w:val="single" w:color="auto" w:sz="4" w:space="0"/>
              <w:right w:val="single" w:color="auto" w:sz="4" w:space="0"/>
            </w:tcBorders>
            <w:vAlign w:val="center"/>
          </w:tcPr>
          <w:p>
            <w:pPr>
              <w:spacing w:line="290" w:lineRule="exact"/>
              <w:rPr>
                <w:rFonts w:hint="eastAsia" w:ascii="仿宋_GB2312" w:hAnsi="仿宋_GB2312" w:eastAsia="仿宋_GB2312" w:cs="仿宋_GB2312"/>
                <w:sz w:val="24"/>
              </w:rPr>
            </w:pPr>
            <w:r>
              <w:rPr>
                <w:rFonts w:hint="eastAsia" w:ascii="仿宋_GB2312" w:hAnsi="仿宋_GB2312" w:eastAsia="仿宋_GB2312" w:cs="仿宋_GB2312"/>
                <w:sz w:val="24"/>
              </w:rPr>
              <w:t>肉菜市场</w:t>
            </w:r>
          </w:p>
        </w:tc>
        <w:tc>
          <w:tcPr>
            <w:tcW w:w="1026" w:type="pct"/>
            <w:vMerge w:val="continue"/>
            <w:tcBorders>
              <w:top w:val="single" w:color="auto" w:sz="4" w:space="0"/>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p>
        </w:tc>
        <w:tc>
          <w:tcPr>
            <w:tcW w:w="529" w:type="pct"/>
            <w:tcBorders>
              <w:top w:val="nil"/>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0.3</w:t>
            </w:r>
          </w:p>
        </w:tc>
      </w:tr>
      <w:tr>
        <w:tblPrEx>
          <w:tblCellMar>
            <w:top w:w="0" w:type="dxa"/>
            <w:left w:w="108" w:type="dxa"/>
            <w:bottom w:w="0" w:type="dxa"/>
            <w:right w:w="108" w:type="dxa"/>
          </w:tblCellMar>
        </w:tblPrEx>
        <w:trPr>
          <w:trHeight w:val="284" w:hRule="atLeast"/>
          <w:jc w:val="center"/>
        </w:trPr>
        <w:tc>
          <w:tcPr>
            <w:tcW w:w="395" w:type="pct"/>
            <w:tcBorders>
              <w:top w:val="single" w:color="auto" w:sz="4" w:space="0"/>
              <w:left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11</w:t>
            </w:r>
          </w:p>
        </w:tc>
        <w:tc>
          <w:tcPr>
            <w:tcW w:w="3049" w:type="pct"/>
            <w:tcBorders>
              <w:top w:val="nil"/>
              <w:left w:val="nil"/>
              <w:bottom w:val="single" w:color="auto" w:sz="4" w:space="0"/>
              <w:right w:val="single" w:color="auto" w:sz="4" w:space="0"/>
            </w:tcBorders>
            <w:vAlign w:val="center"/>
          </w:tcPr>
          <w:p>
            <w:pPr>
              <w:spacing w:line="290" w:lineRule="exact"/>
              <w:rPr>
                <w:rFonts w:hint="eastAsia" w:ascii="仿宋_GB2312" w:hAnsi="仿宋_GB2312" w:eastAsia="仿宋_GB2312" w:cs="仿宋_GB2312"/>
                <w:sz w:val="24"/>
              </w:rPr>
            </w:pPr>
            <w:r>
              <w:rPr>
                <w:rFonts w:hint="eastAsia" w:ascii="仿宋_GB2312" w:hAnsi="仿宋_GB2312" w:eastAsia="仿宋_GB2312" w:cs="仿宋_GB2312"/>
                <w:sz w:val="24"/>
              </w:rPr>
              <w:t>旅馆业建筑</w:t>
            </w:r>
          </w:p>
        </w:tc>
        <w:tc>
          <w:tcPr>
            <w:tcW w:w="1026" w:type="pct"/>
            <w:tcBorders>
              <w:top w:val="single" w:color="auto" w:sz="4" w:space="0"/>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酒店</w:t>
            </w:r>
          </w:p>
        </w:tc>
        <w:tc>
          <w:tcPr>
            <w:tcW w:w="529" w:type="pct"/>
            <w:tcBorders>
              <w:top w:val="nil"/>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r>
      <w:tr>
        <w:tblPrEx>
          <w:tblCellMar>
            <w:top w:w="0" w:type="dxa"/>
            <w:left w:w="108" w:type="dxa"/>
            <w:bottom w:w="0" w:type="dxa"/>
            <w:right w:w="108" w:type="dxa"/>
          </w:tblCellMar>
        </w:tblPrEx>
        <w:trPr>
          <w:trHeight w:val="284" w:hRule="atLeast"/>
          <w:jc w:val="center"/>
        </w:trPr>
        <w:tc>
          <w:tcPr>
            <w:tcW w:w="395" w:type="pct"/>
            <w:tcBorders>
              <w:top w:val="single" w:color="auto" w:sz="4" w:space="0"/>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12</w:t>
            </w:r>
          </w:p>
        </w:tc>
        <w:tc>
          <w:tcPr>
            <w:tcW w:w="3049" w:type="pct"/>
            <w:tcBorders>
              <w:top w:val="nil"/>
              <w:left w:val="nil"/>
              <w:bottom w:val="single" w:color="auto" w:sz="4" w:space="0"/>
              <w:right w:val="single" w:color="auto" w:sz="4" w:space="0"/>
            </w:tcBorders>
            <w:vAlign w:val="center"/>
          </w:tcPr>
          <w:p>
            <w:pPr>
              <w:spacing w:line="290" w:lineRule="exact"/>
              <w:rPr>
                <w:rFonts w:hint="eastAsia" w:ascii="仿宋_GB2312" w:hAnsi="仿宋_GB2312" w:eastAsia="仿宋_GB2312" w:cs="仿宋_GB2312"/>
                <w:sz w:val="24"/>
              </w:rPr>
            </w:pPr>
            <w:r>
              <w:rPr>
                <w:rFonts w:hint="eastAsia" w:ascii="仿宋_GB2312" w:hAnsi="仿宋_GB2312" w:eastAsia="仿宋_GB2312" w:cs="仿宋_GB2312"/>
                <w:sz w:val="24"/>
              </w:rPr>
              <w:t>文化设施、医疗卫生设施、教育设施、体育设施、幼儿园（托儿所）</w:t>
            </w:r>
          </w:p>
        </w:tc>
        <w:tc>
          <w:tcPr>
            <w:tcW w:w="1026" w:type="pct"/>
            <w:vMerge w:val="restart"/>
            <w:tcBorders>
              <w:top w:val="single" w:color="auto" w:sz="4" w:space="0"/>
              <w:left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公共管理与服务设施</w:t>
            </w:r>
          </w:p>
        </w:tc>
        <w:tc>
          <w:tcPr>
            <w:tcW w:w="529" w:type="pct"/>
            <w:tcBorders>
              <w:top w:val="nil"/>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r>
      <w:tr>
        <w:tblPrEx>
          <w:tblCellMar>
            <w:top w:w="0" w:type="dxa"/>
            <w:left w:w="108" w:type="dxa"/>
            <w:bottom w:w="0" w:type="dxa"/>
            <w:right w:w="108" w:type="dxa"/>
          </w:tblCellMar>
        </w:tblPrEx>
        <w:trPr>
          <w:trHeight w:val="90" w:hRule="atLeast"/>
          <w:jc w:val="center"/>
        </w:trPr>
        <w:tc>
          <w:tcPr>
            <w:tcW w:w="395" w:type="pct"/>
            <w:tcBorders>
              <w:top w:val="single" w:color="auto" w:sz="4" w:space="0"/>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13</w:t>
            </w:r>
          </w:p>
        </w:tc>
        <w:tc>
          <w:tcPr>
            <w:tcW w:w="3049" w:type="pct"/>
            <w:tcBorders>
              <w:top w:val="nil"/>
              <w:left w:val="nil"/>
              <w:bottom w:val="single" w:color="auto" w:sz="4" w:space="0"/>
              <w:right w:val="single" w:color="auto" w:sz="4" w:space="0"/>
            </w:tcBorders>
            <w:vAlign w:val="center"/>
          </w:tcPr>
          <w:p>
            <w:pPr>
              <w:spacing w:line="290" w:lineRule="exact"/>
              <w:rPr>
                <w:rFonts w:hint="eastAsia" w:ascii="仿宋_GB2312" w:hAnsi="仿宋_GB2312" w:eastAsia="仿宋_GB2312" w:cs="仿宋_GB2312"/>
                <w:sz w:val="24"/>
              </w:rPr>
            </w:pPr>
            <w:r>
              <w:rPr>
                <w:rFonts w:hint="eastAsia" w:ascii="仿宋_GB2312" w:hAnsi="仿宋_GB2312" w:eastAsia="仿宋_GB2312" w:cs="仿宋_GB2312"/>
                <w:kern w:val="0"/>
                <w:sz w:val="24"/>
              </w:rPr>
              <w:t>文化遗产、宗教建筑、社会福利设施、特殊建筑</w:t>
            </w:r>
          </w:p>
        </w:tc>
        <w:tc>
          <w:tcPr>
            <w:tcW w:w="1026" w:type="pct"/>
            <w:vMerge w:val="continue"/>
            <w:tcBorders>
              <w:left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p>
        </w:tc>
        <w:tc>
          <w:tcPr>
            <w:tcW w:w="529" w:type="pct"/>
            <w:tcBorders>
              <w:top w:val="nil"/>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0.3</w:t>
            </w:r>
          </w:p>
        </w:tc>
      </w:tr>
      <w:tr>
        <w:tblPrEx>
          <w:tblCellMar>
            <w:top w:w="0" w:type="dxa"/>
            <w:left w:w="108" w:type="dxa"/>
            <w:bottom w:w="0" w:type="dxa"/>
            <w:right w:w="108" w:type="dxa"/>
          </w:tblCellMar>
        </w:tblPrEx>
        <w:trPr>
          <w:trHeight w:val="284" w:hRule="atLeast"/>
          <w:jc w:val="center"/>
        </w:trPr>
        <w:tc>
          <w:tcPr>
            <w:tcW w:w="395" w:type="pct"/>
            <w:tcBorders>
              <w:top w:val="single" w:color="auto" w:sz="4" w:space="0"/>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14</w:t>
            </w:r>
          </w:p>
        </w:tc>
        <w:tc>
          <w:tcPr>
            <w:tcW w:w="3049" w:type="pct"/>
            <w:tcBorders>
              <w:top w:val="nil"/>
              <w:left w:val="nil"/>
              <w:bottom w:val="single" w:color="auto" w:sz="4" w:space="0"/>
              <w:right w:val="single" w:color="auto" w:sz="4" w:space="0"/>
            </w:tcBorders>
            <w:vAlign w:val="center"/>
          </w:tcPr>
          <w:p>
            <w:pPr>
              <w:spacing w:line="29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科研设施</w:t>
            </w:r>
          </w:p>
        </w:tc>
        <w:tc>
          <w:tcPr>
            <w:tcW w:w="1026" w:type="pct"/>
            <w:vMerge w:val="continue"/>
            <w:tcBorders>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p>
        </w:tc>
        <w:tc>
          <w:tcPr>
            <w:tcW w:w="529" w:type="pct"/>
            <w:tcBorders>
              <w:top w:val="nil"/>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0.1</w:t>
            </w:r>
          </w:p>
        </w:tc>
      </w:tr>
      <w:tr>
        <w:tblPrEx>
          <w:tblCellMar>
            <w:top w:w="0" w:type="dxa"/>
            <w:left w:w="108" w:type="dxa"/>
            <w:bottom w:w="0" w:type="dxa"/>
            <w:right w:w="108" w:type="dxa"/>
          </w:tblCellMar>
        </w:tblPrEx>
        <w:trPr>
          <w:trHeight w:val="284" w:hRule="atLeast"/>
          <w:jc w:val="center"/>
        </w:trPr>
        <w:tc>
          <w:tcPr>
            <w:tcW w:w="395" w:type="pct"/>
            <w:tcBorders>
              <w:top w:val="single" w:color="auto" w:sz="4" w:space="0"/>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15</w:t>
            </w:r>
          </w:p>
        </w:tc>
        <w:tc>
          <w:tcPr>
            <w:tcW w:w="3049" w:type="pct"/>
            <w:tcBorders>
              <w:top w:val="nil"/>
              <w:left w:val="nil"/>
              <w:bottom w:val="single" w:color="auto" w:sz="4" w:space="0"/>
              <w:right w:val="single" w:color="auto" w:sz="4" w:space="0"/>
            </w:tcBorders>
            <w:vAlign w:val="center"/>
          </w:tcPr>
          <w:p>
            <w:pPr>
              <w:spacing w:line="290" w:lineRule="exact"/>
              <w:rPr>
                <w:rFonts w:hint="eastAsia" w:ascii="仿宋_GB2312" w:hAnsi="仿宋_GB2312" w:eastAsia="仿宋_GB2312" w:cs="仿宋_GB2312"/>
                <w:sz w:val="24"/>
              </w:rPr>
            </w:pPr>
            <w:r>
              <w:rPr>
                <w:rFonts w:hint="eastAsia" w:ascii="仿宋_GB2312" w:hAnsi="仿宋_GB2312" w:eastAsia="仿宋_GB2312" w:cs="仿宋_GB2312"/>
                <w:sz w:val="24"/>
              </w:rPr>
              <w:t>市政设施及施工配套设施、训考场、殡葬设施</w:t>
            </w:r>
          </w:p>
        </w:tc>
        <w:tc>
          <w:tcPr>
            <w:tcW w:w="1026" w:type="pct"/>
            <w:vMerge w:val="restart"/>
            <w:tcBorders>
              <w:top w:val="single" w:color="auto" w:sz="4" w:space="0"/>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公用设施</w:t>
            </w:r>
          </w:p>
        </w:tc>
        <w:tc>
          <w:tcPr>
            <w:tcW w:w="529" w:type="pct"/>
            <w:tcBorders>
              <w:top w:val="nil"/>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r>
      <w:tr>
        <w:tblPrEx>
          <w:tblCellMar>
            <w:top w:w="0" w:type="dxa"/>
            <w:left w:w="108" w:type="dxa"/>
            <w:bottom w:w="0" w:type="dxa"/>
            <w:right w:w="108" w:type="dxa"/>
          </w:tblCellMar>
        </w:tblPrEx>
        <w:trPr>
          <w:trHeight w:val="284" w:hRule="atLeast"/>
          <w:jc w:val="center"/>
        </w:trPr>
        <w:tc>
          <w:tcPr>
            <w:tcW w:w="395" w:type="pct"/>
            <w:tcBorders>
              <w:top w:val="single" w:color="auto" w:sz="4" w:space="0"/>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16</w:t>
            </w:r>
          </w:p>
        </w:tc>
        <w:tc>
          <w:tcPr>
            <w:tcW w:w="3049" w:type="pct"/>
            <w:tcBorders>
              <w:top w:val="nil"/>
              <w:left w:val="nil"/>
              <w:bottom w:val="single" w:color="auto" w:sz="4" w:space="0"/>
              <w:right w:val="single" w:color="auto" w:sz="4" w:space="0"/>
            </w:tcBorders>
            <w:vAlign w:val="center"/>
          </w:tcPr>
          <w:p>
            <w:pPr>
              <w:spacing w:line="290" w:lineRule="exact"/>
              <w:rPr>
                <w:rFonts w:hint="eastAsia" w:ascii="仿宋_GB2312" w:hAnsi="仿宋_GB2312" w:eastAsia="仿宋_GB2312" w:cs="仿宋_GB2312"/>
                <w:sz w:val="24"/>
              </w:rPr>
            </w:pPr>
            <w:r>
              <w:rPr>
                <w:rFonts w:hint="eastAsia" w:ascii="仿宋_GB2312" w:hAnsi="仿宋_GB2312" w:eastAsia="仿宋_GB2312" w:cs="仿宋_GB2312"/>
                <w:sz w:val="24"/>
              </w:rPr>
              <w:t>交通设施[不含训考场、社会停车场（库）]，综合管廊</w:t>
            </w:r>
          </w:p>
        </w:tc>
        <w:tc>
          <w:tcPr>
            <w:tcW w:w="1026" w:type="pct"/>
            <w:vMerge w:val="continue"/>
            <w:tcBorders>
              <w:top w:val="single" w:color="auto" w:sz="4" w:space="0"/>
              <w:left w:val="single" w:color="auto" w:sz="4" w:space="0"/>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p>
        </w:tc>
        <w:tc>
          <w:tcPr>
            <w:tcW w:w="529" w:type="pct"/>
            <w:tcBorders>
              <w:top w:val="nil"/>
              <w:left w:val="nil"/>
              <w:bottom w:val="single" w:color="auto" w:sz="4" w:space="0"/>
              <w:right w:val="single" w:color="auto" w:sz="4" w:space="0"/>
            </w:tcBorders>
            <w:vAlign w:val="center"/>
          </w:tcPr>
          <w:p>
            <w:pPr>
              <w:spacing w:line="29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0.3</w:t>
            </w:r>
          </w:p>
        </w:tc>
      </w:tr>
      <w:tr>
        <w:tblPrEx>
          <w:tblCellMar>
            <w:top w:w="0" w:type="dxa"/>
            <w:left w:w="108" w:type="dxa"/>
            <w:bottom w:w="0" w:type="dxa"/>
            <w:right w:w="108" w:type="dxa"/>
          </w:tblCellMar>
        </w:tblPrEx>
        <w:trPr>
          <w:trHeight w:val="284"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pPr>
              <w:widowControl/>
              <w:spacing w:line="29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备注：</w:t>
            </w:r>
            <w:r>
              <w:rPr>
                <w:rFonts w:ascii="仿宋_GB2312" w:hAnsi="仿宋_GB2312" w:eastAsia="仿宋_GB2312" w:cs="仿宋_GB2312"/>
                <w:kern w:val="0"/>
                <w:sz w:val="24"/>
              </w:rPr>
              <w:t xml:space="preserve"> </w:t>
            </w:r>
          </w:p>
          <w:p>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1．本表建筑类型对应《深圳市城市规划标准与准则》。</w:t>
            </w:r>
          </w:p>
          <w:p>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2．上表中未涵盖的其他配建建筑类型按主体建筑类型地价标准测算地价。主体建筑类型是规划许可文件中面积占比最大的建筑类型；无法确定的按规划许可文件中的土地用途确定。</w:t>
            </w:r>
          </w:p>
          <w:p>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3．产业用地配套的办公、宿舍、商业等建筑面积经基础修正后的楼面单价不得低于同等条件下产业主体建筑类型的楼面单价。</w:t>
            </w:r>
          </w:p>
          <w:p>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4．交通设施、市政设施用地配套的辅助设施、管理维修设施和必要附属设施，按主体建筑类型测算地价。</w:t>
            </w:r>
          </w:p>
          <w:p>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5．本表序号6、</w:t>
            </w:r>
            <w:r>
              <w:rPr>
                <w:rFonts w:hint="eastAsia" w:ascii="仿宋_GB2312" w:hAnsi="仿宋_GB2312" w:eastAsia="仿宋_GB2312" w:cs="仿宋_GB2312"/>
                <w:color w:val="000000" w:themeColor="text1"/>
                <w:kern w:val="0"/>
                <w:sz w:val="24"/>
                <w14:textFill>
                  <w14:solidFill>
                    <w14:schemeClr w14:val="tx1"/>
                  </w14:solidFill>
                </w14:textFill>
              </w:rPr>
              <w:t>7、</w:t>
            </w:r>
            <w:r>
              <w:rPr>
                <w:rFonts w:hint="eastAsia" w:ascii="仿宋_GB2312" w:hAnsi="仿宋_GB2312" w:eastAsia="仿宋_GB2312" w:cs="仿宋_GB2312"/>
                <w:kern w:val="0"/>
                <w:sz w:val="24"/>
              </w:rPr>
              <w:t>9、</w:t>
            </w:r>
            <w:r>
              <w:rPr>
                <w:rFonts w:ascii="仿宋_GB2312" w:hAnsi="仿宋_GB2312" w:eastAsia="仿宋_GB2312" w:cs="仿宋_GB2312"/>
                <w:kern w:val="0"/>
                <w:sz w:val="24"/>
              </w:rPr>
              <w:t>10</w:t>
            </w:r>
            <w:r>
              <w:rPr>
                <w:rFonts w:hint="eastAsia" w:ascii="仿宋_GB2312" w:hAnsi="仿宋_GB2312" w:eastAsia="仿宋_GB2312" w:cs="仿宋_GB2312"/>
                <w:kern w:val="0"/>
                <w:sz w:val="24"/>
              </w:rPr>
              <w:t>、11建筑类型原则上应在出让方案或供应合同中明确该类建筑类型限整体转让。</w:t>
            </w:r>
          </w:p>
        </w:tc>
      </w:tr>
    </w:tbl>
    <w:p>
      <w:pPr>
        <w:spacing w:line="579" w:lineRule="exact"/>
        <w:jc w:val="center"/>
        <w:outlineLvl w:val="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附表1-</w:t>
      </w:r>
      <w:r>
        <w:rPr>
          <w:rFonts w:ascii="仿宋_GB2312" w:hAnsi="仿宋_GB2312" w:eastAsia="仿宋_GB2312" w:cs="仿宋_GB2312"/>
          <w:b/>
          <w:bCs/>
          <w:kern w:val="0"/>
          <w:sz w:val="32"/>
          <w:szCs w:val="32"/>
        </w:rPr>
        <w:t>1</w:t>
      </w:r>
      <w:r>
        <w:rPr>
          <w:rFonts w:hint="eastAsia" w:ascii="仿宋_GB2312" w:hAnsi="仿宋_GB2312" w:eastAsia="仿宋_GB2312" w:cs="仿宋_GB2312"/>
          <w:b/>
          <w:bCs/>
          <w:kern w:val="0"/>
          <w:sz w:val="32"/>
          <w:szCs w:val="32"/>
        </w:rPr>
        <w:t xml:space="preserve">  保障性住房类型修正系数表</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2"/>
        <w:gridCol w:w="6351"/>
        <w:gridCol w:w="1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541" w:type="pct"/>
            <w:vAlign w:val="center"/>
          </w:tcPr>
          <w:p>
            <w:pPr>
              <w:widowControl/>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序号</w:t>
            </w:r>
          </w:p>
        </w:tc>
        <w:tc>
          <w:tcPr>
            <w:tcW w:w="3726" w:type="pct"/>
            <w:vAlign w:val="center"/>
          </w:tcPr>
          <w:p>
            <w:pPr>
              <w:widowControl/>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保障性住房类型</w:t>
            </w:r>
          </w:p>
        </w:tc>
        <w:tc>
          <w:tcPr>
            <w:tcW w:w="734" w:type="pct"/>
            <w:vAlign w:val="center"/>
          </w:tcPr>
          <w:p>
            <w:pPr>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修正系数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atLeast"/>
          <w:jc w:val="center"/>
        </w:trPr>
        <w:tc>
          <w:tcPr>
            <w:tcW w:w="541" w:type="pct"/>
            <w:vAlign w:val="center"/>
          </w:tcPr>
          <w:p>
            <w:pPr>
              <w:widowControl/>
              <w:spacing w:line="360" w:lineRule="exact"/>
              <w:jc w:val="center"/>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1</w:t>
            </w:r>
          </w:p>
        </w:tc>
        <w:tc>
          <w:tcPr>
            <w:tcW w:w="3726" w:type="pct"/>
            <w:vAlign w:val="center"/>
          </w:tcPr>
          <w:p>
            <w:pPr>
              <w:widowControl/>
              <w:spacing w:line="360" w:lineRule="exact"/>
              <w:jc w:val="center"/>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公共租赁住房</w:t>
            </w:r>
          </w:p>
        </w:tc>
        <w:tc>
          <w:tcPr>
            <w:tcW w:w="734" w:type="pct"/>
            <w:vAlign w:val="center"/>
          </w:tcPr>
          <w:p>
            <w:pPr>
              <w:spacing w:line="360" w:lineRule="exact"/>
              <w:jc w:val="center"/>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0</w:t>
            </w:r>
            <w:r>
              <w:rPr>
                <w:rFonts w:ascii="仿宋_GB2312" w:hAnsi="仿宋_GB2312" w:eastAsia="仿宋_GB2312" w:cs="仿宋_GB2312"/>
                <w:bCs/>
                <w:kern w:val="0"/>
                <w:sz w:val="24"/>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541" w:type="pct"/>
            <w:vAlign w:val="center"/>
          </w:tcPr>
          <w:p>
            <w:pPr>
              <w:widowControl/>
              <w:spacing w:line="360" w:lineRule="exact"/>
              <w:jc w:val="center"/>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2</w:t>
            </w:r>
          </w:p>
        </w:tc>
        <w:tc>
          <w:tcPr>
            <w:tcW w:w="3726" w:type="pct"/>
            <w:vAlign w:val="center"/>
          </w:tcPr>
          <w:p>
            <w:pPr>
              <w:widowControl/>
              <w:spacing w:line="360" w:lineRule="exact"/>
              <w:jc w:val="center"/>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保障性租赁住房（政府组织配租）</w:t>
            </w:r>
          </w:p>
        </w:tc>
        <w:tc>
          <w:tcPr>
            <w:tcW w:w="734" w:type="pct"/>
            <w:vAlign w:val="center"/>
          </w:tcPr>
          <w:p>
            <w:pPr>
              <w:spacing w:line="360" w:lineRule="exact"/>
              <w:jc w:val="center"/>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0</w:t>
            </w:r>
            <w:r>
              <w:rPr>
                <w:rFonts w:ascii="仿宋_GB2312" w:hAnsi="仿宋_GB2312" w:eastAsia="仿宋_GB2312" w:cs="仿宋_GB2312"/>
                <w:bCs/>
                <w:kern w:val="0"/>
                <w:sz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atLeast"/>
          <w:jc w:val="center"/>
        </w:trPr>
        <w:tc>
          <w:tcPr>
            <w:tcW w:w="541" w:type="pct"/>
            <w:vAlign w:val="center"/>
          </w:tcPr>
          <w:p>
            <w:pPr>
              <w:widowControl/>
              <w:spacing w:line="360" w:lineRule="exact"/>
              <w:jc w:val="center"/>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3</w:t>
            </w:r>
          </w:p>
        </w:tc>
        <w:tc>
          <w:tcPr>
            <w:tcW w:w="3726" w:type="pct"/>
            <w:vAlign w:val="center"/>
          </w:tcPr>
          <w:p>
            <w:pPr>
              <w:widowControl/>
              <w:spacing w:line="360" w:lineRule="exact"/>
              <w:jc w:val="center"/>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保障性租赁住房（社会主体出租）</w:t>
            </w:r>
          </w:p>
        </w:tc>
        <w:tc>
          <w:tcPr>
            <w:tcW w:w="734" w:type="pct"/>
            <w:vAlign w:val="center"/>
          </w:tcPr>
          <w:p>
            <w:pPr>
              <w:spacing w:line="360" w:lineRule="exact"/>
              <w:jc w:val="center"/>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0</w:t>
            </w:r>
            <w:r>
              <w:rPr>
                <w:rFonts w:ascii="仿宋_GB2312" w:hAnsi="仿宋_GB2312" w:eastAsia="仿宋_GB2312" w:cs="仿宋_GB2312"/>
                <w:bCs/>
                <w:kern w:val="0"/>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541" w:type="pct"/>
            <w:vAlign w:val="center"/>
          </w:tcPr>
          <w:p>
            <w:pPr>
              <w:widowControl/>
              <w:spacing w:line="360" w:lineRule="exact"/>
              <w:jc w:val="center"/>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4</w:t>
            </w:r>
          </w:p>
        </w:tc>
        <w:tc>
          <w:tcPr>
            <w:tcW w:w="3726" w:type="pct"/>
            <w:vAlign w:val="center"/>
          </w:tcPr>
          <w:p>
            <w:pPr>
              <w:widowControl/>
              <w:spacing w:line="360" w:lineRule="exact"/>
              <w:jc w:val="center"/>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配售型保障性住房</w:t>
            </w:r>
          </w:p>
        </w:tc>
        <w:tc>
          <w:tcPr>
            <w:tcW w:w="734" w:type="pct"/>
            <w:vAlign w:val="center"/>
          </w:tcPr>
          <w:p>
            <w:pPr>
              <w:widowControl/>
              <w:spacing w:line="360" w:lineRule="exact"/>
              <w:jc w:val="center"/>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见备注</w:t>
            </w:r>
            <w:r>
              <w:rPr>
                <w:rFonts w:ascii="仿宋_GB2312" w:hAnsi="仿宋_GB2312" w:eastAsia="仿宋_GB2312" w:cs="仿宋_GB2312"/>
                <w:bCs/>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atLeast"/>
          <w:jc w:val="center"/>
        </w:trPr>
        <w:tc>
          <w:tcPr>
            <w:tcW w:w="5000" w:type="pct"/>
            <w:gridSpan w:val="3"/>
            <w:vAlign w:val="center"/>
          </w:tcPr>
          <w:p>
            <w:pPr>
              <w:widowControl/>
              <w:spacing w:line="360" w:lineRule="exact"/>
              <w:jc w:val="left"/>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备注：</w:t>
            </w:r>
          </w:p>
          <w:p>
            <w:pPr>
              <w:widowControl/>
              <w:spacing w:line="360" w:lineRule="exact"/>
              <w:jc w:val="left"/>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1．本表建筑类型不适用产权条件修正系数。</w:t>
            </w:r>
          </w:p>
          <w:p>
            <w:pPr>
              <w:widowControl/>
              <w:spacing w:line="360" w:lineRule="exact"/>
              <w:jc w:val="left"/>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2．宿舍型保障性租赁住房同时适用附表1宿舍建筑类型修正系数及本表，不适用产业项目类型修正系数。</w:t>
            </w:r>
          </w:p>
          <w:p>
            <w:pPr>
              <w:widowControl/>
              <w:spacing w:line="360" w:lineRule="exact"/>
              <w:jc w:val="left"/>
              <w:rPr>
                <w:rFonts w:hint="eastAsia" w:ascii="仿宋_GB2312" w:hAnsi="仿宋_GB2312" w:eastAsia="仿宋_GB2312" w:cs="仿宋_GB2312"/>
                <w:bCs/>
                <w:strike/>
                <w:kern w:val="0"/>
                <w:sz w:val="24"/>
              </w:rPr>
            </w:pPr>
            <w:r>
              <w:rPr>
                <w:rFonts w:ascii="仿宋_GB2312" w:hAnsi="仿宋_GB2312" w:eastAsia="仿宋_GB2312" w:cs="仿宋_GB2312"/>
                <w:bCs/>
                <w:color w:val="000000" w:themeColor="text1"/>
                <w:kern w:val="0"/>
                <w:sz w:val="24"/>
                <w14:textFill>
                  <w14:solidFill>
                    <w14:schemeClr w14:val="tx1"/>
                  </w14:solidFill>
                </w14:textFill>
              </w:rPr>
              <w:t>3</w:t>
            </w:r>
            <w:r>
              <w:rPr>
                <w:rFonts w:hint="eastAsia" w:ascii="仿宋_GB2312" w:hAnsi="仿宋_GB2312" w:eastAsia="仿宋_GB2312" w:cs="仿宋_GB2312"/>
                <w:bCs/>
                <w:color w:val="000000" w:themeColor="text1"/>
                <w:kern w:val="0"/>
                <w:sz w:val="24"/>
                <w14:textFill>
                  <w14:solidFill>
                    <w14:schemeClr w14:val="tx1"/>
                  </w14:solidFill>
                </w14:textFill>
              </w:rPr>
              <w:t>．配售型保障性住房及配套设施的土地取得成本按国家及我市有关规定执行。</w:t>
            </w:r>
          </w:p>
        </w:tc>
      </w:tr>
    </w:tbl>
    <w:p>
      <w:pPr>
        <w:spacing w:line="579" w:lineRule="exact"/>
        <w:jc w:val="center"/>
        <w:outlineLvl w:val="0"/>
        <w:rPr>
          <w:rFonts w:hint="eastAsia" w:ascii="仿宋_GB2312" w:hAnsi="仿宋_GB2312" w:eastAsia="仿宋_GB2312" w:cs="仿宋_GB2312"/>
          <w:b/>
          <w:bCs/>
          <w:kern w:val="0"/>
          <w:sz w:val="28"/>
          <w:szCs w:val="32"/>
        </w:rPr>
      </w:pPr>
      <w:r>
        <w:rPr>
          <w:rFonts w:hint="eastAsia" w:ascii="仿宋_GB2312" w:hAnsi="仿宋_GB2312" w:eastAsia="仿宋_GB2312" w:cs="仿宋_GB2312"/>
          <w:b/>
          <w:bCs/>
          <w:kern w:val="0"/>
          <w:sz w:val="28"/>
          <w:szCs w:val="32"/>
        </w:rPr>
        <w:t>附表2</w:t>
      </w:r>
      <w:r>
        <w:rPr>
          <w:rFonts w:ascii="仿宋_GB2312" w:hAnsi="仿宋_GB2312" w:eastAsia="仿宋_GB2312" w:cs="仿宋_GB2312"/>
          <w:b/>
          <w:bCs/>
          <w:kern w:val="0"/>
          <w:sz w:val="28"/>
          <w:szCs w:val="32"/>
        </w:rPr>
        <w:t xml:space="preserve">  </w:t>
      </w:r>
      <w:r>
        <w:rPr>
          <w:rFonts w:hint="eastAsia" w:ascii="仿宋_GB2312" w:hAnsi="仿宋_GB2312" w:eastAsia="仿宋_GB2312" w:cs="仿宋_GB2312"/>
          <w:b/>
          <w:bCs/>
          <w:kern w:val="0"/>
          <w:sz w:val="28"/>
          <w:szCs w:val="28"/>
        </w:rPr>
        <w:t>土地使用年期修正系数表</w:t>
      </w:r>
    </w:p>
    <w:tbl>
      <w:tblPr>
        <w:tblStyle w:val="1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7"/>
        <w:gridCol w:w="961"/>
        <w:gridCol w:w="961"/>
        <w:gridCol w:w="961"/>
        <w:gridCol w:w="961"/>
        <w:gridCol w:w="961"/>
        <w:gridCol w:w="961"/>
        <w:gridCol w:w="962"/>
        <w:gridCol w:w="9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blHeader/>
          <w:jc w:val="center"/>
        </w:trPr>
        <w:tc>
          <w:tcPr>
            <w:tcW w:w="48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年期</w:t>
            </w:r>
          </w:p>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n</w:t>
            </w:r>
          </w:p>
        </w:tc>
        <w:tc>
          <w:tcPr>
            <w:tcW w:w="564"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住宅类（70年）</w:t>
            </w:r>
          </w:p>
        </w:tc>
        <w:tc>
          <w:tcPr>
            <w:tcW w:w="564"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商业类（40年）</w:t>
            </w:r>
          </w:p>
        </w:tc>
        <w:tc>
          <w:tcPr>
            <w:tcW w:w="564"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办公类（40年）</w:t>
            </w:r>
          </w:p>
        </w:tc>
        <w:tc>
          <w:tcPr>
            <w:tcW w:w="564"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工业类（30年）</w:t>
            </w:r>
          </w:p>
        </w:tc>
        <w:tc>
          <w:tcPr>
            <w:tcW w:w="564"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新型产业类（30年）</w:t>
            </w:r>
          </w:p>
        </w:tc>
        <w:tc>
          <w:tcPr>
            <w:tcW w:w="564"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酒店类（40年）</w:t>
            </w:r>
          </w:p>
        </w:tc>
        <w:tc>
          <w:tcPr>
            <w:tcW w:w="564"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公共管理与服务设施类（50年）</w:t>
            </w:r>
          </w:p>
        </w:tc>
        <w:tc>
          <w:tcPr>
            <w:tcW w:w="56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公用设施类（50年）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85" w:type="pct"/>
            <w:tcBorders>
              <w:top w:val="single" w:color="auto"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1</w:t>
            </w:r>
          </w:p>
        </w:tc>
        <w:tc>
          <w:tcPr>
            <w:tcW w:w="564" w:type="pct"/>
            <w:tcBorders>
              <w:top w:val="single" w:color="auto"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0.0419 </w:t>
            </w:r>
          </w:p>
        </w:tc>
        <w:tc>
          <w:tcPr>
            <w:tcW w:w="564" w:type="pct"/>
            <w:tcBorders>
              <w:top w:val="single" w:color="auto"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0.0527 </w:t>
            </w:r>
          </w:p>
        </w:tc>
        <w:tc>
          <w:tcPr>
            <w:tcW w:w="564" w:type="pct"/>
            <w:tcBorders>
              <w:top w:val="single" w:color="auto"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0.0534 </w:t>
            </w:r>
          </w:p>
        </w:tc>
        <w:tc>
          <w:tcPr>
            <w:tcW w:w="564" w:type="pct"/>
            <w:tcBorders>
              <w:top w:val="single" w:color="auto"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0.0333 </w:t>
            </w:r>
          </w:p>
        </w:tc>
        <w:tc>
          <w:tcPr>
            <w:tcW w:w="564" w:type="pct"/>
            <w:tcBorders>
              <w:top w:val="single" w:color="auto"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0.0587 </w:t>
            </w:r>
          </w:p>
        </w:tc>
        <w:tc>
          <w:tcPr>
            <w:tcW w:w="564" w:type="pct"/>
            <w:tcBorders>
              <w:top w:val="single" w:color="auto"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0.0555 </w:t>
            </w:r>
          </w:p>
        </w:tc>
        <w:tc>
          <w:tcPr>
            <w:tcW w:w="564" w:type="pct"/>
            <w:tcBorders>
              <w:top w:val="single" w:color="auto"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0.0419 </w:t>
            </w:r>
          </w:p>
        </w:tc>
        <w:tc>
          <w:tcPr>
            <w:tcW w:w="567" w:type="pct"/>
            <w:tcBorders>
              <w:top w:val="single" w:color="auto"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0.0405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2</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0.0822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0.1031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0.1044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0.0667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0.1150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0.1084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0.0823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0.0797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3</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0.1208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0.1512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0.1531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0.1000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0.1688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0.1587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0.1214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0.1175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4</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0.1580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0.1973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0.1996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0.1333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0.2202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0.2067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0.1591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0.1541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5</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0.1936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0.2413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0.2441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0.1667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0.2695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0.2523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0.1954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0.1896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6</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0.2279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0.2834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0.2865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0.2000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0.3166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0.2958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0.2305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0.2238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7</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0.2608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0.3236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0.3270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0.2333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0.3618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0.3372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0.2644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0.2570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8</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0.2925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0.3621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0.3657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0.2667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0.4049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0.3767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0.2971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0.2890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9</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0.3228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0.3989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0.4027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0.3000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0.4462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0.4142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0.3287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0.3200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10</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0.3520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0.4340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0.4380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0.3333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0.4858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0.4500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0.3592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0.3500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11</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0.3801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0.4676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0.4718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0.3667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0.5236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0.4841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0.3886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0.3789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12</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0.4070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0.4998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0.5040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0.4000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0.5598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0.5165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0.4170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0.4070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13</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0.4329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0.5305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0.5348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0.4333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0.5944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0.5474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0.4444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0.4341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14</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0.4577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0.5599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0.5641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0.4667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0.6276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0.5769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0.4708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0.4603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15</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0.4816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0.5879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0.5922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0.5000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0.6593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0.6049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0.4964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0.4857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16</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0.5045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0.6148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0.6190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0.5333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0.6897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0.6316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0.5210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0.5102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17</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0.5266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0.6404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0.6446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0.5667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0.7187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0.6570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0.5448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0.5339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18</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0.5477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0.6650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0.6691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0.6000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0.7465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0.6812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0.5678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0.5568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19</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0.5681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0.6884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0.6924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0.6333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0.7731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0.7043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0.5900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0.5790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20</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0.5876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0.7108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0.7148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0.6667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0.7986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0.7263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0.6114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0.6005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21</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0.6063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0.7323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0.7361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0.7000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0.8229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0.7472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0.6320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0.6212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22</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0.6244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0.7528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0.7564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0.7333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0.8462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0.7671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0.6519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0.6413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23</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0.6417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0.7724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0.7759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0.7667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0.8686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0.7861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0.6712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0.6607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24</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0.6583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0.7911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0.7944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0.8000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0.8899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0.8042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0.6898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0.6794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25</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0.6743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0.8090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0.8122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0.8333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0.9103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0.8214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0.7077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0.6976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26</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0.6896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0.8261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0.8291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0.8667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0.9299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0.8378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0.7250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0.7151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27</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0.7044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0.8425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0.8453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0.9000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0.9486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0.8534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0.7417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0.7321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28</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0.7185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0.8581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0.8607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0.9333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0.9665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0.8682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0.7578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0.7485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29</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0.7321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0.8731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0.8755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0.9667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0.9836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0.8824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0.7734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0.7644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30</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0.7452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0.8874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0.8896 </w:t>
            </w:r>
          </w:p>
        </w:tc>
        <w:tc>
          <w:tcPr>
            <w:tcW w:w="56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 xml:space="preserve">1.0000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1.0000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0.8959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0.7884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0.7798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31</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0.7577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0.9011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0.9030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1.0160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1.0157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0.9087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0.8029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0.7946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32</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0.7698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0.9141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0.9159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1.0313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1.0307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0.9210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0.8169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0.8090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33</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0.7814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0.9266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0.9282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1.0459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1.0451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0.9326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0.8304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0.8229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34</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0.7925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0.9386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0.9399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1.0599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1.0588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0.9437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0.8435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0.8363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35</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0.8032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0.9500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0.9511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1.0734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1.0720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0.9543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0.8560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0.8493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36</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0.8135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0.9609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0.9618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1.0863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1.0845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0.9643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0.8682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0.8619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37</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0.8233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0.9714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0.9720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1.0986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1.0966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0.9739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0.8799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0.8740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38</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0.8328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0.9813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0.9818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1.1104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1.1081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0.9830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0.8912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0.8858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39</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0.8419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0.9909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0.9911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1.1217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1.1191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0.9917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0.9022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0.8971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40</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0.8506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1.0000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1.0000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1.1326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1.1297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1.0000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0.9127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0.9081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41</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0.8590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1.0087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1.0085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1.1429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1.1398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1.0079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0.9229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0.9188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42</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0.8671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1.0171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1.0166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1.1529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1.1495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1.0154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0.9327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0.9290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43</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0.8749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1.0250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1.0244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1.1624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1.1587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1.0225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0.9422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0.9390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44</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0.8823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1.0326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1.0318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1.1715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1.1676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1.0294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0.9514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0.9486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45</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0.8895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1.0399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1.0389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1.1803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1.1760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1.0358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0.9602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0.9579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46</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0.8963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1.0469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1.0456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1.1886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1.1841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1.0420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0.9687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0.9669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47</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0.9029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1.0536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1.0521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1.1967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1.1919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1.0479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0.9770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0.9756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48</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0.9093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1.0599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1.0583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1.2043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1.1993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1.0535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0.9849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0.9840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49</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0.9153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1.0660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1.0641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1.2117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1.2064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1.0588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0.9926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0.9921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50</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0.9212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1.0718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1.0698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1.2187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1.2132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1.0639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1.0000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51</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0.9268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1.0774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1.0751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1.2255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1.2197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1.0688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1.0071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1.0076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52</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0.9322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1.0827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1.0803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1.2320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1.2259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1.0734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1.0140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1.0150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53</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0.9374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1.0878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1.0852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1.2382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1.2319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1.0778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1.0207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1.0221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54</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0.9424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1.0926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1.0899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1.2441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1.2376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1.0819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1.0271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1.0290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55</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0.9472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1.0973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1.0943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1.2498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1.2431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1.0859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1.0333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1.0356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56</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0.9518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1.1017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1.0986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1.2552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1.2483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1.0897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1.0393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1.0421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57</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0.9562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1.1060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1.1027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1.2604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1.2533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1.0933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1.0451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1.0483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58</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0.9604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1.1100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1.1066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1.2654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1.2580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1.0968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1.0507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1.0543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59</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0.9645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1.1139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1.1103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1.2702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1.2626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1.1000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1.0561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1.0601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60</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0.9684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1.1176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1.1138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1.2748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1.2670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1.1032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1.0613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1.0658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61</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0.9722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1.1212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1.1172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1.2792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1.2712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1.1061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1.0663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1.0712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62</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0.9758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1.1246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1.1205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1.2834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1.2752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1.1090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1.0711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1.0765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63</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0.9793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1.1278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1.1236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1.2874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1.2790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1.1117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1.0758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1.0816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64</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0.9826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1.1309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1.1265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1.2913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1.2827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1.1142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1.0803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1.0865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65</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0.9858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1.1339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1.1294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1.2949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1.2862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1.1167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1.0847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1.0913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66</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0.9889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1.1367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1.1320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1.2985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1.2896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1.1190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1.0889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1.0959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67</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0.9918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1.1394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1.1346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1.3019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1.2928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1.1212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1.0930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1.1003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68</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0.9947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1.1420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1.1371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1.3051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1.2959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1.1233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1.0969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1.1046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69</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0.9974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1.1445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1.1394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1.3082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1.2988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1.1253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1.1007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1.1088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485"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70</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1.0000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1.1468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1.1417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1.3112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1.3016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1.1273 </w:t>
            </w:r>
          </w:p>
        </w:tc>
        <w:tc>
          <w:tcPr>
            <w:tcW w:w="564"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1.1043 </w:t>
            </w:r>
          </w:p>
        </w:tc>
        <w:tc>
          <w:tcPr>
            <w:tcW w:w="567" w:type="pct"/>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eastAsia" w:ascii="仿宋_GB2312" w:hAnsi="仿宋_GB2312" w:eastAsia="仿宋_GB2312" w:cs="仿宋_GB2312"/>
                <w:kern w:val="0"/>
                <w:sz w:val="24"/>
              </w:rPr>
            </w:pPr>
            <w:r>
              <w:rPr>
                <w:rFonts w:hint="eastAsia" w:ascii="仿宋_GB2312" w:hAnsi="宋体" w:eastAsia="仿宋_GB2312" w:cs="仿宋_GB2312"/>
                <w:color w:val="000000"/>
                <w:kern w:val="0"/>
                <w:sz w:val="24"/>
                <w:lang w:bidi="ar"/>
              </w:rPr>
              <w:t xml:space="preserve">1.1128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tcPr>
          <w:p>
            <w:pPr>
              <w:spacing w:line="36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备注：</w:t>
            </w:r>
          </w:p>
          <w:p>
            <w:pPr>
              <w:pStyle w:val="4"/>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kern w:val="0"/>
                <w:sz w:val="24"/>
              </w:rPr>
              <w:t>．</w:t>
            </w:r>
            <w:r>
              <w:rPr>
                <w:rFonts w:hint="eastAsia" w:ascii="仿宋_GB2312" w:hAnsi="仿宋_GB2312" w:eastAsia="仿宋_GB2312" w:cs="仿宋_GB2312"/>
                <w:sz w:val="24"/>
              </w:rPr>
              <w:t>上述土地使用年期修正系数公式为：K=[1-1/(1+r)</w:t>
            </w:r>
            <w:r>
              <w:rPr>
                <w:rFonts w:hint="eastAsia" w:ascii="仿宋_GB2312" w:hAnsi="仿宋_GB2312" w:eastAsia="仿宋_GB2312" w:cs="仿宋_GB2312"/>
                <w:sz w:val="24"/>
                <w:vertAlign w:val="superscript"/>
              </w:rPr>
              <w:t>m</w:t>
            </w:r>
            <w:r>
              <w:rPr>
                <w:rFonts w:hint="eastAsia" w:ascii="仿宋_GB2312" w:hAnsi="仿宋_GB2312" w:eastAsia="仿宋_GB2312" w:cs="仿宋_GB2312"/>
                <w:sz w:val="24"/>
              </w:rPr>
              <w:t>]/[1-1/(1+r)</w:t>
            </w:r>
            <w:r>
              <w:rPr>
                <w:rFonts w:hint="eastAsia" w:ascii="仿宋_GB2312" w:hAnsi="仿宋_GB2312" w:eastAsia="仿宋_GB2312" w:cs="仿宋_GB2312"/>
                <w:sz w:val="24"/>
                <w:vertAlign w:val="superscript"/>
              </w:rPr>
              <w:t>n</w:t>
            </w:r>
            <w:r>
              <w:rPr>
                <w:rFonts w:hint="eastAsia" w:ascii="仿宋_GB2312" w:hAnsi="仿宋_GB2312" w:eastAsia="仿宋_GB2312" w:cs="仿宋_GB2312"/>
                <w:sz w:val="24"/>
              </w:rPr>
              <w:t>]，公式中：r表示土地还原率，住宅、商业、办公、工业、新型产业、酒店、公共管理与服务设施、公用设施分别取值4.1%、4.6%、4.7%、4.4%、4.5%、5.0%、3.6%、3.4%；m表示剩余年期；n表示土地使用年期，住宅、商业、办公、工业、新型产业、酒店、公共管理与服务设施、公用设施分别取值70年、40年、40年、30年、30年、40年、50年、50年。其中，</w:t>
            </w:r>
            <w:r>
              <w:rPr>
                <w:rFonts w:hint="eastAsia" w:ascii="仿宋_GB2312" w:hAnsi="仿宋_GB2312" w:eastAsia="仿宋_GB2312" w:cs="仿宋_GB2312"/>
                <w:color w:val="auto"/>
                <w:kern w:val="0"/>
                <w:sz w:val="24"/>
              </w:rPr>
              <w:t>30年以内的工业类年期修正系数公式为：K</w:t>
            </w:r>
            <w:r>
              <w:rPr>
                <w:rFonts w:ascii="仿宋_GB2312" w:hAnsi="仿宋_GB2312" w:eastAsia="仿宋_GB2312" w:cs="仿宋_GB2312"/>
                <w:color w:val="auto"/>
                <w:kern w:val="0"/>
                <w:sz w:val="24"/>
              </w:rPr>
              <w:t>=</w:t>
            </w:r>
            <w:r>
              <w:rPr>
                <w:rFonts w:hint="eastAsia" w:ascii="仿宋_GB2312" w:hAnsi="仿宋_GB2312" w:eastAsia="仿宋_GB2312" w:cs="仿宋_GB2312"/>
                <w:color w:val="auto"/>
                <w:kern w:val="0"/>
                <w:sz w:val="24"/>
              </w:rPr>
              <w:t>m</w:t>
            </w:r>
            <w:r>
              <w:rPr>
                <w:rFonts w:ascii="仿宋_GB2312" w:hAnsi="仿宋_GB2312" w:eastAsia="仿宋_GB2312" w:cs="仿宋_GB2312"/>
                <w:color w:val="auto"/>
                <w:kern w:val="0"/>
                <w:sz w:val="24"/>
              </w:rPr>
              <w:t>/</w:t>
            </w:r>
            <w:r>
              <w:rPr>
                <w:rFonts w:hint="eastAsia" w:ascii="仿宋_GB2312" w:hAnsi="仿宋_GB2312" w:eastAsia="仿宋_GB2312" w:cs="仿宋_GB2312"/>
                <w:color w:val="auto"/>
                <w:kern w:val="0"/>
                <w:sz w:val="24"/>
              </w:rPr>
              <w:t>n，m≤3</w:t>
            </w:r>
            <w:r>
              <w:rPr>
                <w:rFonts w:ascii="仿宋_GB2312" w:hAnsi="仿宋_GB2312" w:eastAsia="仿宋_GB2312" w:cs="仿宋_GB2312"/>
                <w:color w:val="auto"/>
                <w:kern w:val="0"/>
                <w:sz w:val="24"/>
              </w:rPr>
              <w:t>0</w:t>
            </w:r>
            <w:r>
              <w:rPr>
                <w:rFonts w:hint="eastAsia" w:ascii="仿宋_GB2312" w:hAnsi="仿宋_GB2312" w:eastAsia="仿宋_GB2312" w:cs="仿宋_GB2312"/>
                <w:color w:val="auto"/>
                <w:kern w:val="0"/>
                <w:sz w:val="24"/>
              </w:rPr>
              <w:t>。</w:t>
            </w:r>
          </w:p>
          <w:p>
            <w:pPr>
              <w:pStyle w:val="4"/>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kern w:val="0"/>
                <w:sz w:val="24"/>
              </w:rPr>
              <w:t>．</w:t>
            </w:r>
            <w:r>
              <w:rPr>
                <w:rFonts w:hint="eastAsia" w:ascii="仿宋_GB2312" w:hAnsi="仿宋_GB2312" w:eastAsia="仿宋_GB2312" w:cs="仿宋_GB2312"/>
                <w:sz w:val="24"/>
              </w:rPr>
              <w:t>宗地地价测算中土地使用年期的计算从地价测算时点起至土地使用期满时点为止，不足1年的部分按实际天数计算。</w:t>
            </w:r>
          </w:p>
          <w:p>
            <w:pPr>
              <w:spacing w:line="36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3．已出让用地需测算</w:t>
            </w:r>
            <w:r>
              <w:rPr>
                <w:rFonts w:hint="eastAsia" w:ascii="仿宋_GB2312" w:hAnsi="仿宋_GB2312" w:eastAsia="仿宋_GB2312" w:cs="仿宋_GB2312"/>
                <w:color w:val="auto"/>
                <w:sz w:val="24"/>
              </w:rPr>
              <w:t>原合同地价的剩余年期地价</w:t>
            </w:r>
            <w:r>
              <w:rPr>
                <w:rFonts w:hint="eastAsia" w:ascii="仿宋_GB2312" w:hAnsi="仿宋_GB2312" w:eastAsia="仿宋_GB2312" w:cs="仿宋_GB2312"/>
                <w:sz w:val="24"/>
              </w:rPr>
              <w:t>的，按照原已缴纳地价扣减已实际使用年期对应的地价进行测算，</w:t>
            </w:r>
            <w:r>
              <w:rPr>
                <w:rFonts w:hint="eastAsia" w:ascii="仿宋_GB2312" w:hAnsi="仿宋_GB2312" w:eastAsia="仿宋_GB2312" w:cs="仿宋_GB2312"/>
                <w:color w:val="auto"/>
                <w:sz w:val="24"/>
              </w:rPr>
              <w:t>即原合同地价的剩余年期地价=</w:t>
            </w:r>
            <w:r>
              <w:rPr>
                <w:rFonts w:hint="eastAsia" w:ascii="仿宋_GB2312" w:hAnsi="仿宋_GB2312" w:eastAsia="仿宋_GB2312" w:cs="仿宋_GB2312"/>
                <w:sz w:val="24"/>
              </w:rPr>
              <w:t>原已缴纳地价×（1－已实际使用年期对应的土地使用年期修正系数）。其中，已实际使用年期对应的土地使用年期修正系数=土地已使用年期的年期修正系数÷土地出让总年期的年期修正系数，已使用年期和土地出让总年期对应的土地使用年期修正系数按照本表确定。</w:t>
            </w:r>
          </w:p>
        </w:tc>
      </w:tr>
    </w:tbl>
    <w:p>
      <w:pPr>
        <w:spacing w:line="579" w:lineRule="exact"/>
        <w:jc w:val="center"/>
        <w:outlineLvl w:val="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附表3  产权条件修正系数表</w:t>
      </w:r>
    </w:p>
    <w:tbl>
      <w:tblPr>
        <w:tblStyle w:val="1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9"/>
        <w:gridCol w:w="3341"/>
        <w:gridCol w:w="3046"/>
        <w:gridCol w:w="12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tcBorders>
              <w:top w:val="single" w:color="auto" w:sz="4" w:space="0"/>
              <w:left w:val="single" w:color="auto" w:sz="4" w:space="0"/>
              <w:bottom w:val="single" w:color="auto" w:sz="4" w:space="0"/>
              <w:right w:val="nil"/>
            </w:tcBorders>
            <w:vAlign w:val="center"/>
          </w:tcPr>
          <w:p>
            <w:pPr>
              <w:widowControl/>
              <w:spacing w:line="30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序号</w:t>
            </w:r>
          </w:p>
        </w:tc>
        <w:tc>
          <w:tcPr>
            <w:tcW w:w="1960" w:type="pct"/>
            <w:tcBorders>
              <w:top w:val="single" w:color="auto" w:sz="4" w:space="0"/>
              <w:bottom w:val="single" w:color="auto" w:sz="4" w:space="0"/>
              <w:right w:val="nil"/>
            </w:tcBorders>
            <w:vAlign w:val="center"/>
          </w:tcPr>
          <w:p>
            <w:pPr>
              <w:widowControl/>
              <w:spacing w:line="30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建筑类型</w:t>
            </w:r>
          </w:p>
        </w:tc>
        <w:tc>
          <w:tcPr>
            <w:tcW w:w="1787" w:type="pct"/>
            <w:tcBorders>
              <w:top w:val="single" w:color="auto" w:sz="4" w:space="0"/>
              <w:bottom w:val="single" w:color="auto" w:sz="4" w:space="0"/>
              <w:right w:val="nil"/>
            </w:tcBorders>
            <w:vAlign w:val="center"/>
          </w:tcPr>
          <w:p>
            <w:pPr>
              <w:widowControl/>
              <w:spacing w:line="30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产权条件情形</w:t>
            </w:r>
          </w:p>
        </w:tc>
        <w:tc>
          <w:tcPr>
            <w:tcW w:w="742" w:type="pct"/>
            <w:tcBorders>
              <w:top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修正系数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restart"/>
            <w:tcBorders>
              <w:top w:val="single" w:color="auto"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1960" w:type="pct"/>
            <w:vMerge w:val="restart"/>
            <w:tcBorders>
              <w:top w:val="single" w:color="auto"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表1中的建筑类型1</w:t>
            </w:r>
          </w:p>
        </w:tc>
        <w:tc>
          <w:tcPr>
            <w:tcW w:w="1787" w:type="pct"/>
            <w:tcBorders>
              <w:top w:val="single" w:color="auto"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不得转让</w:t>
            </w:r>
          </w:p>
        </w:tc>
        <w:tc>
          <w:tcPr>
            <w:tcW w:w="742" w:type="pct"/>
            <w:tcBorders>
              <w:top w:val="single" w:color="auto"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960"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787" w:type="pc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限整体转让</w:t>
            </w:r>
          </w:p>
        </w:tc>
        <w:tc>
          <w:tcPr>
            <w:tcW w:w="742" w:type="pc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960"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允许分割转让</w:t>
            </w:r>
          </w:p>
        </w:tc>
        <w:tc>
          <w:tcPr>
            <w:tcW w:w="742"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restart"/>
            <w:tcBorders>
              <w:top w:val="single" w:color="000000" w:sz="4" w:space="0"/>
              <w:left w:val="single" w:color="000000" w:sz="4" w:space="0"/>
              <w:right w:val="single" w:color="000000" w:sz="4" w:space="0"/>
            </w:tcBorders>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p>
        </w:tc>
        <w:tc>
          <w:tcPr>
            <w:tcW w:w="1960" w:type="pct"/>
            <w:vMerge w:val="restart"/>
            <w:tcBorders>
              <w:top w:val="single" w:color="000000" w:sz="4" w:space="0"/>
              <w:left w:val="single" w:color="000000" w:sz="4" w:space="0"/>
              <w:right w:val="single" w:color="000000" w:sz="4" w:space="0"/>
            </w:tcBorders>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表1中的建筑类型</w:t>
            </w:r>
            <w:r>
              <w:rPr>
                <w:rFonts w:ascii="仿宋_GB2312" w:hAnsi="仿宋_GB2312" w:eastAsia="仿宋_GB2312" w:cs="仿宋_GB2312"/>
                <w:kern w:val="0"/>
                <w:sz w:val="24"/>
              </w:rPr>
              <w:t>2</w:t>
            </w: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不得转让</w:t>
            </w:r>
          </w:p>
        </w:tc>
        <w:tc>
          <w:tcPr>
            <w:tcW w:w="742"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continue"/>
            <w:tcBorders>
              <w:left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960" w:type="pct"/>
            <w:vMerge w:val="continue"/>
            <w:tcBorders>
              <w:left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限整体转让</w:t>
            </w:r>
          </w:p>
        </w:tc>
        <w:tc>
          <w:tcPr>
            <w:tcW w:w="742"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continue"/>
            <w:tcBorders>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960" w:type="pct"/>
            <w:vMerge w:val="continue"/>
            <w:tcBorders>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允许分割转让</w:t>
            </w:r>
          </w:p>
        </w:tc>
        <w:tc>
          <w:tcPr>
            <w:tcW w:w="742"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highlight w:val="none"/>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restart"/>
            <w:tcBorders>
              <w:top w:val="single" w:color="000000" w:sz="4" w:space="0"/>
              <w:left w:val="single" w:color="000000" w:sz="4" w:space="0"/>
              <w:right w:val="single" w:color="000000" w:sz="4" w:space="0"/>
            </w:tcBorders>
            <w:vAlign w:val="center"/>
          </w:tcPr>
          <w:p>
            <w:pPr>
              <w:widowControl/>
              <w:spacing w:line="300" w:lineRule="exact"/>
              <w:jc w:val="center"/>
              <w:rPr>
                <w:rFonts w:hint="eastAsia" w:ascii="仿宋_GB2312" w:hAnsi="仿宋_GB2312" w:eastAsia="仿宋_GB2312" w:cs="仿宋_GB2312"/>
                <w:kern w:val="0"/>
                <w:sz w:val="24"/>
              </w:rPr>
            </w:pPr>
            <w:r>
              <w:rPr>
                <w:rFonts w:ascii="仿宋_GB2312" w:hAnsi="仿宋_GB2312" w:eastAsia="仿宋_GB2312" w:cs="仿宋_GB2312"/>
                <w:kern w:val="0"/>
                <w:sz w:val="24"/>
              </w:rPr>
              <w:t>3</w:t>
            </w:r>
          </w:p>
        </w:tc>
        <w:tc>
          <w:tcPr>
            <w:tcW w:w="1960" w:type="pct"/>
            <w:vMerge w:val="restart"/>
            <w:tcBorders>
              <w:top w:val="single" w:color="000000" w:sz="4" w:space="0"/>
              <w:left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表1中的建筑类型</w:t>
            </w:r>
            <w:r>
              <w:rPr>
                <w:rFonts w:ascii="仿宋_GB2312" w:hAnsi="仿宋_GB2312" w:eastAsia="仿宋_GB2312" w:cs="仿宋_GB2312"/>
                <w:kern w:val="0"/>
                <w:sz w:val="24"/>
              </w:rPr>
              <w:t>3</w:t>
            </w:r>
            <w:r>
              <w:rPr>
                <w:rFonts w:hint="eastAsia" w:ascii="仿宋_GB2312" w:hAnsi="仿宋_GB2312" w:eastAsia="仿宋_GB2312" w:cs="仿宋_GB2312"/>
                <w:kern w:val="0"/>
                <w:sz w:val="24"/>
              </w:rPr>
              <w:t>-4</w:t>
            </w:r>
          </w:p>
        </w:tc>
        <w:tc>
          <w:tcPr>
            <w:tcW w:w="1787" w:type="pct"/>
            <w:tcBorders>
              <w:top w:val="single" w:color="000000" w:sz="4" w:space="0"/>
              <w:left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不得转让</w:t>
            </w:r>
          </w:p>
        </w:tc>
        <w:tc>
          <w:tcPr>
            <w:tcW w:w="742" w:type="pct"/>
            <w:tcBorders>
              <w:top w:val="single" w:color="000000" w:sz="4" w:space="0"/>
              <w:left w:val="single" w:color="000000" w:sz="4" w:space="0"/>
              <w:right w:val="single" w:color="000000" w:sz="4" w:space="0"/>
            </w:tcBorders>
            <w:vAlign w:val="center"/>
          </w:tcPr>
          <w:p>
            <w:pPr>
              <w:widowControl/>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0.</w:t>
            </w:r>
            <w:r>
              <w:rPr>
                <w:rFonts w:ascii="仿宋_GB2312" w:hAnsi="仿宋_GB2312" w:eastAsia="仿宋_GB2312" w:cs="仿宋_GB2312"/>
                <w:kern w:val="0"/>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960"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限整体转让</w:t>
            </w:r>
          </w:p>
        </w:tc>
        <w:tc>
          <w:tcPr>
            <w:tcW w:w="742" w:type="pc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960"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允许分割转让</w:t>
            </w:r>
          </w:p>
        </w:tc>
        <w:tc>
          <w:tcPr>
            <w:tcW w:w="742" w:type="pc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仿宋_GB2312" w:hAnsi="仿宋_GB2312" w:eastAsia="仿宋_GB2312" w:cs="仿宋_GB2312"/>
                <w:kern w:val="0"/>
                <w:sz w:val="24"/>
              </w:rPr>
            </w:pPr>
            <w:r>
              <w:rPr>
                <w:rFonts w:ascii="仿宋_GB2312" w:hAnsi="仿宋_GB2312" w:eastAsia="仿宋_GB2312" w:cs="仿宋_GB2312"/>
                <w:kern w:val="0"/>
                <w:sz w:val="24"/>
              </w:rPr>
              <w:t>4</w:t>
            </w:r>
          </w:p>
        </w:tc>
        <w:tc>
          <w:tcPr>
            <w:tcW w:w="1960" w:type="pct"/>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表1中的建筑类型5-7</w:t>
            </w: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不得转让</w:t>
            </w:r>
          </w:p>
        </w:tc>
        <w:tc>
          <w:tcPr>
            <w:tcW w:w="742"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960"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限整体转让</w:t>
            </w:r>
          </w:p>
        </w:tc>
        <w:tc>
          <w:tcPr>
            <w:tcW w:w="742"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960"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允许分割转让</w:t>
            </w:r>
          </w:p>
        </w:tc>
        <w:tc>
          <w:tcPr>
            <w:tcW w:w="742"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restart"/>
            <w:tcBorders>
              <w:top w:val="single" w:color="000000" w:sz="4" w:space="0"/>
              <w:left w:val="single" w:color="000000" w:sz="4" w:space="0"/>
              <w:right w:val="single" w:color="000000" w:sz="4" w:space="0"/>
            </w:tcBorders>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w:t>
            </w:r>
          </w:p>
        </w:tc>
        <w:tc>
          <w:tcPr>
            <w:tcW w:w="1960" w:type="pct"/>
            <w:vMerge w:val="restart"/>
            <w:tcBorders>
              <w:top w:val="single" w:color="000000" w:sz="4" w:space="0"/>
              <w:left w:val="single" w:color="000000" w:sz="4" w:space="0"/>
              <w:right w:val="single" w:color="000000" w:sz="4" w:space="0"/>
            </w:tcBorders>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表1中的建筑类型8-10</w:t>
            </w: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不得转让</w:t>
            </w:r>
          </w:p>
        </w:tc>
        <w:tc>
          <w:tcPr>
            <w:tcW w:w="742"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continue"/>
            <w:tcBorders>
              <w:left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960" w:type="pct"/>
            <w:vMerge w:val="continue"/>
            <w:tcBorders>
              <w:left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限整体转让</w:t>
            </w:r>
          </w:p>
        </w:tc>
        <w:tc>
          <w:tcPr>
            <w:tcW w:w="742"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color w:val="000000" w:themeColor="text1"/>
                <w:kern w:val="0"/>
                <w:sz w:val="24"/>
                <w14:textFill>
                  <w14:solidFill>
                    <w14:schemeClr w14:val="tx1"/>
                  </w14:solidFill>
                </w14:textFill>
              </w:rPr>
              <w:t>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continue"/>
            <w:tcBorders>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960" w:type="pct"/>
            <w:vMerge w:val="continue"/>
            <w:tcBorders>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kern w:val="0"/>
                <w:sz w:val="24"/>
              </w:rPr>
            </w:pP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允许分割转让</w:t>
            </w:r>
          </w:p>
        </w:tc>
        <w:tc>
          <w:tcPr>
            <w:tcW w:w="742"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restart"/>
            <w:tcBorders>
              <w:top w:val="single" w:color="000000" w:sz="4" w:space="0"/>
              <w:left w:val="single" w:color="000000" w:sz="4" w:space="0"/>
              <w:right w:val="single" w:color="000000" w:sz="4" w:space="0"/>
            </w:tcBorders>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w:t>
            </w:r>
          </w:p>
        </w:tc>
        <w:tc>
          <w:tcPr>
            <w:tcW w:w="1960" w:type="pct"/>
            <w:vMerge w:val="restart"/>
            <w:tcBorders>
              <w:top w:val="single" w:color="000000" w:sz="4" w:space="0"/>
              <w:left w:val="single" w:color="000000" w:sz="4" w:space="0"/>
              <w:right w:val="single" w:color="000000" w:sz="4" w:space="0"/>
            </w:tcBorders>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表1中的建筑类型</w:t>
            </w:r>
            <w:r>
              <w:rPr>
                <w:rFonts w:ascii="仿宋_GB2312" w:hAnsi="仿宋_GB2312" w:eastAsia="仿宋_GB2312" w:cs="仿宋_GB2312"/>
                <w:kern w:val="0"/>
                <w:sz w:val="24"/>
              </w:rPr>
              <w:t>1</w:t>
            </w:r>
            <w:r>
              <w:rPr>
                <w:rFonts w:hint="eastAsia" w:ascii="仿宋_GB2312" w:hAnsi="仿宋_GB2312" w:eastAsia="仿宋_GB2312" w:cs="仿宋_GB2312"/>
                <w:kern w:val="0"/>
                <w:sz w:val="24"/>
              </w:rPr>
              <w:t>1</w:t>
            </w: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不得转让</w:t>
            </w:r>
          </w:p>
        </w:tc>
        <w:tc>
          <w:tcPr>
            <w:tcW w:w="742"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0</w:t>
            </w:r>
            <w:r>
              <w:rPr>
                <w:rFonts w:ascii="仿宋_GB2312" w:hAnsi="仿宋_GB2312" w:eastAsia="仿宋_GB2312" w:cs="仿宋_GB2312"/>
                <w:kern w:val="0"/>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continue"/>
            <w:tcBorders>
              <w:left w:val="single" w:color="000000" w:sz="4" w:space="0"/>
              <w:right w:val="single" w:color="000000" w:sz="4" w:space="0"/>
            </w:tcBorders>
            <w:vAlign w:val="center"/>
          </w:tcPr>
          <w:p>
            <w:pPr>
              <w:widowControl/>
              <w:jc w:val="center"/>
              <w:rPr>
                <w:rFonts w:hint="eastAsia" w:ascii="仿宋_GB2312" w:hAnsi="仿宋_GB2312" w:eastAsia="仿宋_GB2312" w:cs="仿宋_GB2312"/>
                <w:kern w:val="0"/>
                <w:sz w:val="24"/>
              </w:rPr>
            </w:pPr>
          </w:p>
        </w:tc>
        <w:tc>
          <w:tcPr>
            <w:tcW w:w="1960" w:type="pct"/>
            <w:vMerge w:val="continue"/>
            <w:tcBorders>
              <w:left w:val="single" w:color="000000" w:sz="4" w:space="0"/>
              <w:right w:val="single" w:color="000000" w:sz="4" w:space="0"/>
            </w:tcBorders>
            <w:vAlign w:val="center"/>
          </w:tcPr>
          <w:p>
            <w:pPr>
              <w:widowControl/>
              <w:jc w:val="center"/>
              <w:rPr>
                <w:rFonts w:hint="eastAsia" w:ascii="仿宋_GB2312" w:hAnsi="仿宋_GB2312" w:eastAsia="仿宋_GB2312" w:cs="仿宋_GB2312"/>
                <w:kern w:val="0"/>
                <w:sz w:val="24"/>
              </w:rPr>
            </w:pP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限整体转让</w:t>
            </w:r>
          </w:p>
        </w:tc>
        <w:tc>
          <w:tcPr>
            <w:tcW w:w="742"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restart"/>
            <w:tcBorders>
              <w:left w:val="single" w:color="000000" w:sz="4" w:space="0"/>
              <w:right w:val="single" w:color="000000" w:sz="4" w:space="0"/>
            </w:tcBorders>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w:t>
            </w:r>
          </w:p>
        </w:tc>
        <w:tc>
          <w:tcPr>
            <w:tcW w:w="1960" w:type="pct"/>
            <w:vMerge w:val="restart"/>
            <w:tcBorders>
              <w:left w:val="single" w:color="000000" w:sz="4" w:space="0"/>
              <w:right w:val="single" w:color="000000" w:sz="4" w:space="0"/>
            </w:tcBorders>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表1中的建筑类型</w:t>
            </w:r>
            <w:r>
              <w:rPr>
                <w:rFonts w:ascii="仿宋_GB2312" w:hAnsi="仿宋_GB2312" w:eastAsia="仿宋_GB2312" w:cs="仿宋_GB2312"/>
                <w:kern w:val="0"/>
                <w:sz w:val="24"/>
              </w:rPr>
              <w:t>1</w:t>
            </w:r>
            <w:r>
              <w:rPr>
                <w:rFonts w:hint="eastAsia" w:ascii="仿宋_GB2312" w:hAnsi="仿宋_GB2312" w:eastAsia="仿宋_GB2312" w:cs="仿宋_GB2312"/>
                <w:kern w:val="0"/>
                <w:sz w:val="24"/>
              </w:rPr>
              <w:t>2-</w:t>
            </w:r>
            <w:r>
              <w:rPr>
                <w:rFonts w:ascii="仿宋_GB2312" w:hAnsi="仿宋_GB2312" w:eastAsia="仿宋_GB2312" w:cs="仿宋_GB2312"/>
                <w:kern w:val="0"/>
                <w:sz w:val="24"/>
              </w:rPr>
              <w:t>1</w:t>
            </w:r>
            <w:r>
              <w:rPr>
                <w:rFonts w:hint="eastAsia" w:ascii="仿宋_GB2312" w:hAnsi="仿宋_GB2312" w:eastAsia="仿宋_GB2312" w:cs="仿宋_GB2312"/>
                <w:kern w:val="0"/>
                <w:sz w:val="24"/>
              </w:rPr>
              <w:t>6</w:t>
            </w: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不得转让</w:t>
            </w:r>
          </w:p>
        </w:tc>
        <w:tc>
          <w:tcPr>
            <w:tcW w:w="742"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0" w:type="pct"/>
            <w:vMerge w:val="continue"/>
            <w:tcBorders>
              <w:left w:val="single" w:color="000000" w:sz="4" w:space="0"/>
              <w:right w:val="single" w:color="000000" w:sz="4" w:space="0"/>
            </w:tcBorders>
            <w:vAlign w:val="center"/>
          </w:tcPr>
          <w:p>
            <w:pPr>
              <w:widowControl/>
              <w:jc w:val="center"/>
              <w:rPr>
                <w:rFonts w:hint="eastAsia" w:ascii="仿宋_GB2312" w:hAnsi="仿宋_GB2312" w:eastAsia="仿宋_GB2312" w:cs="仿宋_GB2312"/>
                <w:kern w:val="0"/>
                <w:sz w:val="24"/>
              </w:rPr>
            </w:pPr>
          </w:p>
        </w:tc>
        <w:tc>
          <w:tcPr>
            <w:tcW w:w="1960" w:type="pct"/>
            <w:vMerge w:val="continue"/>
            <w:tcBorders>
              <w:left w:val="single" w:color="000000" w:sz="4" w:space="0"/>
              <w:right w:val="single" w:color="000000" w:sz="4" w:space="0"/>
            </w:tcBorders>
            <w:vAlign w:val="center"/>
          </w:tcPr>
          <w:p>
            <w:pPr>
              <w:widowControl/>
              <w:jc w:val="center"/>
              <w:rPr>
                <w:rFonts w:hint="eastAsia" w:ascii="仿宋_GB2312" w:hAnsi="仿宋_GB2312" w:eastAsia="仿宋_GB2312" w:cs="仿宋_GB2312"/>
                <w:kern w:val="0"/>
                <w:sz w:val="24"/>
              </w:rPr>
            </w:pP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限整体转让</w:t>
            </w:r>
          </w:p>
        </w:tc>
        <w:tc>
          <w:tcPr>
            <w:tcW w:w="742"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r>
              <w:rPr>
                <w:rFonts w:ascii="仿宋_GB2312" w:hAnsi="仿宋_GB2312" w:eastAsia="仿宋_GB2312" w:cs="仿宋_GB2312"/>
                <w:kern w:val="0"/>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510" w:type="pct"/>
            <w:vMerge w:val="continue"/>
            <w:tcBorders>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kern w:val="0"/>
                <w:sz w:val="24"/>
              </w:rPr>
            </w:pPr>
          </w:p>
        </w:tc>
        <w:tc>
          <w:tcPr>
            <w:tcW w:w="1960" w:type="pct"/>
            <w:vMerge w:val="continue"/>
            <w:tcBorders>
              <w:left w:val="single" w:color="000000" w:sz="4" w:space="0"/>
              <w:bottom w:val="single" w:color="000000" w:sz="4" w:space="0"/>
              <w:right w:val="single" w:color="000000" w:sz="4" w:space="0"/>
            </w:tcBorders>
            <w:vAlign w:val="center"/>
          </w:tcPr>
          <w:p>
            <w:pPr>
              <w:widowControl/>
              <w:jc w:val="center"/>
              <w:rPr>
                <w:rFonts w:hint="eastAsia" w:ascii="仿宋_GB2312" w:hAnsi="仿宋_GB2312" w:eastAsia="仿宋_GB2312" w:cs="仿宋_GB2312"/>
                <w:kern w:val="0"/>
                <w:sz w:val="24"/>
              </w:rPr>
            </w:pPr>
          </w:p>
        </w:tc>
        <w:tc>
          <w:tcPr>
            <w:tcW w:w="1787"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允许分割转让</w:t>
            </w:r>
          </w:p>
        </w:tc>
        <w:tc>
          <w:tcPr>
            <w:tcW w:w="742" w:type="pct"/>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r>
              <w:rPr>
                <w:rFonts w:ascii="仿宋_GB2312" w:hAnsi="仿宋_GB2312" w:eastAsia="仿宋_GB2312" w:cs="仿宋_GB2312"/>
                <w:kern w:val="0"/>
                <w:sz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5000" w:type="pct"/>
            <w:gridSpan w:val="4"/>
            <w:tcBorders>
              <w:left w:val="single" w:color="000000" w:sz="4" w:space="0"/>
              <w:right w:val="single" w:color="000000" w:sz="4" w:space="0"/>
            </w:tcBorders>
            <w:vAlign w:val="center"/>
          </w:tcPr>
          <w:p>
            <w:pPr>
              <w:widowControl/>
              <w:spacing w:line="30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备注：</w:t>
            </w:r>
          </w:p>
          <w:p>
            <w:pPr>
              <w:widowControl/>
              <w:jc w:val="left"/>
              <w:rPr>
                <w:rFonts w:hint="eastAsia" w:ascii="仿宋_GB2312" w:hAnsi="仿宋_GB2312" w:eastAsia="仿宋_GB2312" w:cs="仿宋_GB2312"/>
                <w:kern w:val="0"/>
                <w:sz w:val="24"/>
              </w:rPr>
            </w:pPr>
            <w:r>
              <w:rPr>
                <w:rFonts w:ascii="仿宋_GB2312" w:hAnsi="仿宋_GB2312" w:eastAsia="仿宋_GB2312" w:cs="仿宋_GB2312"/>
                <w:kern w:val="0"/>
                <w:sz w:val="24"/>
              </w:rPr>
              <w:t>1</w:t>
            </w:r>
            <w:r>
              <w:rPr>
                <w:rFonts w:hint="eastAsia" w:ascii="仿宋_GB2312" w:hAnsi="仿宋_GB2312" w:eastAsia="仿宋_GB2312" w:cs="仿宋_GB2312"/>
                <w:kern w:val="0"/>
                <w:sz w:val="24"/>
              </w:rPr>
              <w:t>．产权条件情形依据土地使用权出让方案或供应合同确定。</w:t>
            </w:r>
          </w:p>
          <w:p>
            <w:pPr>
              <w:widowControl/>
              <w:jc w:val="left"/>
              <w:rPr>
                <w:rFonts w:hint="eastAsia" w:ascii="仿宋_GB2312" w:hAnsi="仿宋_GB2312" w:eastAsia="仿宋_GB2312" w:cs="仿宋_GB2312"/>
                <w:kern w:val="0"/>
                <w:sz w:val="24"/>
              </w:rPr>
            </w:pPr>
            <w:r>
              <w:rPr>
                <w:rFonts w:ascii="仿宋_GB2312" w:hAnsi="仿宋_GB2312" w:eastAsia="仿宋_GB2312" w:cs="仿宋_GB2312"/>
                <w:kern w:val="0"/>
                <w:sz w:val="24"/>
              </w:rPr>
              <w:t>2</w:t>
            </w:r>
            <w:r>
              <w:rPr>
                <w:rFonts w:hint="eastAsia" w:ascii="仿宋_GB2312" w:hAnsi="仿宋_GB2312" w:eastAsia="仿宋_GB2312" w:cs="仿宋_GB2312"/>
                <w:kern w:val="0"/>
                <w:sz w:val="24"/>
              </w:rPr>
              <w:t>．</w:t>
            </w:r>
            <w:bookmarkStart w:id="30" w:name="OLE_LINK31"/>
            <w:bookmarkStart w:id="31" w:name="OLE_LINK32"/>
            <w:r>
              <w:rPr>
                <w:rFonts w:hint="eastAsia" w:ascii="仿宋_GB2312" w:hAnsi="仿宋_GB2312" w:eastAsia="仿宋_GB2312" w:cs="仿宋_GB2312"/>
                <w:kern w:val="0"/>
                <w:sz w:val="24"/>
              </w:rPr>
              <w:t>已签订的供应合同中约定或不动产登记记载为“不得转让”、“自用”或“非商品性质”房地产，属于“不得转让”情形；已签订的供应合同中约定或不动产登记记载为“商品性质房地产限整体转让”的，属于“限整体转让”情形；</w:t>
            </w:r>
          </w:p>
          <w:bookmarkEnd w:id="30"/>
          <w:bookmarkEnd w:id="31"/>
          <w:p>
            <w:pPr>
              <w:rPr>
                <w:rFonts w:hint="eastAsia" w:ascii="仿宋_GB2312" w:hAnsi="仿宋_GB2312" w:eastAsia="仿宋_GB2312" w:cs="仿宋_GB2312"/>
                <w:kern w:val="0"/>
                <w:sz w:val="24"/>
              </w:rPr>
            </w:pPr>
            <w:r>
              <w:rPr>
                <w:rFonts w:ascii="仿宋_GB2312" w:hAnsi="仿宋_GB2312" w:eastAsia="仿宋_GB2312" w:cs="仿宋_GB2312"/>
                <w:kern w:val="0"/>
                <w:sz w:val="24"/>
              </w:rPr>
              <w:t>3</w:t>
            </w:r>
            <w:r>
              <w:rPr>
                <w:rFonts w:hint="eastAsia" w:ascii="仿宋_GB2312" w:hAnsi="仿宋_GB2312" w:eastAsia="仿宋_GB2312" w:cs="仿宋_GB2312"/>
                <w:kern w:val="0"/>
                <w:sz w:val="24"/>
              </w:rPr>
              <w:t>．物业管理用房等共有部分建筑类型，产权条件按不得转让情形测算地价。</w:t>
            </w:r>
          </w:p>
        </w:tc>
      </w:tr>
    </w:tbl>
    <w:p>
      <w:pPr>
        <w:widowControl/>
        <w:spacing w:line="300" w:lineRule="exact"/>
        <w:rPr>
          <w:rFonts w:hint="eastAsia" w:ascii="楷体" w:hAnsi="楷体" w:eastAsia="楷体" w:cs="楷体"/>
          <w:color w:val="000000" w:themeColor="text1"/>
          <w:sz w:val="22"/>
          <w:highlight w:val="lightGray"/>
          <w14:textFill>
            <w14:solidFill>
              <w14:schemeClr w14:val="tx1"/>
            </w14:solidFill>
          </w14:textFill>
        </w:rPr>
      </w:pPr>
    </w:p>
    <w:p>
      <w:pPr>
        <w:spacing w:line="579" w:lineRule="exact"/>
        <w:jc w:val="center"/>
        <w:outlineLvl w:val="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附表4  产业项目类型修正系数表</w:t>
      </w:r>
    </w:p>
    <w:tbl>
      <w:tblPr>
        <w:tblStyle w:val="10"/>
        <w:tblW w:w="5000" w:type="pct"/>
        <w:jc w:val="center"/>
        <w:tblLayout w:type="autofit"/>
        <w:tblCellMar>
          <w:top w:w="0" w:type="dxa"/>
          <w:left w:w="108" w:type="dxa"/>
          <w:bottom w:w="0" w:type="dxa"/>
          <w:right w:w="108" w:type="dxa"/>
        </w:tblCellMar>
      </w:tblPr>
      <w:tblGrid>
        <w:gridCol w:w="917"/>
        <w:gridCol w:w="6351"/>
        <w:gridCol w:w="1254"/>
      </w:tblGrid>
      <w:tr>
        <w:tblPrEx>
          <w:tblCellMar>
            <w:top w:w="0" w:type="dxa"/>
            <w:left w:w="108" w:type="dxa"/>
            <w:bottom w:w="0" w:type="dxa"/>
            <w:right w:w="108" w:type="dxa"/>
          </w:tblCellMar>
        </w:tblPrEx>
        <w:trPr>
          <w:trHeight w:val="422" w:hRule="atLeast"/>
          <w:jc w:val="center"/>
        </w:trPr>
        <w:tc>
          <w:tcPr>
            <w:tcW w:w="538" w:type="pct"/>
            <w:tcBorders>
              <w:top w:val="single" w:color="auto" w:sz="4" w:space="0"/>
              <w:left w:val="single" w:color="auto" w:sz="4" w:space="0"/>
              <w:bottom w:val="nil"/>
              <w:right w:val="single" w:color="auto" w:sz="4" w:space="0"/>
            </w:tcBorders>
            <w:vAlign w:val="center"/>
          </w:tcPr>
          <w:p>
            <w:pPr>
              <w:widowControl/>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序号</w:t>
            </w:r>
          </w:p>
        </w:tc>
        <w:tc>
          <w:tcPr>
            <w:tcW w:w="372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产业项目类型</w:t>
            </w:r>
          </w:p>
        </w:tc>
        <w:tc>
          <w:tcPr>
            <w:tcW w:w="736" w:type="pct"/>
            <w:tcBorders>
              <w:top w:val="single" w:color="auto" w:sz="4" w:space="0"/>
              <w:left w:val="nil"/>
              <w:bottom w:val="nil"/>
              <w:right w:val="single" w:color="auto" w:sz="4" w:space="0"/>
            </w:tcBorders>
            <w:vAlign w:val="center"/>
          </w:tcPr>
          <w:p>
            <w:pPr>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修正系数</w:t>
            </w:r>
          </w:p>
        </w:tc>
      </w:tr>
      <w:tr>
        <w:tblPrEx>
          <w:tblCellMar>
            <w:top w:w="0" w:type="dxa"/>
            <w:left w:w="108" w:type="dxa"/>
            <w:bottom w:w="0" w:type="dxa"/>
            <w:right w:w="108" w:type="dxa"/>
          </w:tblCellMar>
        </w:tblPrEx>
        <w:trPr>
          <w:trHeight w:val="300" w:hRule="atLeast"/>
          <w:jc w:val="center"/>
        </w:trPr>
        <w:tc>
          <w:tcPr>
            <w:tcW w:w="538" w:type="pct"/>
            <w:vMerge w:val="restart"/>
            <w:tcBorders>
              <w:top w:val="single" w:color="auto" w:sz="4" w:space="0"/>
              <w:left w:val="single" w:color="auto" w:sz="4" w:space="0"/>
              <w:right w:val="single" w:color="auto" w:sz="4" w:space="0"/>
            </w:tcBorders>
            <w:vAlign w:val="center"/>
          </w:tcPr>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kern w:val="0"/>
                <w:sz w:val="24"/>
              </w:rPr>
              <w:t>1</w:t>
            </w:r>
          </w:p>
        </w:tc>
        <w:tc>
          <w:tcPr>
            <w:tcW w:w="3726" w:type="pct"/>
            <w:tcBorders>
              <w:top w:val="single" w:color="auto" w:sz="4" w:space="0"/>
              <w:left w:val="single" w:color="auto" w:sz="4" w:space="0"/>
              <w:bottom w:val="nil"/>
              <w:right w:val="single" w:color="auto" w:sz="4" w:space="0"/>
            </w:tcBorders>
            <w:vAlign w:val="center"/>
          </w:tcPr>
          <w:p>
            <w:pPr>
              <w:widowControl/>
              <w:spacing w:line="360" w:lineRule="exact"/>
              <w:rPr>
                <w:rFonts w:hint="eastAsia" w:ascii="仿宋_GB2312" w:hAnsi="仿宋_GB2312" w:eastAsia="仿宋_GB2312" w:cs="仿宋_GB2312"/>
                <w:bCs/>
                <w:color w:val="C00000"/>
                <w:kern w:val="0"/>
                <w:sz w:val="24"/>
                <w:highlight w:val="yellow"/>
              </w:rPr>
            </w:pPr>
            <w:r>
              <w:rPr>
                <w:rFonts w:hint="eastAsia" w:ascii="仿宋_GB2312" w:hAnsi="仿宋_GB2312" w:eastAsia="仿宋_GB2312" w:cs="仿宋_GB2312"/>
                <w:color w:val="auto"/>
                <w:kern w:val="0"/>
                <w:sz w:val="24"/>
                <w:highlight w:val="none"/>
              </w:rPr>
              <w:t>重点产业项目</w:t>
            </w:r>
          </w:p>
        </w:tc>
        <w:tc>
          <w:tcPr>
            <w:tcW w:w="736" w:type="pct"/>
            <w:tcBorders>
              <w:top w:val="single" w:color="auto" w:sz="4" w:space="0"/>
              <w:left w:val="nil"/>
              <w:bottom w:val="nil"/>
              <w:right w:val="single" w:color="auto" w:sz="4" w:space="0"/>
            </w:tcBorders>
            <w:vAlign w:val="center"/>
          </w:tcPr>
          <w:p>
            <w:pPr>
              <w:spacing w:line="360" w:lineRule="exact"/>
              <w:jc w:val="center"/>
              <w:rPr>
                <w:rFonts w:hint="eastAsia" w:ascii="仿宋_GB2312" w:hAnsi="仿宋_GB2312" w:eastAsia="仿宋_GB2312" w:cs="仿宋_GB2312"/>
                <w:color w:val="C00000"/>
                <w:kern w:val="0"/>
                <w:sz w:val="24"/>
                <w:highlight w:val="yellow"/>
              </w:rPr>
            </w:pPr>
            <w:r>
              <w:rPr>
                <w:rFonts w:hint="eastAsia" w:ascii="仿宋_GB2312" w:hAnsi="仿宋_GB2312" w:eastAsia="仿宋_GB2312" w:cs="仿宋_GB2312"/>
                <w:color w:val="auto"/>
                <w:kern w:val="0"/>
                <w:sz w:val="24"/>
                <w:highlight w:val="none"/>
              </w:rPr>
              <w:t>0.7</w:t>
            </w:r>
          </w:p>
        </w:tc>
      </w:tr>
      <w:tr>
        <w:tblPrEx>
          <w:tblCellMar>
            <w:top w:w="0" w:type="dxa"/>
            <w:left w:w="108" w:type="dxa"/>
            <w:bottom w:w="0" w:type="dxa"/>
            <w:right w:w="108" w:type="dxa"/>
          </w:tblCellMar>
        </w:tblPrEx>
        <w:trPr>
          <w:trHeight w:val="270" w:hRule="atLeast"/>
          <w:jc w:val="center"/>
        </w:trPr>
        <w:tc>
          <w:tcPr>
            <w:tcW w:w="538" w:type="pct"/>
            <w:vMerge w:val="continue"/>
            <w:tcBorders>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b/>
                <w:kern w:val="0"/>
                <w:sz w:val="24"/>
              </w:rPr>
            </w:pPr>
          </w:p>
        </w:tc>
        <w:tc>
          <w:tcPr>
            <w:tcW w:w="3726" w:type="pct"/>
            <w:tcBorders>
              <w:top w:val="single" w:color="auto" w:sz="4" w:space="0"/>
              <w:left w:val="nil"/>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一般产业项目</w:t>
            </w:r>
          </w:p>
        </w:tc>
        <w:tc>
          <w:tcPr>
            <w:tcW w:w="736" w:type="pct"/>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r>
      <w:tr>
        <w:tblPrEx>
          <w:tblCellMar>
            <w:top w:w="0" w:type="dxa"/>
            <w:left w:w="108" w:type="dxa"/>
            <w:bottom w:w="0" w:type="dxa"/>
            <w:right w:w="108" w:type="dxa"/>
          </w:tblCellMar>
        </w:tblPrEx>
        <w:trPr>
          <w:trHeight w:val="270" w:hRule="atLeast"/>
          <w:jc w:val="center"/>
        </w:trPr>
        <w:tc>
          <w:tcPr>
            <w:tcW w:w="538"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p>
        </w:tc>
        <w:tc>
          <w:tcPr>
            <w:tcW w:w="3726" w:type="pct"/>
            <w:tcBorders>
              <w:top w:val="single" w:color="auto" w:sz="4" w:space="0"/>
              <w:left w:val="nil"/>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总部项目</w:t>
            </w:r>
          </w:p>
        </w:tc>
        <w:tc>
          <w:tcPr>
            <w:tcW w:w="736" w:type="pct"/>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0.7</w:t>
            </w:r>
          </w:p>
        </w:tc>
      </w:tr>
      <w:tr>
        <w:tblPrEx>
          <w:tblCellMar>
            <w:top w:w="0" w:type="dxa"/>
            <w:left w:w="108" w:type="dxa"/>
            <w:bottom w:w="0" w:type="dxa"/>
            <w:right w:w="108" w:type="dxa"/>
          </w:tblCellMar>
        </w:tblPrEx>
        <w:trPr>
          <w:trHeight w:val="270" w:hRule="atLeast"/>
          <w:jc w:val="center"/>
        </w:trPr>
        <w:tc>
          <w:tcPr>
            <w:tcW w:w="5000" w:type="pct"/>
            <w:gridSpan w:val="3"/>
            <w:tcBorders>
              <w:top w:val="single" w:color="auto" w:sz="4" w:space="0"/>
              <w:left w:val="single" w:color="auto" w:sz="4" w:space="0"/>
              <w:bottom w:val="single" w:color="auto" w:sz="4" w:space="0"/>
              <w:right w:val="single" w:color="000000" w:sz="4" w:space="0"/>
            </w:tcBorders>
            <w:vAlign w:val="center"/>
          </w:tcPr>
          <w:p>
            <w:pPr>
              <w:widowControl/>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备注：</w:t>
            </w:r>
          </w:p>
          <w:p>
            <w:pPr>
              <w:widowControl/>
              <w:spacing w:line="300" w:lineRule="exact"/>
              <w:jc w:val="left"/>
              <w:rPr>
                <w:rFonts w:hint="eastAsia" w:ascii="仿宋_GB2312" w:hAnsi="仿宋_GB2312" w:eastAsia="仿宋_GB2312" w:cs="仿宋_GB2312"/>
                <w:color w:val="C00000"/>
                <w:kern w:val="0"/>
                <w:sz w:val="24"/>
              </w:rPr>
            </w:pPr>
            <w:r>
              <w:rPr>
                <w:rFonts w:hint="eastAsia" w:ascii="仿宋_GB2312" w:hAnsi="仿宋_GB2312" w:eastAsia="仿宋_GB2312" w:cs="仿宋_GB2312"/>
                <w:kern w:val="0"/>
                <w:sz w:val="24"/>
              </w:rPr>
              <w:t>1．本表适用于除配套</w:t>
            </w:r>
            <w:bookmarkStart w:id="32" w:name="OLE_LINK44"/>
            <w:bookmarkStart w:id="33" w:name="OLE_LINK43"/>
            <w:r>
              <w:rPr>
                <w:rFonts w:hint="eastAsia" w:ascii="仿宋_GB2312" w:hAnsi="仿宋_GB2312" w:eastAsia="仿宋_GB2312" w:cs="仿宋_GB2312"/>
                <w:kern w:val="0"/>
                <w:sz w:val="24"/>
              </w:rPr>
              <w:t>商业</w:t>
            </w:r>
            <w:bookmarkEnd w:id="32"/>
            <w:bookmarkEnd w:id="33"/>
            <w:r>
              <w:rPr>
                <w:rFonts w:hint="eastAsia" w:ascii="仿宋_GB2312" w:hAnsi="仿宋_GB2312" w:eastAsia="仿宋_GB2312" w:cs="仿宋_GB2312"/>
                <w:color w:val="auto"/>
                <w:kern w:val="0"/>
                <w:sz w:val="24"/>
                <w:u w:val="none"/>
              </w:rPr>
              <w:t>、宿舍型保障性租赁住房</w:t>
            </w:r>
            <w:r>
              <w:rPr>
                <w:rFonts w:hint="eastAsia" w:ascii="仿宋_GB2312" w:hAnsi="仿宋_GB2312" w:eastAsia="仿宋_GB2312" w:cs="仿宋_GB2312"/>
                <w:kern w:val="0"/>
                <w:sz w:val="24"/>
              </w:rPr>
              <w:t>以外的建筑类型。产业项目类型</w:t>
            </w:r>
            <w:r>
              <w:rPr>
                <w:rFonts w:hint="eastAsia" w:ascii="仿宋_GB2312" w:hAnsi="仿宋_GB2312" w:eastAsia="仿宋_GB2312" w:cs="仿宋_GB2312"/>
                <w:color w:val="auto"/>
                <w:kern w:val="0"/>
                <w:sz w:val="24"/>
              </w:rPr>
              <w:t>根据我市工业及其他产业用地、总部项目用地供应管理有关规定确定。</w:t>
            </w:r>
          </w:p>
          <w:p>
            <w:pPr>
              <w:widowControl/>
              <w:spacing w:line="300" w:lineRule="exact"/>
              <w:jc w:val="left"/>
              <w:rPr>
                <w:rFonts w:hint="eastAsia" w:ascii="仿宋_GB2312" w:hAnsi="仿宋_GB2312" w:eastAsia="仿宋_GB2312" w:cs="仿宋_GB2312"/>
                <w:color w:val="auto"/>
                <w:kern w:val="0"/>
                <w:sz w:val="24"/>
                <w:u w:val="none"/>
              </w:rPr>
            </w:pPr>
            <w:r>
              <w:rPr>
                <w:rFonts w:hint="eastAsia" w:ascii="仿宋_GB2312" w:hAnsi="仿宋_GB2312" w:eastAsia="仿宋_GB2312" w:cs="仿宋_GB2312"/>
                <w:color w:val="auto"/>
                <w:kern w:val="0"/>
                <w:sz w:val="24"/>
                <w:u w:val="none"/>
              </w:rPr>
              <w:t>2．产业用地出让地价适用产业项目类型修正系数的,</w:t>
            </w:r>
            <w:bookmarkStart w:id="34" w:name="OLE_LINK41"/>
            <w:bookmarkStart w:id="35" w:name="OLE_LINK42"/>
            <w:r>
              <w:rPr>
                <w:rFonts w:hint="eastAsia" w:ascii="仿宋_GB2312" w:hAnsi="仿宋_GB2312" w:eastAsia="仿宋_GB2312" w:cs="仿宋_GB2312"/>
                <w:color w:val="auto"/>
                <w:kern w:val="0"/>
                <w:sz w:val="24"/>
                <w:highlight w:val="none"/>
                <w:u w:val="none"/>
              </w:rPr>
              <w:t>竣工超面积和产权条件变更</w:t>
            </w:r>
            <w:r>
              <w:rPr>
                <w:rFonts w:hint="eastAsia" w:ascii="仿宋_GB2312" w:hAnsi="仿宋_GB2312" w:eastAsia="仿宋_GB2312" w:cs="仿宋_GB2312"/>
                <w:color w:val="auto"/>
                <w:kern w:val="0"/>
                <w:sz w:val="24"/>
                <w:u w:val="none"/>
              </w:rPr>
              <w:t>时一并适用，</w:t>
            </w:r>
            <w:bookmarkEnd w:id="34"/>
            <w:bookmarkEnd w:id="35"/>
            <w:r>
              <w:rPr>
                <w:rFonts w:hint="eastAsia" w:ascii="仿宋_GB2312" w:hAnsi="仿宋_GB2312" w:eastAsia="仿宋_GB2312" w:cs="仿宋_GB2312"/>
                <w:color w:val="auto"/>
                <w:kern w:val="0"/>
                <w:sz w:val="24"/>
                <w:u w:val="none"/>
              </w:rPr>
              <w:t>其余情形不适用，适用的建筑类型按照测算时点的有关政策确定。</w:t>
            </w:r>
          </w:p>
          <w:p>
            <w:pPr>
              <w:widowControl/>
              <w:spacing w:line="300" w:lineRule="exact"/>
              <w:jc w:val="left"/>
              <w:rPr>
                <w:rFonts w:hint="eastAsia" w:ascii="仿宋_GB2312" w:hAnsi="仿宋_GB2312" w:eastAsia="仿宋_GB2312" w:cs="仿宋_GB2312"/>
                <w:color w:val="auto"/>
                <w:kern w:val="0"/>
                <w:sz w:val="24"/>
                <w:highlight w:val="yellow"/>
                <w:u w:val="none"/>
              </w:rPr>
            </w:pPr>
            <w:r>
              <w:rPr>
                <w:rFonts w:hint="eastAsia" w:ascii="仿宋_GB2312" w:hAnsi="仿宋_GB2312" w:eastAsia="仿宋_GB2312" w:cs="仿宋_GB2312"/>
                <w:color w:val="auto"/>
                <w:kern w:val="0"/>
                <w:sz w:val="24"/>
                <w:u w:val="none"/>
              </w:rPr>
              <w:t>3．通用产业用房、创新型产业用房项目适用重点产业项目修正系数；租售对象符合我市产业发展导向的，适用本办法第八条相关规定。</w:t>
            </w:r>
          </w:p>
          <w:p>
            <w:pPr>
              <w:widowControl/>
              <w:spacing w:line="30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4．本表不适用于城市更新项目、留用土地项目。</w:t>
            </w:r>
          </w:p>
        </w:tc>
      </w:tr>
    </w:tbl>
    <w:p>
      <w:pPr>
        <w:spacing w:line="579" w:lineRule="exact"/>
        <w:jc w:val="center"/>
        <w:outlineLvl w:val="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附表5  地上商业楼层修正系数表</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4"/>
        <w:gridCol w:w="3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12"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商业楼层</w:t>
            </w:r>
          </w:p>
        </w:tc>
        <w:tc>
          <w:tcPr>
            <w:tcW w:w="198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修正系数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12"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6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首层商业</w:t>
            </w:r>
          </w:p>
        </w:tc>
        <w:tc>
          <w:tcPr>
            <w:tcW w:w="198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6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12"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6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第二层商业</w:t>
            </w:r>
          </w:p>
        </w:tc>
        <w:tc>
          <w:tcPr>
            <w:tcW w:w="198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60" w:lineRule="exact"/>
              <w:jc w:val="center"/>
              <w:rPr>
                <w:rFonts w:hint="eastAsia" w:ascii="仿宋_GB2312" w:hAnsi="仿宋_GB2312" w:eastAsia="仿宋_GB2312" w:cs="仿宋_GB2312"/>
                <w:color w:val="C00000"/>
                <w:kern w:val="0"/>
                <w:sz w:val="24"/>
                <w:u w:val="none"/>
              </w:rPr>
            </w:pPr>
            <w:r>
              <w:rPr>
                <w:rFonts w:hint="eastAsia" w:ascii="仿宋_GB2312" w:hAnsi="仿宋_GB2312" w:eastAsia="仿宋_GB2312" w:cs="仿宋_GB2312"/>
                <w:color w:val="auto"/>
                <w:kern w:val="0"/>
                <w:sz w:val="24"/>
                <w:u w:val="none"/>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12"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6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第三层商业</w:t>
            </w:r>
          </w:p>
        </w:tc>
        <w:tc>
          <w:tcPr>
            <w:tcW w:w="198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60" w:lineRule="exact"/>
              <w:jc w:val="center"/>
              <w:rPr>
                <w:rFonts w:hint="eastAsia" w:ascii="仿宋_GB2312" w:hAnsi="仿宋_GB2312" w:eastAsia="仿宋_GB2312" w:cs="仿宋_GB2312"/>
                <w:color w:val="C00000"/>
                <w:kern w:val="0"/>
                <w:sz w:val="24"/>
                <w:u w:val="none"/>
              </w:rPr>
            </w:pPr>
            <w:r>
              <w:rPr>
                <w:rFonts w:hint="eastAsia" w:ascii="仿宋_GB2312" w:hAnsi="仿宋_GB2312" w:eastAsia="仿宋_GB2312" w:cs="仿宋_GB2312"/>
                <w:color w:val="auto"/>
                <w:kern w:val="0"/>
                <w:sz w:val="24"/>
                <w:u w:val="none"/>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12"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6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第四层及以上商业</w:t>
            </w:r>
          </w:p>
        </w:tc>
        <w:tc>
          <w:tcPr>
            <w:tcW w:w="198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60" w:lineRule="exact"/>
              <w:jc w:val="center"/>
              <w:rPr>
                <w:rFonts w:hint="eastAsia" w:ascii="仿宋_GB2312" w:hAnsi="仿宋_GB2312" w:eastAsia="仿宋_GB2312" w:cs="仿宋_GB2312"/>
                <w:color w:val="C00000"/>
                <w:kern w:val="0"/>
                <w:sz w:val="24"/>
                <w:u w:val="none"/>
              </w:rPr>
            </w:pPr>
            <w:r>
              <w:rPr>
                <w:rFonts w:hint="eastAsia" w:ascii="仿宋_GB2312" w:hAnsi="仿宋_GB2312" w:eastAsia="仿宋_GB2312" w:cs="仿宋_GB2312"/>
                <w:color w:val="auto"/>
                <w:kern w:val="0"/>
                <w:sz w:val="24"/>
                <w:u w:val="none"/>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jc w:val="left"/>
              <w:rPr>
                <w:rFonts w:hint="eastAsia" w:ascii="仿宋_GB2312" w:hAnsi="仿宋_GB2312" w:eastAsia="仿宋_GB2312" w:cs="仿宋_GB2312"/>
                <w:sz w:val="24"/>
              </w:rPr>
            </w:pPr>
            <w:r>
              <w:rPr>
                <w:rFonts w:hint="eastAsia" w:ascii="仿宋_GB2312" w:hAnsi="仿宋_GB2312" w:eastAsia="仿宋_GB2312" w:cs="仿宋_GB2312"/>
                <w:sz w:val="24"/>
              </w:rPr>
              <w:t>备注：</w:t>
            </w:r>
          </w:p>
          <w:p>
            <w:pPr>
              <w:pStyle w:val="21"/>
              <w:numPr>
                <w:ilvl w:val="0"/>
                <w:numId w:val="1"/>
              </w:numPr>
              <w:ind w:firstLine="0" w:firstLineChars="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对于附表1序号</w:t>
            </w:r>
            <w:r>
              <w:rPr>
                <w:rFonts w:hint="eastAsia" w:ascii="仿宋_GB2312" w:hAnsi="仿宋_GB2312" w:eastAsia="仿宋_GB2312" w:cs="仿宋_GB2312"/>
                <w:color w:val="000000" w:themeColor="text1"/>
                <w:kern w:val="0"/>
                <w:sz w:val="24"/>
                <w14:textFill>
                  <w14:solidFill>
                    <w14:schemeClr w14:val="tx1"/>
                  </w14:solidFill>
                </w14:textFill>
              </w:rPr>
              <w:t>8</w:t>
            </w:r>
            <w:r>
              <w:rPr>
                <w:rFonts w:hint="eastAsia" w:ascii="仿宋_GB2312" w:hAnsi="仿宋_GB2312" w:eastAsia="仿宋_GB2312" w:cs="仿宋_GB2312"/>
                <w:kern w:val="0"/>
                <w:sz w:val="24"/>
              </w:rPr>
              <w:t>中的商业（不包括旅馆业建筑、肉菜市场、游乐设施、会议中心）建筑类型，测算地价时地上部分适用商业楼层修正系数。经楼层修正后各楼层楼面单价低于同宗地上办公用途价格的，取办公用途价格测算地价。</w:t>
            </w:r>
          </w:p>
          <w:p>
            <w:pPr>
              <w:widowControl/>
              <w:jc w:val="left"/>
              <w:rPr>
                <w:rFonts w:hint="eastAsia" w:ascii="仿宋_GB2312" w:hAnsi="仿宋_GB2312" w:eastAsia="仿宋_GB2312" w:cs="仿宋_GB2312"/>
                <w:color w:val="auto"/>
                <w:kern w:val="0"/>
                <w:sz w:val="24"/>
                <w:u w:val="none"/>
              </w:rPr>
            </w:pPr>
            <w:r>
              <w:rPr>
                <w:rFonts w:ascii="仿宋_GB2312" w:hAnsi="仿宋_GB2312" w:eastAsia="仿宋_GB2312" w:cs="仿宋_GB2312"/>
                <w:color w:val="auto"/>
                <w:kern w:val="0"/>
                <w:sz w:val="24"/>
                <w:u w:val="none"/>
              </w:rPr>
              <w:t>2</w:t>
            </w:r>
            <w:r>
              <w:rPr>
                <w:rFonts w:hint="eastAsia" w:ascii="仿宋_GB2312" w:hAnsi="仿宋_GB2312" w:eastAsia="仿宋_GB2312" w:cs="仿宋_GB2312"/>
                <w:color w:val="auto"/>
                <w:kern w:val="0"/>
                <w:sz w:val="24"/>
                <w:u w:val="none"/>
              </w:rPr>
              <w:t>．规划许可、供应合同或竣工验收文件未明确商业楼层和相应建筑面积的，按照宗地面积和建筑覆盖率计算；已明确商业楼层和相应建筑面积的，按上述有关文件确定的指标计算。</w:t>
            </w:r>
          </w:p>
          <w:p>
            <w:pPr>
              <w:widowControl/>
              <w:jc w:val="left"/>
              <w:rPr>
                <w:rFonts w:hint="eastAsia" w:ascii="仿宋_GB2312" w:hAnsi="仿宋_GB2312" w:eastAsia="仿宋_GB2312" w:cs="仿宋_GB2312"/>
                <w:color w:val="C00000"/>
                <w:kern w:val="0"/>
                <w:sz w:val="24"/>
                <w:u w:val="single"/>
              </w:rPr>
            </w:pPr>
            <w:r>
              <w:rPr>
                <w:rFonts w:hint="eastAsia" w:ascii="仿宋_GB2312" w:hAnsi="仿宋_GB2312" w:eastAsia="仿宋_GB2312" w:cs="仿宋_GB2312"/>
                <w:kern w:val="0"/>
                <w:sz w:val="24"/>
              </w:rPr>
              <w:t>3．按照宗地面积和建筑覆盖率等条件计算各楼层商业面积时，宗地面积应扣除规划许可或供应合同中明确需要独立占地建设的学校等配套设施；规划许可或供应合同中明确需要设置在首层或其他具体楼层的配套设施，可在对应的商业楼层面积中扣除。满足上述规定后，各楼层商业面积按照逐层依次向上填充的规则确定。</w:t>
            </w:r>
            <w:r>
              <w:rPr>
                <w:rFonts w:ascii="仿宋_GB2312" w:hAnsi="仿宋_GB2312" w:eastAsia="仿宋_GB2312" w:cs="仿宋_GB2312"/>
                <w:color w:val="auto"/>
                <w:kern w:val="0"/>
                <w:sz w:val="24"/>
                <w:u w:val="none"/>
              </w:rPr>
              <w:t>若存在多种产权</w:t>
            </w:r>
            <w:r>
              <w:rPr>
                <w:rFonts w:hint="eastAsia" w:ascii="仿宋_GB2312" w:hAnsi="仿宋_GB2312" w:eastAsia="仿宋_GB2312" w:cs="仿宋_GB2312"/>
                <w:color w:val="auto"/>
                <w:kern w:val="0"/>
                <w:sz w:val="24"/>
                <w:u w:val="none"/>
              </w:rPr>
              <w:t>条件</w:t>
            </w:r>
            <w:r>
              <w:rPr>
                <w:rFonts w:ascii="仿宋_GB2312" w:hAnsi="仿宋_GB2312" w:eastAsia="仿宋_GB2312" w:cs="仿宋_GB2312"/>
                <w:color w:val="auto"/>
                <w:kern w:val="0"/>
                <w:sz w:val="24"/>
                <w:u w:val="none"/>
              </w:rPr>
              <w:t>，按不同产权</w:t>
            </w:r>
            <w:r>
              <w:rPr>
                <w:rFonts w:hint="eastAsia" w:ascii="仿宋_GB2312" w:hAnsi="仿宋_GB2312" w:eastAsia="仿宋_GB2312" w:cs="仿宋_GB2312"/>
                <w:color w:val="auto"/>
                <w:kern w:val="0"/>
                <w:sz w:val="24"/>
                <w:u w:val="none"/>
              </w:rPr>
              <w:t>条件</w:t>
            </w:r>
            <w:r>
              <w:rPr>
                <w:rFonts w:ascii="仿宋_GB2312" w:hAnsi="仿宋_GB2312" w:eastAsia="仿宋_GB2312" w:cs="仿宋_GB2312"/>
                <w:color w:val="auto"/>
                <w:kern w:val="0"/>
                <w:sz w:val="24"/>
                <w:u w:val="none"/>
              </w:rPr>
              <w:t>建筑面积比例在各层分摊商业楼层面积。</w:t>
            </w:r>
          </w:p>
        </w:tc>
      </w:tr>
    </w:tbl>
    <w:p>
      <w:pPr>
        <w:spacing w:line="579" w:lineRule="exact"/>
        <w:jc w:val="center"/>
        <w:outlineLvl w:val="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附表6  地下空间修正系数表</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5880"/>
        <w:gridCol w:w="1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kern w:val="0"/>
                <w:sz w:val="24"/>
              </w:rPr>
              <w:t>序号</w:t>
            </w:r>
          </w:p>
        </w:tc>
        <w:tc>
          <w:tcPr>
            <w:tcW w:w="3450"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kern w:val="0"/>
                <w:sz w:val="24"/>
              </w:rPr>
              <w:t>分类</w:t>
            </w:r>
          </w:p>
        </w:tc>
        <w:tc>
          <w:tcPr>
            <w:tcW w:w="902"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b/>
                <w:kern w:val="0"/>
                <w:sz w:val="24"/>
              </w:rPr>
              <w:t>修正系数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kern w:val="0"/>
                <w:sz w:val="24"/>
              </w:rPr>
              <w:t>1</w:t>
            </w:r>
          </w:p>
        </w:tc>
        <w:tc>
          <w:tcPr>
            <w:tcW w:w="3450" w:type="pct"/>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交通设施（不含加油站、加气站、训考场、社会停车场（库）），综合管廊</w:t>
            </w:r>
          </w:p>
        </w:tc>
        <w:tc>
          <w:tcPr>
            <w:tcW w:w="902"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kern w:val="0"/>
                <w:sz w:val="24"/>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kern w:val="0"/>
                <w:sz w:val="24"/>
              </w:rPr>
              <w:t>2</w:t>
            </w:r>
          </w:p>
        </w:tc>
        <w:tc>
          <w:tcPr>
            <w:tcW w:w="3450" w:type="pct"/>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b/>
                <w:bCs/>
                <w:kern w:val="0"/>
                <w:sz w:val="24"/>
              </w:rPr>
            </w:pPr>
            <w:r>
              <w:rPr>
                <w:rFonts w:hint="eastAsia" w:ascii="仿宋_GB2312" w:hAnsi="仿宋_GB2312" w:eastAsia="仿宋_GB2312" w:cs="仿宋_GB2312"/>
                <w:kern w:val="0"/>
                <w:sz w:val="24"/>
              </w:rPr>
              <w:t>除上述类别以外的其他地下空间</w:t>
            </w:r>
          </w:p>
        </w:tc>
        <w:tc>
          <w:tcPr>
            <w:tcW w:w="902"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b/>
                <w:bCs/>
                <w:kern w:val="0"/>
                <w:sz w:val="24"/>
              </w:rPr>
            </w:pPr>
            <w:r>
              <w:rPr>
                <w:rFonts w:hint="eastAsia" w:ascii="仿宋_GB2312" w:hAnsi="仿宋_GB2312" w:eastAsia="仿宋_GB2312" w:cs="仿宋_GB2312"/>
                <w:kern w:val="0"/>
                <w:sz w:val="24"/>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gridSpan w:val="3"/>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备注：</w:t>
            </w:r>
          </w:p>
          <w:p>
            <w:pPr>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1．地下商业空间按照地上首层商业对应的土地市场价格标准以本表修正系数予以修正。</w:t>
            </w:r>
          </w:p>
          <w:p>
            <w:pPr>
              <w:spacing w:line="360" w:lineRule="exact"/>
              <w:jc w:val="left"/>
              <w:rPr>
                <w:rFonts w:hint="eastAsia" w:ascii="仿宋_GB2312" w:hAnsi="仿宋_GB2312" w:eastAsia="仿宋_GB2312" w:cs="仿宋_GB2312"/>
                <w:color w:val="C00000"/>
                <w:kern w:val="0"/>
                <w:sz w:val="24"/>
              </w:rPr>
            </w:pPr>
            <w:r>
              <w:rPr>
                <w:rFonts w:hint="eastAsia" w:ascii="仿宋_GB2312" w:hAnsi="仿宋_GB2312" w:eastAsia="仿宋_GB2312" w:cs="仿宋_GB2312"/>
                <w:color w:val="auto"/>
                <w:kern w:val="0"/>
                <w:sz w:val="24"/>
                <w:u w:val="none"/>
              </w:rPr>
              <w:t>2．供应合同对地下建筑面积未约定或约定不明的，竣工验收相关文件确认的地下建筑面积可适用地下空间修正系数。</w:t>
            </w:r>
          </w:p>
        </w:tc>
      </w:tr>
    </w:tbl>
    <w:p>
      <w:pPr>
        <w:widowControl/>
        <w:spacing w:line="300" w:lineRule="exact"/>
        <w:rPr>
          <w:rFonts w:hint="eastAsia" w:ascii="楷体" w:hAnsi="楷体" w:eastAsia="楷体" w:cs="楷体"/>
          <w:color w:val="000000" w:themeColor="text1"/>
          <w:sz w:val="22"/>
          <w:highlight w:val="lightGray"/>
          <w14:textFill>
            <w14:solidFill>
              <w14:schemeClr w14:val="tx1"/>
            </w14:solidFill>
          </w14:textFill>
        </w:rPr>
      </w:pPr>
    </w:p>
    <w:p>
      <w:pPr>
        <w:spacing w:line="579" w:lineRule="exact"/>
        <w:jc w:val="center"/>
        <w:outlineLvl w:val="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附表7  留用土地项目修正系数表</w:t>
      </w:r>
    </w:p>
    <w:tbl>
      <w:tblPr>
        <w:tblStyle w:val="1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825"/>
        <w:gridCol w:w="1371"/>
        <w:gridCol w:w="1525"/>
        <w:gridCol w:w="1761"/>
        <w:gridCol w:w="1097"/>
        <w:gridCol w:w="1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blHeader/>
          <w:jc w:val="center"/>
        </w:trPr>
        <w:tc>
          <w:tcPr>
            <w:tcW w:w="446" w:type="pct"/>
            <w:tcBorders>
              <w:top w:val="single" w:color="auto" w:sz="4" w:space="0"/>
              <w:left w:val="single" w:color="auto" w:sz="4" w:space="0"/>
              <w:bottom w:val="single" w:color="auto" w:sz="4" w:space="0"/>
              <w:right w:val="single" w:color="auto" w:sz="4" w:space="0"/>
            </w:tcBorders>
            <w:vAlign w:val="center"/>
          </w:tcPr>
          <w:p>
            <w:pPr>
              <w:widowControl/>
              <w:spacing w:line="330" w:lineRule="exact"/>
              <w:ind w:right="42" w:rightChars="2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序号</w:t>
            </w:r>
          </w:p>
        </w:tc>
        <w:tc>
          <w:tcPr>
            <w:tcW w:w="2184" w:type="pct"/>
            <w:gridSpan w:val="3"/>
            <w:tcBorders>
              <w:top w:val="single" w:color="auto" w:sz="4" w:space="0"/>
              <w:left w:val="single" w:color="auto" w:sz="4" w:space="0"/>
              <w:bottom w:val="single" w:color="auto" w:sz="4" w:space="0"/>
              <w:right w:val="single" w:color="auto" w:sz="4" w:space="0"/>
            </w:tcBorders>
            <w:vAlign w:val="center"/>
          </w:tcPr>
          <w:p>
            <w:pPr>
              <w:widowControl/>
              <w:spacing w:line="330" w:lineRule="exact"/>
              <w:ind w:right="42" w:rightChars="2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用地类型</w:t>
            </w:r>
          </w:p>
        </w:tc>
        <w:tc>
          <w:tcPr>
            <w:tcW w:w="1033" w:type="pct"/>
            <w:tcBorders>
              <w:top w:val="single" w:color="auto" w:sz="4" w:space="0"/>
              <w:left w:val="single" w:color="auto" w:sz="4" w:space="0"/>
              <w:bottom w:val="single" w:color="auto" w:sz="4" w:space="0"/>
              <w:right w:val="single" w:color="auto" w:sz="4" w:space="0"/>
            </w:tcBorders>
            <w:vAlign w:val="center"/>
          </w:tcPr>
          <w:p>
            <w:pPr>
              <w:spacing w:line="330" w:lineRule="exact"/>
              <w:ind w:right="42" w:rightChars="20"/>
              <w:jc w:val="center"/>
              <w:rPr>
                <w:rFonts w:hint="eastAsia" w:ascii="仿宋_GB2312" w:hAnsi="仿宋_GB2312" w:eastAsia="仿宋_GB2312" w:cs="仿宋_GB2312"/>
                <w:b/>
                <w:sz w:val="24"/>
              </w:rPr>
            </w:pPr>
            <w:r>
              <w:rPr>
                <w:rFonts w:hint="eastAsia" w:ascii="仿宋_GB2312" w:hAnsi="仿宋_GB2312" w:eastAsia="仿宋_GB2312" w:cs="仿宋_GB2312"/>
                <w:b/>
                <w:sz w:val="24"/>
              </w:rPr>
              <w:t>适用住宅、商业、办公、酒店、公共管理与服务设施地价修正系数</w:t>
            </w:r>
          </w:p>
        </w:tc>
        <w:tc>
          <w:tcPr>
            <w:tcW w:w="644" w:type="pct"/>
            <w:tcBorders>
              <w:top w:val="single" w:color="auto" w:sz="4" w:space="0"/>
              <w:left w:val="single" w:color="auto" w:sz="4" w:space="0"/>
              <w:bottom w:val="single" w:color="auto" w:sz="4" w:space="0"/>
              <w:right w:val="single" w:color="auto" w:sz="4" w:space="0"/>
            </w:tcBorders>
            <w:vAlign w:val="center"/>
          </w:tcPr>
          <w:p>
            <w:pPr>
              <w:spacing w:line="330" w:lineRule="exact"/>
              <w:ind w:right="42" w:rightChars="20"/>
              <w:jc w:val="center"/>
              <w:rPr>
                <w:rFonts w:hint="eastAsia" w:ascii="仿宋_GB2312" w:hAnsi="仿宋_GB2312" w:eastAsia="仿宋_GB2312" w:cs="仿宋_GB2312"/>
                <w:b/>
                <w:sz w:val="24"/>
              </w:rPr>
            </w:pPr>
            <w:r>
              <w:rPr>
                <w:rFonts w:hint="eastAsia" w:ascii="仿宋_GB2312" w:hAnsi="仿宋_GB2312" w:eastAsia="仿宋_GB2312" w:cs="仿宋_GB2312"/>
                <w:b/>
                <w:sz w:val="24"/>
              </w:rPr>
              <w:t>适用新型产业地价修正系数</w:t>
            </w:r>
          </w:p>
        </w:tc>
        <w:tc>
          <w:tcPr>
            <w:tcW w:w="691" w:type="pct"/>
            <w:tcBorders>
              <w:top w:val="single" w:color="auto" w:sz="4" w:space="0"/>
              <w:left w:val="single" w:color="auto" w:sz="4" w:space="0"/>
              <w:bottom w:val="single" w:color="auto" w:sz="4" w:space="0"/>
              <w:right w:val="single" w:color="auto" w:sz="4" w:space="0"/>
            </w:tcBorders>
            <w:vAlign w:val="center"/>
          </w:tcPr>
          <w:p>
            <w:pPr>
              <w:widowControl/>
              <w:spacing w:line="330" w:lineRule="exact"/>
              <w:ind w:right="42" w:rightChars="20"/>
              <w:jc w:val="center"/>
              <w:rPr>
                <w:rFonts w:hint="eastAsia" w:ascii="仿宋_GB2312" w:hAnsi="仿宋_GB2312" w:eastAsia="仿宋_GB2312" w:cs="仿宋_GB2312"/>
                <w:b/>
                <w:sz w:val="24"/>
              </w:rPr>
            </w:pPr>
            <w:r>
              <w:rPr>
                <w:rFonts w:hint="eastAsia" w:ascii="仿宋_GB2312" w:hAnsi="仿宋_GB2312" w:eastAsia="仿宋_GB2312" w:cs="仿宋_GB2312"/>
                <w:b/>
                <w:sz w:val="24"/>
              </w:rPr>
              <w:t>适用工业、公用设施地价修正系数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tcBorders>
              <w:top w:val="single" w:color="auto" w:sz="4" w:space="0"/>
              <w:left w:val="single" w:color="auto" w:sz="4" w:space="0"/>
              <w:bottom w:val="single" w:color="auto" w:sz="4" w:space="0"/>
              <w:right w:val="single" w:color="auto" w:sz="4" w:space="0"/>
            </w:tcBorders>
            <w:vAlign w:val="center"/>
          </w:tcPr>
          <w:p>
            <w:pPr>
              <w:widowControl/>
              <w:spacing w:line="330" w:lineRule="exact"/>
              <w:ind w:right="42" w:rightChars="2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2184" w:type="pct"/>
            <w:gridSpan w:val="3"/>
            <w:tcBorders>
              <w:top w:val="single" w:color="auto" w:sz="4" w:space="0"/>
              <w:left w:val="single" w:color="auto" w:sz="4" w:space="0"/>
              <w:bottom w:val="single" w:color="auto" w:sz="4" w:space="0"/>
              <w:right w:val="single" w:color="auto" w:sz="4" w:space="0"/>
            </w:tcBorders>
            <w:vAlign w:val="center"/>
          </w:tcPr>
          <w:p>
            <w:pPr>
              <w:widowControl/>
              <w:spacing w:line="330" w:lineRule="exact"/>
              <w:ind w:right="42" w:rightChars="20"/>
              <w:jc w:val="center"/>
              <w:rPr>
                <w:rFonts w:hint="eastAsia" w:ascii="仿宋_GB2312" w:hAnsi="仿宋_GB2312" w:eastAsia="仿宋_GB2312" w:cs="仿宋_GB2312"/>
                <w:sz w:val="24"/>
              </w:rPr>
            </w:pPr>
            <w:r>
              <w:rPr>
                <w:rFonts w:hint="eastAsia" w:ascii="仿宋_GB2312" w:hAnsi="仿宋_GB2312" w:eastAsia="仿宋_GB2312" w:cs="仿宋_GB2312"/>
                <w:sz w:val="24"/>
              </w:rPr>
              <w:t>非农建设用地、征地返还用地、留用土地不得转让情形及属于政府部分</w:t>
            </w:r>
          </w:p>
        </w:tc>
        <w:tc>
          <w:tcPr>
            <w:tcW w:w="2369" w:type="pct"/>
            <w:gridSpan w:val="3"/>
            <w:tcBorders>
              <w:top w:val="single" w:color="auto" w:sz="4" w:space="0"/>
              <w:left w:val="single" w:color="auto" w:sz="4" w:space="0"/>
              <w:bottom w:val="single" w:color="auto" w:sz="4" w:space="0"/>
              <w:right w:val="single" w:color="auto" w:sz="4" w:space="0"/>
            </w:tcBorders>
            <w:vAlign w:val="center"/>
          </w:tcPr>
          <w:p>
            <w:pPr>
              <w:spacing w:line="330" w:lineRule="exact"/>
              <w:ind w:right="42" w:rightChars="20"/>
              <w:jc w:val="center"/>
              <w:rPr>
                <w:rFonts w:hint="eastAsia" w:ascii="仿宋_GB2312" w:hAnsi="仿宋_GB2312" w:eastAsia="仿宋_GB2312" w:cs="仿宋_GB2312"/>
                <w:sz w:val="24"/>
              </w:rPr>
            </w:pPr>
            <w:r>
              <w:rPr>
                <w:rFonts w:hint="eastAsia" w:ascii="仿宋_GB2312" w:hAnsi="仿宋_GB2312" w:eastAsia="仿宋_GB2312" w:cs="仿宋_GB2312"/>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46" w:type="pct"/>
            <w:vMerge w:val="restart"/>
            <w:tcBorders>
              <w:top w:val="single" w:color="auto" w:sz="4" w:space="0"/>
              <w:left w:val="single" w:color="auto" w:sz="4" w:space="0"/>
              <w:bottom w:val="single" w:color="auto" w:sz="4" w:space="0"/>
              <w:right w:val="single" w:color="auto" w:sz="4" w:space="0"/>
            </w:tcBorders>
            <w:vAlign w:val="center"/>
          </w:tcPr>
          <w:p>
            <w:pPr>
              <w:spacing w:line="310" w:lineRule="exact"/>
              <w:ind w:right="42" w:rightChars="2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p>
        </w:tc>
        <w:tc>
          <w:tcPr>
            <w:tcW w:w="484"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10" w:lineRule="exact"/>
              <w:ind w:right="42" w:rightChars="20"/>
              <w:jc w:val="center"/>
              <w:rPr>
                <w:rFonts w:hint="eastAsia" w:ascii="仿宋_GB2312" w:hAnsi="仿宋_GB2312" w:eastAsia="仿宋_GB2312" w:cs="仿宋_GB2312"/>
                <w:sz w:val="24"/>
              </w:rPr>
            </w:pPr>
            <w:r>
              <w:rPr>
                <w:rFonts w:hint="eastAsia" w:ascii="仿宋_GB2312" w:hAnsi="仿宋_GB2312" w:eastAsia="仿宋_GB2312" w:cs="仿宋_GB2312"/>
                <w:sz w:val="24"/>
              </w:rPr>
              <w:t>非农建设用地、征地返还用地进入市场</w:t>
            </w:r>
          </w:p>
        </w:tc>
        <w:tc>
          <w:tcPr>
            <w:tcW w:w="805"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10" w:lineRule="exact"/>
              <w:ind w:right="42" w:rightChars="20"/>
              <w:jc w:val="center"/>
              <w:rPr>
                <w:rFonts w:hint="eastAsia" w:ascii="仿宋_GB2312" w:hAnsi="仿宋_GB2312" w:eastAsia="仿宋_GB2312" w:cs="仿宋_GB2312"/>
                <w:sz w:val="24"/>
              </w:rPr>
            </w:pPr>
            <w:r>
              <w:rPr>
                <w:rFonts w:hint="eastAsia" w:ascii="仿宋_GB2312" w:hAnsi="仿宋_GB2312" w:eastAsia="仿宋_GB2312" w:cs="仿宋_GB2312"/>
                <w:sz w:val="24"/>
              </w:rPr>
              <w:t>非农建设用地、在本社区安置的征地返还用地</w:t>
            </w:r>
          </w:p>
        </w:tc>
        <w:tc>
          <w:tcPr>
            <w:tcW w:w="894" w:type="pct"/>
            <w:tcBorders>
              <w:top w:val="single" w:color="auto" w:sz="4" w:space="0"/>
              <w:left w:val="single" w:color="auto" w:sz="4" w:space="0"/>
              <w:bottom w:val="single" w:color="auto" w:sz="4" w:space="0"/>
              <w:right w:val="single" w:color="auto" w:sz="4" w:space="0"/>
            </w:tcBorders>
            <w:vAlign w:val="center"/>
          </w:tcPr>
          <w:p>
            <w:pPr>
              <w:widowControl/>
              <w:spacing w:line="310" w:lineRule="exact"/>
              <w:ind w:right="42" w:rightChars="20"/>
              <w:jc w:val="center"/>
              <w:rPr>
                <w:rFonts w:hint="eastAsia" w:ascii="仿宋_GB2312" w:hAnsi="仿宋_GB2312" w:eastAsia="仿宋_GB2312" w:cs="仿宋_GB2312"/>
                <w:sz w:val="24"/>
              </w:rPr>
            </w:pPr>
            <w:r>
              <w:rPr>
                <w:rFonts w:hint="eastAsia" w:ascii="仿宋_GB2312" w:hAnsi="仿宋_GB2312" w:eastAsia="仿宋_GB2312" w:cs="仿宋_GB2312"/>
                <w:sz w:val="24"/>
              </w:rPr>
              <w:t>r≤3.2部分</w:t>
            </w:r>
          </w:p>
        </w:tc>
        <w:tc>
          <w:tcPr>
            <w:tcW w:w="2369" w:type="pct"/>
            <w:gridSpan w:val="3"/>
            <w:tcBorders>
              <w:top w:val="single" w:color="auto" w:sz="4" w:space="0"/>
              <w:left w:val="single" w:color="auto" w:sz="4" w:space="0"/>
              <w:bottom w:val="single" w:color="auto" w:sz="4" w:space="0"/>
              <w:right w:val="single" w:color="auto" w:sz="4" w:space="0"/>
            </w:tcBorders>
            <w:vAlign w:val="center"/>
          </w:tcPr>
          <w:p>
            <w:pPr>
              <w:spacing w:line="310" w:lineRule="exact"/>
              <w:ind w:right="42" w:rightChars="20"/>
              <w:jc w:val="center"/>
              <w:rPr>
                <w:rFonts w:hint="eastAsia" w:ascii="仿宋_GB2312" w:hAnsi="仿宋_GB2312" w:eastAsia="仿宋_GB2312" w:cs="仿宋_GB2312"/>
                <w:sz w:val="24"/>
              </w:rPr>
            </w:pPr>
            <w:r>
              <w:rPr>
                <w:rFonts w:hint="eastAsia" w:ascii="仿宋_GB2312" w:hAnsi="仿宋_GB2312" w:eastAsia="仿宋_GB2312" w:cs="仿宋_GB2312"/>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jc w:val="center"/>
        </w:trPr>
        <w:tc>
          <w:tcPr>
            <w:tcW w:w="446" w:type="pct"/>
            <w:vMerge w:val="continue"/>
            <w:tcBorders>
              <w:top w:val="single" w:color="auto" w:sz="4" w:space="0"/>
              <w:left w:val="single" w:color="auto" w:sz="4" w:space="0"/>
              <w:bottom w:val="single" w:color="auto" w:sz="4" w:space="0"/>
              <w:right w:val="single" w:color="auto" w:sz="4" w:space="0"/>
            </w:tcBorders>
            <w:vAlign w:val="center"/>
          </w:tcPr>
          <w:p>
            <w:pPr>
              <w:widowControl/>
              <w:ind w:right="42" w:rightChars="20"/>
              <w:jc w:val="left"/>
              <w:rPr>
                <w:rFonts w:hint="eastAsia" w:ascii="仿宋_GB2312" w:hAnsi="仿宋_GB2312" w:eastAsia="仿宋_GB2312" w:cs="仿宋_GB2312"/>
                <w:kern w:val="0"/>
                <w:sz w:val="24"/>
              </w:rPr>
            </w:pPr>
          </w:p>
        </w:tc>
        <w:tc>
          <w:tcPr>
            <w:tcW w:w="484" w:type="pct"/>
            <w:vMerge w:val="continue"/>
            <w:tcBorders>
              <w:top w:val="single" w:color="auto" w:sz="4" w:space="0"/>
              <w:left w:val="single" w:color="auto" w:sz="4" w:space="0"/>
              <w:bottom w:val="single" w:color="auto" w:sz="4" w:space="0"/>
              <w:right w:val="single" w:color="auto" w:sz="4" w:space="0"/>
            </w:tcBorders>
            <w:vAlign w:val="center"/>
          </w:tcPr>
          <w:p>
            <w:pPr>
              <w:widowControl/>
              <w:ind w:right="42" w:rightChars="20"/>
              <w:jc w:val="left"/>
              <w:rPr>
                <w:rFonts w:hint="eastAsia" w:ascii="仿宋_GB2312" w:hAnsi="仿宋_GB2312" w:eastAsia="仿宋_GB2312" w:cs="仿宋_GB2312"/>
                <w:sz w:val="24"/>
              </w:rPr>
            </w:pPr>
          </w:p>
        </w:tc>
        <w:tc>
          <w:tcPr>
            <w:tcW w:w="805" w:type="pct"/>
            <w:vMerge w:val="continue"/>
            <w:tcBorders>
              <w:top w:val="single" w:color="auto" w:sz="4" w:space="0"/>
              <w:left w:val="single" w:color="auto" w:sz="4" w:space="0"/>
              <w:bottom w:val="single" w:color="auto" w:sz="4" w:space="0"/>
              <w:right w:val="single" w:color="auto" w:sz="4" w:space="0"/>
            </w:tcBorders>
            <w:vAlign w:val="center"/>
          </w:tcPr>
          <w:p>
            <w:pPr>
              <w:widowControl/>
              <w:ind w:right="42" w:rightChars="20"/>
              <w:jc w:val="left"/>
              <w:rPr>
                <w:rFonts w:hint="eastAsia" w:ascii="仿宋_GB2312" w:hAnsi="仿宋_GB2312" w:eastAsia="仿宋_GB2312" w:cs="仿宋_GB2312"/>
                <w:sz w:val="24"/>
              </w:rPr>
            </w:pPr>
          </w:p>
        </w:tc>
        <w:tc>
          <w:tcPr>
            <w:tcW w:w="894" w:type="pct"/>
            <w:tcBorders>
              <w:top w:val="single" w:color="auto" w:sz="4" w:space="0"/>
              <w:left w:val="single" w:color="auto" w:sz="4" w:space="0"/>
              <w:bottom w:val="single" w:color="auto" w:sz="4" w:space="0"/>
              <w:right w:val="single" w:color="auto" w:sz="4" w:space="0"/>
            </w:tcBorders>
            <w:vAlign w:val="center"/>
          </w:tcPr>
          <w:p>
            <w:pPr>
              <w:widowControl/>
              <w:spacing w:line="310" w:lineRule="exact"/>
              <w:ind w:right="42" w:rightChars="20"/>
              <w:jc w:val="center"/>
              <w:rPr>
                <w:rFonts w:hint="eastAsia" w:ascii="仿宋_GB2312" w:hAnsi="仿宋_GB2312" w:eastAsia="仿宋_GB2312" w:cs="仿宋_GB2312"/>
                <w:sz w:val="24"/>
              </w:rPr>
            </w:pPr>
            <w:r>
              <w:rPr>
                <w:rFonts w:hint="eastAsia" w:ascii="仿宋_GB2312" w:hAnsi="仿宋_GB2312" w:eastAsia="仿宋_GB2312" w:cs="仿宋_GB2312"/>
                <w:sz w:val="24"/>
              </w:rPr>
              <w:t>r&gt;3.2部分</w:t>
            </w:r>
          </w:p>
        </w:tc>
        <w:tc>
          <w:tcPr>
            <w:tcW w:w="2369" w:type="pct"/>
            <w:gridSpan w:val="3"/>
            <w:tcBorders>
              <w:top w:val="single" w:color="auto" w:sz="4" w:space="0"/>
              <w:left w:val="single" w:color="auto" w:sz="4" w:space="0"/>
              <w:bottom w:val="single" w:color="auto" w:sz="4" w:space="0"/>
              <w:right w:val="single" w:color="auto" w:sz="4" w:space="0"/>
            </w:tcBorders>
            <w:vAlign w:val="center"/>
          </w:tcPr>
          <w:p>
            <w:pPr>
              <w:spacing w:line="310" w:lineRule="exact"/>
              <w:ind w:right="42" w:rightChars="20"/>
              <w:jc w:val="center"/>
              <w:rPr>
                <w:rFonts w:hint="eastAsia" w:ascii="仿宋_GB2312" w:hAnsi="仿宋_GB2312" w:eastAsia="仿宋_GB2312" w:cs="仿宋_GB2312"/>
                <w:sz w:val="24"/>
              </w:rPr>
            </w:pPr>
            <w:r>
              <w:rPr>
                <w:rFonts w:hint="eastAsia" w:ascii="仿宋_GB2312" w:hAnsi="仿宋_GB2312" w:eastAsia="仿宋_GB2312" w:cs="仿宋_GB2312"/>
                <w:sz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46" w:type="pct"/>
            <w:vMerge w:val="continue"/>
            <w:tcBorders>
              <w:top w:val="single" w:color="auto" w:sz="4" w:space="0"/>
              <w:left w:val="single" w:color="auto" w:sz="4" w:space="0"/>
              <w:bottom w:val="single" w:color="auto" w:sz="4" w:space="0"/>
              <w:right w:val="single" w:color="auto" w:sz="4" w:space="0"/>
            </w:tcBorders>
            <w:vAlign w:val="center"/>
          </w:tcPr>
          <w:p>
            <w:pPr>
              <w:widowControl/>
              <w:ind w:right="42" w:rightChars="20"/>
              <w:jc w:val="left"/>
              <w:rPr>
                <w:rFonts w:hint="eastAsia" w:ascii="仿宋_GB2312" w:hAnsi="仿宋_GB2312" w:eastAsia="仿宋_GB2312" w:cs="仿宋_GB2312"/>
                <w:kern w:val="0"/>
                <w:sz w:val="24"/>
              </w:rPr>
            </w:pPr>
          </w:p>
        </w:tc>
        <w:tc>
          <w:tcPr>
            <w:tcW w:w="484" w:type="pct"/>
            <w:vMerge w:val="continue"/>
            <w:tcBorders>
              <w:top w:val="single" w:color="auto" w:sz="4" w:space="0"/>
              <w:left w:val="single" w:color="auto" w:sz="4" w:space="0"/>
              <w:bottom w:val="single" w:color="auto" w:sz="4" w:space="0"/>
              <w:right w:val="single" w:color="auto" w:sz="4" w:space="0"/>
            </w:tcBorders>
            <w:vAlign w:val="center"/>
          </w:tcPr>
          <w:p>
            <w:pPr>
              <w:widowControl/>
              <w:ind w:right="42" w:rightChars="20"/>
              <w:jc w:val="left"/>
              <w:rPr>
                <w:rFonts w:hint="eastAsia" w:ascii="仿宋_GB2312" w:hAnsi="仿宋_GB2312" w:eastAsia="仿宋_GB2312" w:cs="仿宋_GB2312"/>
                <w:sz w:val="24"/>
              </w:rPr>
            </w:pPr>
          </w:p>
        </w:tc>
        <w:tc>
          <w:tcPr>
            <w:tcW w:w="805"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10" w:lineRule="exact"/>
              <w:ind w:right="42" w:rightChars="20"/>
              <w:jc w:val="center"/>
              <w:rPr>
                <w:rFonts w:hint="eastAsia" w:ascii="仿宋_GB2312" w:hAnsi="仿宋_GB2312" w:eastAsia="仿宋_GB2312" w:cs="仿宋_GB2312"/>
                <w:sz w:val="24"/>
              </w:rPr>
            </w:pPr>
            <w:r>
              <w:rPr>
                <w:rFonts w:hint="eastAsia" w:ascii="仿宋_GB2312" w:hAnsi="仿宋_GB2312" w:eastAsia="仿宋_GB2312" w:cs="仿宋_GB2312"/>
                <w:sz w:val="24"/>
              </w:rPr>
              <w:t>在本社区或社区外经评估后安置的征地返还用地</w:t>
            </w:r>
          </w:p>
        </w:tc>
        <w:tc>
          <w:tcPr>
            <w:tcW w:w="894" w:type="pct"/>
            <w:tcBorders>
              <w:top w:val="single" w:color="auto" w:sz="4" w:space="0"/>
              <w:left w:val="single" w:color="auto" w:sz="4" w:space="0"/>
              <w:bottom w:val="single" w:color="auto" w:sz="4" w:space="0"/>
              <w:right w:val="single" w:color="auto" w:sz="4" w:space="0"/>
            </w:tcBorders>
            <w:vAlign w:val="center"/>
          </w:tcPr>
          <w:p>
            <w:pPr>
              <w:widowControl/>
              <w:spacing w:line="310" w:lineRule="exact"/>
              <w:ind w:right="42" w:rightChars="20"/>
              <w:jc w:val="center"/>
              <w:rPr>
                <w:rFonts w:hint="eastAsia" w:ascii="仿宋_GB2312" w:hAnsi="仿宋_GB2312" w:eastAsia="仿宋_GB2312" w:cs="仿宋_GB2312"/>
                <w:sz w:val="24"/>
              </w:rPr>
            </w:pPr>
            <w:r>
              <w:rPr>
                <w:rFonts w:hint="eastAsia" w:ascii="仿宋_GB2312" w:hAnsi="仿宋_GB2312" w:eastAsia="仿宋_GB2312" w:cs="仿宋_GB2312"/>
                <w:sz w:val="24"/>
              </w:rPr>
              <w:t>等价值部分</w:t>
            </w:r>
          </w:p>
        </w:tc>
        <w:tc>
          <w:tcPr>
            <w:tcW w:w="2369" w:type="pct"/>
            <w:gridSpan w:val="3"/>
            <w:tcBorders>
              <w:top w:val="single" w:color="auto" w:sz="4" w:space="0"/>
              <w:left w:val="single" w:color="auto" w:sz="4" w:space="0"/>
              <w:bottom w:val="single" w:color="auto" w:sz="4" w:space="0"/>
              <w:right w:val="single" w:color="auto" w:sz="4" w:space="0"/>
            </w:tcBorders>
            <w:vAlign w:val="center"/>
          </w:tcPr>
          <w:p>
            <w:pPr>
              <w:spacing w:line="310" w:lineRule="exact"/>
              <w:ind w:right="42" w:rightChars="20"/>
              <w:jc w:val="center"/>
              <w:rPr>
                <w:rFonts w:hint="eastAsia" w:ascii="仿宋_GB2312" w:hAnsi="仿宋_GB2312" w:eastAsia="仿宋_GB2312" w:cs="仿宋_GB2312"/>
                <w:sz w:val="24"/>
              </w:rPr>
            </w:pPr>
            <w:r>
              <w:rPr>
                <w:rFonts w:hint="eastAsia" w:ascii="仿宋_GB2312" w:hAnsi="仿宋_GB2312" w:eastAsia="仿宋_GB2312" w:cs="仿宋_GB2312"/>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446" w:type="pct"/>
            <w:vMerge w:val="continue"/>
            <w:tcBorders>
              <w:top w:val="single" w:color="auto" w:sz="4" w:space="0"/>
              <w:left w:val="single" w:color="auto" w:sz="4" w:space="0"/>
              <w:bottom w:val="single" w:color="auto" w:sz="4" w:space="0"/>
              <w:right w:val="single" w:color="auto" w:sz="4" w:space="0"/>
            </w:tcBorders>
            <w:vAlign w:val="center"/>
          </w:tcPr>
          <w:p>
            <w:pPr>
              <w:widowControl/>
              <w:ind w:right="42" w:rightChars="20"/>
              <w:jc w:val="left"/>
              <w:rPr>
                <w:rFonts w:hint="eastAsia" w:ascii="仿宋_GB2312" w:hAnsi="仿宋_GB2312" w:eastAsia="仿宋_GB2312" w:cs="仿宋_GB2312"/>
                <w:kern w:val="0"/>
                <w:sz w:val="24"/>
              </w:rPr>
            </w:pPr>
          </w:p>
        </w:tc>
        <w:tc>
          <w:tcPr>
            <w:tcW w:w="484" w:type="pct"/>
            <w:vMerge w:val="continue"/>
            <w:tcBorders>
              <w:top w:val="single" w:color="auto" w:sz="4" w:space="0"/>
              <w:left w:val="single" w:color="auto" w:sz="4" w:space="0"/>
              <w:bottom w:val="single" w:color="auto" w:sz="4" w:space="0"/>
              <w:right w:val="single" w:color="auto" w:sz="4" w:space="0"/>
            </w:tcBorders>
            <w:vAlign w:val="center"/>
          </w:tcPr>
          <w:p>
            <w:pPr>
              <w:widowControl/>
              <w:ind w:right="42" w:rightChars="20"/>
              <w:jc w:val="left"/>
              <w:rPr>
                <w:rFonts w:hint="eastAsia" w:ascii="仿宋_GB2312" w:hAnsi="仿宋_GB2312" w:eastAsia="仿宋_GB2312" w:cs="仿宋_GB2312"/>
                <w:sz w:val="24"/>
              </w:rPr>
            </w:pPr>
          </w:p>
        </w:tc>
        <w:tc>
          <w:tcPr>
            <w:tcW w:w="805" w:type="pct"/>
            <w:vMerge w:val="continue"/>
            <w:tcBorders>
              <w:top w:val="single" w:color="auto" w:sz="4" w:space="0"/>
              <w:left w:val="single" w:color="auto" w:sz="4" w:space="0"/>
              <w:bottom w:val="single" w:color="auto" w:sz="4" w:space="0"/>
              <w:right w:val="single" w:color="auto" w:sz="4" w:space="0"/>
            </w:tcBorders>
            <w:vAlign w:val="center"/>
          </w:tcPr>
          <w:p>
            <w:pPr>
              <w:widowControl/>
              <w:ind w:right="42" w:rightChars="20"/>
              <w:jc w:val="left"/>
              <w:rPr>
                <w:rFonts w:hint="eastAsia" w:ascii="仿宋_GB2312" w:hAnsi="仿宋_GB2312" w:eastAsia="仿宋_GB2312" w:cs="仿宋_GB2312"/>
                <w:sz w:val="24"/>
              </w:rPr>
            </w:pPr>
          </w:p>
        </w:tc>
        <w:tc>
          <w:tcPr>
            <w:tcW w:w="894" w:type="pct"/>
            <w:tcBorders>
              <w:top w:val="single" w:color="auto" w:sz="4" w:space="0"/>
              <w:left w:val="single" w:color="auto" w:sz="4" w:space="0"/>
              <w:bottom w:val="single" w:color="auto" w:sz="4" w:space="0"/>
              <w:right w:val="single" w:color="auto" w:sz="4" w:space="0"/>
            </w:tcBorders>
            <w:vAlign w:val="center"/>
          </w:tcPr>
          <w:p>
            <w:pPr>
              <w:widowControl/>
              <w:spacing w:line="310" w:lineRule="exact"/>
              <w:ind w:right="42" w:rightChars="20"/>
              <w:jc w:val="center"/>
              <w:rPr>
                <w:rFonts w:hint="eastAsia" w:ascii="仿宋_GB2312" w:hAnsi="仿宋_GB2312" w:eastAsia="仿宋_GB2312" w:cs="仿宋_GB2312"/>
                <w:sz w:val="24"/>
              </w:rPr>
            </w:pPr>
            <w:r>
              <w:rPr>
                <w:rFonts w:hint="eastAsia" w:ascii="仿宋_GB2312" w:hAnsi="仿宋_GB2312" w:eastAsia="仿宋_GB2312" w:cs="仿宋_GB2312"/>
                <w:sz w:val="24"/>
              </w:rPr>
              <w:t>超出等价值部分</w:t>
            </w:r>
          </w:p>
        </w:tc>
        <w:tc>
          <w:tcPr>
            <w:tcW w:w="2369" w:type="pct"/>
            <w:gridSpan w:val="3"/>
            <w:tcBorders>
              <w:top w:val="single" w:color="auto" w:sz="4" w:space="0"/>
              <w:left w:val="single" w:color="auto" w:sz="4" w:space="0"/>
              <w:bottom w:val="single" w:color="auto" w:sz="4" w:space="0"/>
              <w:right w:val="single" w:color="auto" w:sz="4" w:space="0"/>
            </w:tcBorders>
            <w:vAlign w:val="center"/>
          </w:tcPr>
          <w:p>
            <w:pPr>
              <w:spacing w:line="310" w:lineRule="exact"/>
              <w:ind w:right="42" w:rightChars="20"/>
              <w:jc w:val="center"/>
              <w:rPr>
                <w:rFonts w:hint="eastAsia" w:ascii="仿宋_GB2312" w:hAnsi="仿宋_GB2312" w:eastAsia="仿宋_GB2312" w:cs="仿宋_GB2312"/>
                <w:sz w:val="24"/>
              </w:rPr>
            </w:pPr>
            <w:r>
              <w:rPr>
                <w:rFonts w:hint="eastAsia" w:ascii="仿宋_GB2312" w:hAnsi="仿宋_GB2312" w:eastAsia="仿宋_GB2312" w:cs="仿宋_GB2312"/>
                <w:sz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46"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10" w:lineRule="exact"/>
              <w:ind w:right="42" w:rightChars="2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p>
        </w:tc>
        <w:tc>
          <w:tcPr>
            <w:tcW w:w="1289" w:type="pct"/>
            <w:gridSpan w:val="2"/>
            <w:vMerge w:val="restart"/>
            <w:tcBorders>
              <w:top w:val="single" w:color="auto" w:sz="4" w:space="0"/>
              <w:left w:val="single" w:color="auto" w:sz="4" w:space="0"/>
              <w:right w:val="single" w:color="auto" w:sz="4" w:space="0"/>
            </w:tcBorders>
            <w:vAlign w:val="center"/>
          </w:tcPr>
          <w:p>
            <w:pPr>
              <w:widowControl/>
              <w:spacing w:line="310" w:lineRule="exact"/>
              <w:ind w:right="42" w:rightChars="20"/>
              <w:jc w:val="center"/>
              <w:rPr>
                <w:rFonts w:hint="eastAsia" w:ascii="仿宋_GB2312" w:hAnsi="仿宋_GB2312" w:eastAsia="仿宋_GB2312" w:cs="仿宋_GB2312"/>
                <w:color w:val="C00000"/>
                <w:sz w:val="24"/>
              </w:rPr>
            </w:pPr>
            <w:r>
              <w:rPr>
                <w:rFonts w:hint="eastAsia" w:ascii="仿宋_GB2312" w:hAnsi="仿宋_GB2312" w:eastAsia="仿宋_GB2312" w:cs="仿宋_GB2312"/>
                <w:color w:val="000000" w:themeColor="text1"/>
                <w:sz w:val="24"/>
                <w14:textFill>
                  <w14:solidFill>
                    <w14:schemeClr w14:val="tx1"/>
                  </w14:solidFill>
                </w14:textFill>
              </w:rPr>
              <w:t>农村集体经济组织利益统筹土地整备项目留用土地进入市场</w:t>
            </w:r>
          </w:p>
        </w:tc>
        <w:tc>
          <w:tcPr>
            <w:tcW w:w="894" w:type="pct"/>
            <w:tcBorders>
              <w:top w:val="single" w:color="auto" w:sz="4" w:space="0"/>
              <w:left w:val="single" w:color="auto" w:sz="4" w:space="0"/>
              <w:bottom w:val="single" w:color="auto" w:sz="4" w:space="0"/>
              <w:right w:val="single" w:color="auto" w:sz="4" w:space="0"/>
            </w:tcBorders>
            <w:vAlign w:val="center"/>
          </w:tcPr>
          <w:p>
            <w:pPr>
              <w:widowControl/>
              <w:spacing w:line="310" w:lineRule="exact"/>
              <w:ind w:right="42" w:rightChars="20"/>
              <w:jc w:val="center"/>
              <w:rPr>
                <w:rFonts w:hint="eastAsia" w:ascii="仿宋_GB2312" w:hAnsi="仿宋_GB2312" w:eastAsia="仿宋_GB2312" w:cs="仿宋_GB2312"/>
                <w:sz w:val="24"/>
              </w:rPr>
            </w:pPr>
            <w:r>
              <w:rPr>
                <w:rFonts w:hint="eastAsia" w:ascii="仿宋_GB2312" w:hAnsi="仿宋_GB2312" w:eastAsia="仿宋_GB2312" w:cs="仿宋_GB2312"/>
                <w:sz w:val="24"/>
              </w:rPr>
              <w:t>基础建筑面积</w:t>
            </w:r>
          </w:p>
        </w:tc>
        <w:tc>
          <w:tcPr>
            <w:tcW w:w="1033" w:type="pct"/>
            <w:tcBorders>
              <w:top w:val="single" w:color="auto" w:sz="4" w:space="0"/>
              <w:left w:val="single" w:color="auto" w:sz="4" w:space="0"/>
              <w:bottom w:val="single" w:color="auto" w:sz="4" w:space="0"/>
              <w:right w:val="single" w:color="auto" w:sz="4" w:space="0"/>
            </w:tcBorders>
            <w:vAlign w:val="center"/>
          </w:tcPr>
          <w:p>
            <w:pPr>
              <w:spacing w:line="310" w:lineRule="exact"/>
              <w:ind w:right="42" w:rightChars="20"/>
              <w:jc w:val="center"/>
              <w:rPr>
                <w:rFonts w:hint="eastAsia" w:ascii="仿宋_GB2312" w:hAnsi="仿宋_GB2312" w:eastAsia="仿宋_GB2312" w:cs="仿宋_GB2312"/>
                <w:color w:val="FF0000"/>
                <w:kern w:val="0"/>
                <w:sz w:val="24"/>
              </w:rPr>
            </w:pPr>
            <w:r>
              <w:rPr>
                <w:rFonts w:hint="eastAsia" w:ascii="仿宋_GB2312" w:hAnsi="仿宋_GB2312" w:eastAsia="仿宋_GB2312" w:cs="仿宋_GB2312"/>
                <w:sz w:val="24"/>
              </w:rPr>
              <w:t>0.02</w:t>
            </w:r>
          </w:p>
        </w:tc>
        <w:tc>
          <w:tcPr>
            <w:tcW w:w="644" w:type="pct"/>
            <w:tcBorders>
              <w:top w:val="single" w:color="auto" w:sz="4" w:space="0"/>
              <w:left w:val="single" w:color="auto" w:sz="4" w:space="0"/>
              <w:bottom w:val="single" w:color="auto" w:sz="4" w:space="0"/>
              <w:right w:val="single" w:color="auto" w:sz="4" w:space="0"/>
            </w:tcBorders>
            <w:vAlign w:val="center"/>
          </w:tcPr>
          <w:p>
            <w:pPr>
              <w:spacing w:line="310" w:lineRule="exact"/>
              <w:ind w:right="42" w:rightChars="20"/>
              <w:jc w:val="center"/>
              <w:rPr>
                <w:rFonts w:hint="eastAsia" w:ascii="仿宋_GB2312" w:hAnsi="仿宋_GB2312" w:eastAsia="仿宋_GB2312" w:cs="仿宋_GB2312"/>
                <w:color w:val="auto"/>
                <w:kern w:val="0"/>
                <w:sz w:val="24"/>
                <w:u w:val="none"/>
              </w:rPr>
            </w:pPr>
            <w:r>
              <w:rPr>
                <w:rFonts w:hint="eastAsia" w:ascii="仿宋_GB2312" w:hAnsi="仿宋_GB2312" w:eastAsia="仿宋_GB2312" w:cs="仿宋_GB2312"/>
                <w:color w:val="auto"/>
                <w:kern w:val="0"/>
                <w:sz w:val="24"/>
                <w:u w:val="none"/>
              </w:rPr>
              <w:t>0.015</w:t>
            </w:r>
          </w:p>
        </w:tc>
        <w:tc>
          <w:tcPr>
            <w:tcW w:w="691" w:type="pct"/>
            <w:vMerge w:val="restart"/>
            <w:tcBorders>
              <w:top w:val="single" w:color="auto" w:sz="4" w:space="0"/>
              <w:left w:val="single" w:color="auto" w:sz="4" w:space="0"/>
              <w:bottom w:val="single" w:color="auto" w:sz="4" w:space="0"/>
              <w:right w:val="single" w:color="auto" w:sz="4" w:space="0"/>
            </w:tcBorders>
            <w:vAlign w:val="center"/>
          </w:tcPr>
          <w:p>
            <w:pPr>
              <w:spacing w:line="310" w:lineRule="exact"/>
              <w:ind w:right="42" w:rightChars="20"/>
              <w:jc w:val="center"/>
              <w:rPr>
                <w:rFonts w:hint="eastAsia" w:ascii="仿宋_GB2312" w:hAnsi="仿宋_GB2312" w:eastAsia="仿宋_GB2312" w:cs="仿宋_GB2312"/>
                <w:strike/>
                <w:color w:val="7F7F7F" w:themeColor="background1" w:themeShade="80"/>
                <w:kern w:val="0"/>
                <w:sz w:val="24"/>
              </w:rPr>
            </w:pPr>
            <w:r>
              <w:rPr>
                <w:rFonts w:hint="eastAsia" w:ascii="仿宋_GB2312" w:hAnsi="仿宋_GB2312" w:eastAsia="仿宋_GB2312" w:cs="仿宋_GB2312"/>
                <w:sz w:val="24"/>
              </w:rPr>
              <w:t xml:space="preserve">0.01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446" w:type="pct"/>
            <w:vMerge w:val="continue"/>
            <w:tcBorders>
              <w:top w:val="single" w:color="auto" w:sz="4" w:space="0"/>
              <w:left w:val="single" w:color="auto" w:sz="4" w:space="0"/>
              <w:bottom w:val="single" w:color="auto" w:sz="4" w:space="0"/>
              <w:right w:val="single" w:color="auto" w:sz="4" w:space="0"/>
            </w:tcBorders>
            <w:vAlign w:val="center"/>
          </w:tcPr>
          <w:p>
            <w:pPr>
              <w:widowControl/>
              <w:ind w:right="42" w:rightChars="20"/>
              <w:jc w:val="left"/>
              <w:rPr>
                <w:rFonts w:hint="eastAsia" w:ascii="仿宋_GB2312" w:hAnsi="仿宋_GB2312" w:eastAsia="仿宋_GB2312" w:cs="仿宋_GB2312"/>
                <w:kern w:val="0"/>
                <w:sz w:val="24"/>
              </w:rPr>
            </w:pPr>
          </w:p>
        </w:tc>
        <w:tc>
          <w:tcPr>
            <w:tcW w:w="1289" w:type="pct"/>
            <w:gridSpan w:val="2"/>
            <w:vMerge w:val="continue"/>
            <w:tcBorders>
              <w:left w:val="single" w:color="auto" w:sz="4" w:space="0"/>
              <w:right w:val="single" w:color="auto" w:sz="4" w:space="0"/>
            </w:tcBorders>
            <w:vAlign w:val="center"/>
          </w:tcPr>
          <w:p>
            <w:pPr>
              <w:widowControl/>
              <w:ind w:right="42" w:rightChars="20"/>
              <w:jc w:val="left"/>
              <w:rPr>
                <w:rFonts w:hint="eastAsia" w:ascii="仿宋_GB2312" w:hAnsi="仿宋_GB2312" w:eastAsia="仿宋_GB2312" w:cs="仿宋_GB2312"/>
                <w:sz w:val="24"/>
              </w:rPr>
            </w:pPr>
          </w:p>
        </w:tc>
        <w:tc>
          <w:tcPr>
            <w:tcW w:w="894" w:type="pct"/>
            <w:tcBorders>
              <w:top w:val="single" w:color="auto" w:sz="4" w:space="0"/>
              <w:left w:val="single" w:color="auto" w:sz="4" w:space="0"/>
              <w:bottom w:val="single" w:color="auto" w:sz="4" w:space="0"/>
              <w:right w:val="single" w:color="auto" w:sz="4" w:space="0"/>
            </w:tcBorders>
            <w:vAlign w:val="center"/>
          </w:tcPr>
          <w:p>
            <w:pPr>
              <w:widowControl/>
              <w:spacing w:line="310" w:lineRule="exact"/>
              <w:ind w:right="42" w:rightChars="20"/>
              <w:jc w:val="center"/>
              <w:rPr>
                <w:rFonts w:hint="eastAsia" w:ascii="仿宋_GB2312" w:hAnsi="仿宋_GB2312" w:eastAsia="仿宋_GB2312" w:cs="仿宋_GB2312"/>
                <w:sz w:val="24"/>
              </w:rPr>
            </w:pPr>
            <w:r>
              <w:rPr>
                <w:rFonts w:hint="eastAsia" w:ascii="仿宋_GB2312" w:hAnsi="仿宋_GB2312" w:eastAsia="仿宋_GB2312" w:cs="仿宋_GB2312"/>
                <w:color w:val="auto"/>
                <w:sz w:val="24"/>
                <w:u w:val="none"/>
              </w:rPr>
              <w:t>不属政府的</w:t>
            </w:r>
            <w:r>
              <w:rPr>
                <w:rFonts w:hint="eastAsia" w:ascii="仿宋_GB2312" w:hAnsi="仿宋_GB2312" w:eastAsia="仿宋_GB2312" w:cs="仿宋_GB2312"/>
                <w:sz w:val="24"/>
              </w:rPr>
              <w:t>共享建筑面积</w:t>
            </w:r>
          </w:p>
        </w:tc>
        <w:tc>
          <w:tcPr>
            <w:tcW w:w="1033" w:type="pct"/>
            <w:tcBorders>
              <w:top w:val="single" w:color="auto" w:sz="4" w:space="0"/>
              <w:left w:val="single" w:color="auto" w:sz="4" w:space="0"/>
              <w:bottom w:val="single" w:color="auto" w:sz="4" w:space="0"/>
              <w:right w:val="single" w:color="auto" w:sz="4" w:space="0"/>
            </w:tcBorders>
            <w:vAlign w:val="center"/>
          </w:tcPr>
          <w:p>
            <w:pPr>
              <w:spacing w:line="310" w:lineRule="exact"/>
              <w:ind w:right="42" w:rightChars="2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0.2</w:t>
            </w:r>
          </w:p>
        </w:tc>
        <w:tc>
          <w:tcPr>
            <w:tcW w:w="644" w:type="pct"/>
            <w:tcBorders>
              <w:top w:val="single" w:color="auto" w:sz="4" w:space="0"/>
              <w:left w:val="single" w:color="auto" w:sz="4" w:space="0"/>
              <w:bottom w:val="single" w:color="auto" w:sz="4" w:space="0"/>
              <w:right w:val="single" w:color="auto" w:sz="4" w:space="0"/>
            </w:tcBorders>
            <w:vAlign w:val="center"/>
          </w:tcPr>
          <w:p>
            <w:pPr>
              <w:spacing w:line="310" w:lineRule="exact"/>
              <w:ind w:right="42" w:rightChars="20"/>
              <w:jc w:val="center"/>
              <w:rPr>
                <w:rFonts w:hint="eastAsia" w:ascii="仿宋_GB2312" w:hAnsi="仿宋_GB2312" w:eastAsia="仿宋_GB2312" w:cs="仿宋_GB2312"/>
                <w:color w:val="auto"/>
                <w:kern w:val="0"/>
                <w:sz w:val="24"/>
                <w:u w:val="none"/>
              </w:rPr>
            </w:pPr>
            <w:r>
              <w:rPr>
                <w:rFonts w:hint="eastAsia" w:ascii="仿宋_GB2312" w:hAnsi="仿宋_GB2312" w:eastAsia="仿宋_GB2312" w:cs="仿宋_GB2312"/>
                <w:color w:val="auto"/>
                <w:kern w:val="0"/>
                <w:sz w:val="24"/>
                <w:u w:val="none"/>
              </w:rPr>
              <w:t>0.105</w:t>
            </w:r>
          </w:p>
        </w:tc>
        <w:tc>
          <w:tcPr>
            <w:tcW w:w="691" w:type="pct"/>
            <w:vMerge w:val="continue"/>
            <w:tcBorders>
              <w:top w:val="single" w:color="auto" w:sz="4" w:space="0"/>
              <w:left w:val="single" w:color="auto" w:sz="4" w:space="0"/>
              <w:bottom w:val="single" w:color="auto" w:sz="4" w:space="0"/>
              <w:right w:val="single" w:color="auto" w:sz="4" w:space="0"/>
            </w:tcBorders>
            <w:vAlign w:val="center"/>
          </w:tcPr>
          <w:p>
            <w:pPr>
              <w:widowControl/>
              <w:ind w:right="42" w:rightChars="20"/>
              <w:jc w:val="lef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000" w:type="pct"/>
            <w:gridSpan w:val="7"/>
            <w:tcBorders>
              <w:top w:val="single" w:color="auto" w:sz="4" w:space="0"/>
              <w:left w:val="single" w:color="auto" w:sz="4" w:space="0"/>
              <w:bottom w:val="single" w:color="auto" w:sz="4" w:space="0"/>
              <w:right w:val="single" w:color="auto" w:sz="4" w:space="0"/>
            </w:tcBorders>
            <w:vAlign w:val="center"/>
          </w:tcPr>
          <w:p>
            <w:pPr>
              <w:widowControl/>
              <w:spacing w:line="310" w:lineRule="exact"/>
              <w:ind w:right="42" w:rightChars="2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备注：</w:t>
            </w:r>
          </w:p>
          <w:p>
            <w:pPr>
              <w:widowControl/>
              <w:spacing w:line="310" w:lineRule="exact"/>
              <w:ind w:right="42" w:rightChars="2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1．等价值部分、超出等价值部分、基础建筑面积、共享建筑面积按土地整备有关文件执行。</w:t>
            </w:r>
          </w:p>
          <w:p>
            <w:pPr>
              <w:widowControl/>
              <w:numPr>
                <w:ilvl w:val="0"/>
                <w:numId w:val="1"/>
              </w:numPr>
              <w:spacing w:line="310" w:lineRule="exact"/>
              <w:ind w:right="42" w:rightChars="20"/>
              <w:rPr>
                <w:rFonts w:hint="eastAsia" w:ascii="仿宋_GB2312" w:hAnsi="仿宋_GB2312" w:eastAsia="仿宋_GB2312" w:cs="仿宋_GB2312"/>
                <w:color w:val="C00000"/>
                <w:kern w:val="0"/>
                <w:sz w:val="24"/>
                <w:u w:val="none"/>
              </w:rPr>
            </w:pPr>
            <w:r>
              <w:rPr>
                <w:rFonts w:hint="eastAsia" w:ascii="仿宋_GB2312" w:hAnsi="仿宋_GB2312" w:eastAsia="仿宋_GB2312" w:cs="仿宋_GB2312"/>
                <w:kern w:val="0"/>
                <w:sz w:val="24"/>
              </w:rPr>
              <w:t>本表序号2、3仅适用于建筑面积首次由“不得转让”变为“允许分割转让”情形的地价测算；使用上述系数测算并缴纳地价的，对应建筑面积部分为“允许分割转让”</w:t>
            </w:r>
            <w:r>
              <w:rPr>
                <w:rFonts w:hint="eastAsia" w:ascii="仿宋_GB2312" w:hAnsi="仿宋_GB2312" w:eastAsia="仿宋_GB2312" w:cs="仿宋_GB2312"/>
                <w:color w:val="auto"/>
                <w:kern w:val="0"/>
                <w:sz w:val="24"/>
                <w:highlight w:val="none"/>
                <w:u w:val="none"/>
              </w:rPr>
              <w:t>，旅馆业建筑为“限整体转让”。应补缴地价＝∑（土地市场价格×对应建筑面积×建筑类型修正系数×土地使用年期修正系数×地上商业楼层修正系数×地下空间修正系数×留用土地项目修正系数）。</w:t>
            </w:r>
          </w:p>
          <w:p>
            <w:pPr>
              <w:widowControl/>
              <w:spacing w:line="310" w:lineRule="exact"/>
              <w:ind w:right="42" w:rightChars="2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3．约定为“不得转让”“自用”或“非商品性质”的，属于“不得转让”情形。</w:t>
            </w:r>
          </w:p>
          <w:p>
            <w:pPr>
              <w:widowControl/>
              <w:spacing w:line="310" w:lineRule="exact"/>
              <w:ind w:right="42" w:rightChars="20"/>
              <w:rPr>
                <w:rFonts w:hint="eastAsia" w:ascii="仿宋_GB2312" w:hAnsi="仿宋_GB2312" w:eastAsia="仿宋_GB2312" w:cs="仿宋_GB2312"/>
                <w:color w:val="C00000"/>
                <w:kern w:val="0"/>
                <w:sz w:val="24"/>
                <w:u w:val="single"/>
              </w:rPr>
            </w:pPr>
            <w:r>
              <w:rPr>
                <w:rFonts w:hint="eastAsia" w:ascii="仿宋_GB2312" w:hAnsi="仿宋_GB2312" w:eastAsia="仿宋_GB2312" w:cs="仿宋_GB2312"/>
                <w:kern w:val="0"/>
                <w:sz w:val="24"/>
              </w:rPr>
              <w:t>4．r为非农建设用地、在本社区安置的征地返还用地的地上规定建筑面积（不包括产权归政府部分）+地下规定建筑面积（不包括产权归政府部分）之和与用地面积的比值。其中，计算中涉及多种建筑类型的，应将各建筑类型按照建筑面积比例分摊到不同的计算区间进行地价计算。若无法按照已确定的征地返还用地土地面积进行安置，通过调整容积率保障安置建筑面积不减少而导致r有变化的，仍然按原定的用地面积计算r后进行取值分段测算。</w:t>
            </w:r>
            <w:r>
              <w:rPr>
                <w:rFonts w:hint="eastAsia" w:ascii="仿宋_GB2312" w:hAnsi="仿宋_GB2312" w:eastAsia="仿宋_GB2312" w:cs="仿宋_GB2312"/>
                <w:color w:val="auto"/>
                <w:kern w:val="0"/>
                <w:sz w:val="24"/>
                <w:u w:val="none"/>
              </w:rPr>
              <w:t>在《补偿协议书》约定的权利义务不发生变化的前提下，由于规划原因导致批复的征地返还用地被分割为多宗地的，各宗地在办理用地手续时，视批复的征地返还用地为一宗地计算r。</w:t>
            </w:r>
          </w:p>
          <w:p>
            <w:pPr>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5．土地整备利益统筹项目留用土地配套部分归属原农村集体经济组织的部分，按照比例分摊到基础建筑面积和共享建筑面积的计算区间。</w:t>
            </w:r>
          </w:p>
          <w:p>
            <w:pPr>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按照《土地整备利益统筹试点项目管理办法（试行）》（深规土〔2015〕721号）完成实施方案审批的土地整备利益统筹试点项目，项目中留用土地执行2013年公告基准地价标准，并按照《土地整备利益统筹试点项目管理办法（试行）》地价计收规则测算地价。</w:t>
            </w:r>
          </w:p>
          <w:p>
            <w:pPr>
              <w:spacing w:line="360" w:lineRule="exact"/>
              <w:jc w:val="left"/>
              <w:rPr>
                <w:rFonts w:hint="eastAsia" w:ascii="仿宋_GB2312" w:hAnsi="仿宋_GB2312" w:eastAsia="仿宋_GB2312" w:cs="仿宋_GB2312"/>
                <w:color w:val="auto"/>
                <w:kern w:val="0"/>
                <w:sz w:val="24"/>
                <w:u w:val="none"/>
              </w:rPr>
            </w:pPr>
            <w:r>
              <w:rPr>
                <w:rFonts w:hint="eastAsia" w:ascii="仿宋_GB2312" w:hAnsi="仿宋_GB2312" w:eastAsia="仿宋_GB2312" w:cs="仿宋_GB2312"/>
                <w:color w:val="auto"/>
                <w:kern w:val="0"/>
                <w:sz w:val="24"/>
                <w:u w:val="none"/>
              </w:rPr>
              <w:t>7．土地整备利益统筹办法试点项目按照《市规划和自然资源局关于土地整备利益统筹办法试点项目有关事项的通知》（深规划资源〔20</w:t>
            </w:r>
            <w:r>
              <w:rPr>
                <w:rFonts w:ascii="仿宋_GB2312" w:hAnsi="仿宋_GB2312" w:eastAsia="仿宋_GB2312" w:cs="仿宋_GB2312"/>
                <w:color w:val="auto"/>
                <w:kern w:val="0"/>
                <w:sz w:val="24"/>
                <w:u w:val="none"/>
              </w:rPr>
              <w:t>2</w:t>
            </w:r>
            <w:r>
              <w:rPr>
                <w:rFonts w:hint="eastAsia" w:ascii="仿宋_GB2312" w:hAnsi="仿宋_GB2312" w:eastAsia="仿宋_GB2312" w:cs="仿宋_GB2312"/>
                <w:color w:val="auto"/>
                <w:kern w:val="0"/>
                <w:sz w:val="24"/>
                <w:u w:val="none"/>
              </w:rPr>
              <w:t>5〕3</w:t>
            </w:r>
            <w:r>
              <w:rPr>
                <w:rFonts w:ascii="仿宋_GB2312" w:hAnsi="仿宋_GB2312" w:eastAsia="仿宋_GB2312" w:cs="仿宋_GB2312"/>
                <w:color w:val="auto"/>
                <w:kern w:val="0"/>
                <w:sz w:val="24"/>
                <w:u w:val="none"/>
              </w:rPr>
              <w:t>22</w:t>
            </w:r>
            <w:r>
              <w:rPr>
                <w:rFonts w:hint="eastAsia" w:ascii="仿宋_GB2312" w:hAnsi="仿宋_GB2312" w:eastAsia="仿宋_GB2312" w:cs="仿宋_GB2312"/>
                <w:color w:val="auto"/>
                <w:kern w:val="0"/>
                <w:sz w:val="24"/>
                <w:u w:val="none"/>
              </w:rPr>
              <w:t>号）执行。</w:t>
            </w:r>
          </w:p>
          <w:p>
            <w:pPr>
              <w:spacing w:line="360" w:lineRule="exact"/>
              <w:jc w:val="left"/>
              <w:rPr>
                <w:rFonts w:hint="eastAsia" w:ascii="仿宋_GB2312" w:hAnsi="仿宋_GB2312" w:eastAsia="仿宋_GB2312" w:cs="仿宋_GB2312"/>
                <w:color w:val="auto"/>
                <w:kern w:val="0"/>
                <w:sz w:val="24"/>
                <w:u w:val="none"/>
              </w:rPr>
            </w:pPr>
            <w:r>
              <w:rPr>
                <w:rFonts w:hint="eastAsia" w:ascii="仿宋_GB2312" w:hAnsi="仿宋_GB2312" w:eastAsia="仿宋_GB2312" w:cs="仿宋_GB2312"/>
                <w:color w:val="auto"/>
                <w:u w:val="none"/>
              </w:rPr>
              <w:t>8</w:t>
            </w:r>
            <w:r>
              <w:rPr>
                <w:rFonts w:hint="eastAsia" w:ascii="仿宋_GB2312" w:hAnsi="仿宋_GB2312" w:eastAsia="仿宋_GB2312" w:cs="仿宋_GB2312"/>
                <w:color w:val="auto"/>
                <w:kern w:val="0"/>
                <w:sz w:val="24"/>
                <w:u w:val="none"/>
              </w:rPr>
              <w:t>．按照《深圳市房屋征收与补偿实施办法（试行）》实施房屋征收，征收非商品性质房地产以及未经产权登记的建筑，在依法给予产权调换并办理安置房的初始登记后，申请安置房转为商品性质房地产，涉及补缴地价的</w:t>
            </w:r>
            <w:r>
              <w:rPr>
                <w:rFonts w:ascii="仿宋_GB2312" w:hAnsi="仿宋_GB2312" w:eastAsia="仿宋_GB2312" w:cs="仿宋_GB2312"/>
                <w:color w:val="auto"/>
                <w:kern w:val="0"/>
                <w:sz w:val="24"/>
                <w:u w:val="none"/>
              </w:rPr>
              <w:t>：</w:t>
            </w:r>
            <w:r>
              <w:rPr>
                <w:rFonts w:hint="eastAsia" w:ascii="仿宋_GB2312" w:hAnsi="仿宋_GB2312" w:eastAsia="仿宋_GB2312" w:cs="仿宋_GB2312"/>
                <w:color w:val="auto"/>
                <w:kern w:val="0"/>
                <w:sz w:val="24"/>
                <w:u w:val="none"/>
              </w:rPr>
              <w:t>原村民按照非商品住宅建设用地标准给予产权调换的安置房以及对原农村集体经济组织统建住宅给予产权调换的安置房，按照</w:t>
            </w:r>
            <w:r>
              <w:rPr>
                <w:rFonts w:ascii="仿宋_GB2312" w:hAnsi="仿宋_GB2312" w:eastAsia="仿宋_GB2312" w:cs="仿宋_GB2312"/>
                <w:color w:val="auto"/>
                <w:kern w:val="0"/>
                <w:sz w:val="24"/>
                <w:u w:val="none"/>
              </w:rPr>
              <w:t>申请转商品性质</w:t>
            </w:r>
            <w:r>
              <w:rPr>
                <w:rFonts w:hint="eastAsia" w:ascii="仿宋_GB2312" w:hAnsi="仿宋_GB2312" w:eastAsia="仿宋_GB2312" w:cs="仿宋_GB2312"/>
                <w:color w:val="auto"/>
                <w:kern w:val="0"/>
                <w:sz w:val="24"/>
                <w:u w:val="none"/>
              </w:rPr>
              <w:t>时地价的1%补缴；非原村民给予产权调换的安置房，在初始登记满10年后，按照</w:t>
            </w:r>
            <w:r>
              <w:rPr>
                <w:rFonts w:ascii="仿宋_GB2312" w:hAnsi="仿宋_GB2312" w:eastAsia="仿宋_GB2312" w:cs="仿宋_GB2312"/>
                <w:color w:val="auto"/>
                <w:kern w:val="0"/>
                <w:sz w:val="24"/>
                <w:u w:val="none"/>
              </w:rPr>
              <w:t>申请转商品性质</w:t>
            </w:r>
            <w:r>
              <w:rPr>
                <w:rFonts w:hint="eastAsia" w:ascii="仿宋_GB2312" w:hAnsi="仿宋_GB2312" w:eastAsia="仿宋_GB2312" w:cs="仿宋_GB2312"/>
                <w:color w:val="auto"/>
                <w:kern w:val="0"/>
                <w:sz w:val="24"/>
                <w:u w:val="none"/>
              </w:rPr>
              <w:t>时地价的5%补缴。</w:t>
            </w:r>
          </w:p>
          <w:p>
            <w:pPr>
              <w:spacing w:line="360" w:lineRule="exact"/>
              <w:jc w:val="left"/>
              <w:rPr>
                <w:rFonts w:hint="eastAsia" w:ascii="仿宋_GB2312" w:hAnsi="仿宋_GB2312" w:eastAsia="仿宋_GB2312" w:cs="仿宋_GB2312"/>
                <w:color w:val="C00000"/>
                <w:kern w:val="0"/>
                <w:sz w:val="24"/>
                <w:u w:val="single"/>
              </w:rPr>
            </w:pPr>
            <w:r>
              <w:rPr>
                <w:rFonts w:hint="eastAsia" w:ascii="仿宋_GB2312" w:hAnsi="仿宋_GB2312" w:eastAsia="仿宋_GB2312" w:cs="仿宋_GB2312"/>
                <w:color w:val="auto"/>
                <w:kern w:val="0"/>
                <w:sz w:val="24"/>
                <w:u w:val="none"/>
              </w:rPr>
              <w:t>9．土地置换应当遵循等价值置换的原则，所选地块的价值不得超出拟置换土地价值的10%。超出等价值部分的土地应当按照本办法缴纳地价。</w:t>
            </w:r>
          </w:p>
        </w:tc>
      </w:tr>
    </w:tbl>
    <w:p>
      <w:pPr>
        <w:spacing w:line="579" w:lineRule="exact"/>
        <w:jc w:val="center"/>
        <w:outlineLvl w:val="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附表8  拆除重建类城市更新项目修正系数计算表</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1559"/>
        <w:gridCol w:w="1018"/>
        <w:gridCol w:w="1023"/>
        <w:gridCol w:w="1218"/>
        <w:gridCol w:w="1161"/>
        <w:gridCol w:w="1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blHeader/>
          <w:jc w:val="center"/>
        </w:trPr>
        <w:tc>
          <w:tcPr>
            <w:tcW w:w="360" w:type="pct"/>
            <w:vAlign w:val="center"/>
          </w:tcPr>
          <w:p>
            <w:pPr>
              <w:spacing w:line="360" w:lineRule="exact"/>
              <w:ind w:left="-199" w:leftChars="-95" w:right="-59" w:rightChars="-28"/>
              <w:jc w:val="right"/>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测算次序</w:t>
            </w:r>
          </w:p>
        </w:tc>
        <w:tc>
          <w:tcPr>
            <w:tcW w:w="915" w:type="pct"/>
            <w:vAlign w:val="center"/>
          </w:tcPr>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用地类别或改造类型</w:t>
            </w:r>
          </w:p>
        </w:tc>
        <w:tc>
          <w:tcPr>
            <w:tcW w:w="597" w:type="pct"/>
            <w:vAlign w:val="center"/>
          </w:tcPr>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适用住宅地价修正因子</w:t>
            </w:r>
          </w:p>
        </w:tc>
        <w:tc>
          <w:tcPr>
            <w:tcW w:w="600" w:type="pct"/>
            <w:vAlign w:val="center"/>
          </w:tcPr>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适用商业地价修正因子</w:t>
            </w:r>
          </w:p>
        </w:tc>
        <w:tc>
          <w:tcPr>
            <w:tcW w:w="715" w:type="pct"/>
            <w:vAlign w:val="center"/>
          </w:tcPr>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适用办公、酒店、公共管理与服务设施地价修正因子</w:t>
            </w:r>
          </w:p>
        </w:tc>
        <w:tc>
          <w:tcPr>
            <w:tcW w:w="681" w:type="pct"/>
            <w:vAlign w:val="center"/>
          </w:tcPr>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适用工业、新型产业、公用设施地价修正因子</w:t>
            </w:r>
          </w:p>
        </w:tc>
        <w:tc>
          <w:tcPr>
            <w:tcW w:w="1128" w:type="pct"/>
            <w:vAlign w:val="center"/>
          </w:tcPr>
          <w:p>
            <w:pPr>
              <w:spacing w:line="360" w:lineRule="exact"/>
              <w:jc w:val="center"/>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360" w:type="pct"/>
            <w:vAlign w:val="center"/>
          </w:tcPr>
          <w:p>
            <w:pPr>
              <w:spacing w:line="29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1</w:t>
            </w:r>
          </w:p>
        </w:tc>
        <w:tc>
          <w:tcPr>
            <w:tcW w:w="915" w:type="pct"/>
            <w:vAlign w:val="center"/>
          </w:tcPr>
          <w:p>
            <w:pPr>
              <w:spacing w:line="290" w:lineRule="exact"/>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小地块城市更新项目应移交未移交用地</w:t>
            </w:r>
          </w:p>
        </w:tc>
        <w:tc>
          <w:tcPr>
            <w:tcW w:w="597" w:type="pct"/>
            <w:vAlign w:val="center"/>
          </w:tcPr>
          <w:p>
            <w:pPr>
              <w:spacing w:line="29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1</w:t>
            </w:r>
          </w:p>
        </w:tc>
        <w:tc>
          <w:tcPr>
            <w:tcW w:w="600" w:type="pct"/>
            <w:vAlign w:val="center"/>
          </w:tcPr>
          <w:p>
            <w:pPr>
              <w:spacing w:line="29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1</w:t>
            </w:r>
          </w:p>
        </w:tc>
        <w:tc>
          <w:tcPr>
            <w:tcW w:w="715" w:type="pct"/>
            <w:vAlign w:val="center"/>
          </w:tcPr>
          <w:p>
            <w:pPr>
              <w:spacing w:line="29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1</w:t>
            </w:r>
          </w:p>
        </w:tc>
        <w:tc>
          <w:tcPr>
            <w:tcW w:w="681" w:type="pct"/>
            <w:vAlign w:val="center"/>
          </w:tcPr>
          <w:p>
            <w:pPr>
              <w:spacing w:line="29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1</w:t>
            </w:r>
          </w:p>
        </w:tc>
        <w:tc>
          <w:tcPr>
            <w:tcW w:w="1128" w:type="pct"/>
          </w:tcPr>
          <w:p>
            <w:pPr>
              <w:spacing w:line="290" w:lineRule="exact"/>
              <w:rPr>
                <w:rFonts w:hint="eastAsia" w:ascii="仿宋_GB2312" w:hAnsi="仿宋_GB2312" w:eastAsia="仿宋_GB2312" w:cs="仿宋_GB2312"/>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360" w:type="pct"/>
            <w:vMerge w:val="restart"/>
            <w:vAlign w:val="center"/>
          </w:tcPr>
          <w:p>
            <w:pPr>
              <w:spacing w:line="29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2</w:t>
            </w:r>
          </w:p>
        </w:tc>
        <w:tc>
          <w:tcPr>
            <w:tcW w:w="915" w:type="pct"/>
            <w:vAlign w:val="center"/>
          </w:tcPr>
          <w:p>
            <w:pPr>
              <w:spacing w:line="290" w:lineRule="exact"/>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已办理征转地补偿的零星国有未出让用地</w:t>
            </w:r>
          </w:p>
        </w:tc>
        <w:tc>
          <w:tcPr>
            <w:tcW w:w="597" w:type="pct"/>
            <w:vAlign w:val="center"/>
          </w:tcPr>
          <w:p>
            <w:pPr>
              <w:spacing w:line="29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1</w:t>
            </w:r>
          </w:p>
        </w:tc>
        <w:tc>
          <w:tcPr>
            <w:tcW w:w="600" w:type="pct"/>
            <w:vAlign w:val="center"/>
          </w:tcPr>
          <w:p>
            <w:pPr>
              <w:spacing w:line="29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1</w:t>
            </w:r>
          </w:p>
        </w:tc>
        <w:tc>
          <w:tcPr>
            <w:tcW w:w="715" w:type="pct"/>
            <w:vAlign w:val="center"/>
          </w:tcPr>
          <w:p>
            <w:pPr>
              <w:spacing w:line="29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1</w:t>
            </w:r>
          </w:p>
        </w:tc>
        <w:tc>
          <w:tcPr>
            <w:tcW w:w="681" w:type="pct"/>
            <w:vAlign w:val="center"/>
          </w:tcPr>
          <w:p>
            <w:pPr>
              <w:spacing w:line="29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1</w:t>
            </w:r>
          </w:p>
        </w:tc>
        <w:tc>
          <w:tcPr>
            <w:tcW w:w="1128" w:type="pct"/>
          </w:tcPr>
          <w:p>
            <w:pPr>
              <w:spacing w:line="290" w:lineRule="exact"/>
              <w:rPr>
                <w:rFonts w:hint="eastAsia" w:ascii="仿宋_GB2312" w:hAnsi="仿宋_GB2312" w:eastAsia="仿宋_GB2312" w:cs="仿宋_GB2312"/>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jc w:val="center"/>
        </w:trPr>
        <w:tc>
          <w:tcPr>
            <w:tcW w:w="360" w:type="pct"/>
            <w:vMerge w:val="continue"/>
            <w:vAlign w:val="center"/>
          </w:tcPr>
          <w:p>
            <w:pPr>
              <w:spacing w:line="290" w:lineRule="exact"/>
              <w:jc w:val="center"/>
              <w:rPr>
                <w:rFonts w:hint="eastAsia" w:ascii="仿宋_GB2312" w:hAnsi="仿宋_GB2312" w:eastAsia="仿宋_GB2312" w:cs="仿宋_GB2312"/>
                <w:bCs/>
                <w:kern w:val="0"/>
                <w:sz w:val="22"/>
              </w:rPr>
            </w:pPr>
          </w:p>
        </w:tc>
        <w:tc>
          <w:tcPr>
            <w:tcW w:w="915" w:type="pct"/>
            <w:vAlign w:val="center"/>
          </w:tcPr>
          <w:p>
            <w:pPr>
              <w:spacing w:line="290" w:lineRule="exact"/>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未办理征转地补偿的零星国有未出让用地</w:t>
            </w:r>
          </w:p>
        </w:tc>
        <w:tc>
          <w:tcPr>
            <w:tcW w:w="597" w:type="pct"/>
            <w:vAlign w:val="center"/>
          </w:tcPr>
          <w:p>
            <w:pPr>
              <w:spacing w:line="29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w:t>
            </w:r>
          </w:p>
        </w:tc>
        <w:tc>
          <w:tcPr>
            <w:tcW w:w="600" w:type="pct"/>
            <w:vAlign w:val="center"/>
          </w:tcPr>
          <w:p>
            <w:pPr>
              <w:spacing w:line="29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0.18</w:t>
            </w:r>
          </w:p>
        </w:tc>
        <w:tc>
          <w:tcPr>
            <w:tcW w:w="715" w:type="pct"/>
            <w:vAlign w:val="center"/>
          </w:tcPr>
          <w:p>
            <w:pPr>
              <w:spacing w:line="29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0.15</w:t>
            </w:r>
          </w:p>
        </w:tc>
        <w:tc>
          <w:tcPr>
            <w:tcW w:w="681" w:type="pct"/>
            <w:vAlign w:val="center"/>
          </w:tcPr>
          <w:p>
            <w:pPr>
              <w:spacing w:line="29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0.15</w:t>
            </w:r>
          </w:p>
        </w:tc>
        <w:tc>
          <w:tcPr>
            <w:tcW w:w="1128" w:type="pct"/>
          </w:tcPr>
          <w:p>
            <w:pPr>
              <w:spacing w:line="290" w:lineRule="exact"/>
              <w:rPr>
                <w:rFonts w:hint="eastAsia" w:ascii="仿宋_GB2312" w:hAnsi="仿宋_GB2312" w:eastAsia="仿宋_GB2312" w:cs="仿宋_GB2312"/>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atLeast"/>
          <w:jc w:val="center"/>
        </w:trPr>
        <w:tc>
          <w:tcPr>
            <w:tcW w:w="360"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3</w:t>
            </w:r>
          </w:p>
        </w:tc>
        <w:tc>
          <w:tcPr>
            <w:tcW w:w="915" w:type="pct"/>
            <w:vAlign w:val="center"/>
          </w:tcPr>
          <w:p>
            <w:pPr>
              <w:spacing w:line="360" w:lineRule="exact"/>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城中村用地</w:t>
            </w:r>
          </w:p>
        </w:tc>
        <w:tc>
          <w:tcPr>
            <w:tcW w:w="597"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0.1×(1-4.5/r)</w:t>
            </w:r>
          </w:p>
        </w:tc>
        <w:tc>
          <w:tcPr>
            <w:tcW w:w="600"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0.18×(1-4.5/r)</w:t>
            </w:r>
          </w:p>
        </w:tc>
        <w:tc>
          <w:tcPr>
            <w:tcW w:w="715"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0.15×(1-4.5/r)</w:t>
            </w:r>
          </w:p>
        </w:tc>
        <w:tc>
          <w:tcPr>
            <w:tcW w:w="681"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0.15×(1-4.5/r)</w:t>
            </w:r>
          </w:p>
        </w:tc>
        <w:tc>
          <w:tcPr>
            <w:tcW w:w="1128" w:type="pct"/>
            <w:vMerge w:val="restart"/>
          </w:tcPr>
          <w:p>
            <w:pPr>
              <w:spacing w:line="360" w:lineRule="exact"/>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修正</w:t>
            </w:r>
            <w:bookmarkStart w:id="36" w:name="OLE_LINK38"/>
            <w:bookmarkStart w:id="37" w:name="OLE_LINK39"/>
            <w:r>
              <w:rPr>
                <w:rFonts w:hint="eastAsia" w:ascii="仿宋_GB2312" w:hAnsi="仿宋_GB2312" w:eastAsia="仿宋_GB2312" w:cs="仿宋_GB2312"/>
                <w:bCs/>
                <w:kern w:val="0"/>
                <w:sz w:val="22"/>
              </w:rPr>
              <w:t>因子计</w:t>
            </w:r>
            <w:bookmarkEnd w:id="36"/>
            <w:bookmarkEnd w:id="37"/>
            <w:r>
              <w:rPr>
                <w:rFonts w:hint="eastAsia" w:ascii="仿宋_GB2312" w:hAnsi="仿宋_GB2312" w:eastAsia="仿宋_GB2312" w:cs="仿宋_GB2312"/>
                <w:bCs/>
                <w:kern w:val="0"/>
                <w:sz w:val="22"/>
              </w:rPr>
              <w:t>算结果为负数时取零；</w:t>
            </w:r>
            <w:r>
              <w:rPr>
                <w:rFonts w:hint="eastAsia" w:ascii="仿宋_GB2312" w:hAnsi="仿宋_GB2312" w:eastAsia="仿宋_GB2312" w:cs="仿宋_GB2312"/>
                <w:bCs/>
                <w:color w:val="auto"/>
                <w:kern w:val="0"/>
                <w:sz w:val="22"/>
                <w:highlight w:val="none"/>
              </w:rPr>
              <w:t>按《关于加强和改进城市更新实施工作的暂行措施》（深府办〔2016〕38号）、《深圳市拆除重建类城市更新单元保障性住房配建规定》（深建规〔2025〕11号）</w:t>
            </w:r>
            <w:r>
              <w:rPr>
                <w:rFonts w:hint="eastAsia" w:ascii="仿宋_GB2312" w:hAnsi="仿宋_GB2312" w:eastAsia="仿宋_GB2312" w:cs="仿宋_GB2312"/>
                <w:bCs/>
                <w:kern w:val="0"/>
                <w:sz w:val="22"/>
              </w:rPr>
              <w:t>要求配建人才住房、保障性住房或人才公寓的城市更新项目，按相应修正因子的0.8计算。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60"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4</w:t>
            </w:r>
          </w:p>
        </w:tc>
        <w:tc>
          <w:tcPr>
            <w:tcW w:w="915" w:type="pct"/>
            <w:vAlign w:val="center"/>
          </w:tcPr>
          <w:p>
            <w:pPr>
              <w:spacing w:line="360" w:lineRule="exact"/>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旧屋村用地</w:t>
            </w:r>
          </w:p>
        </w:tc>
        <w:tc>
          <w:tcPr>
            <w:tcW w:w="597"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0.1×(1-1.5/r)</w:t>
            </w:r>
          </w:p>
        </w:tc>
        <w:tc>
          <w:tcPr>
            <w:tcW w:w="600"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0.18×(1-1.5/r)</w:t>
            </w:r>
          </w:p>
        </w:tc>
        <w:tc>
          <w:tcPr>
            <w:tcW w:w="715"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0.15×(1-1.5/r)</w:t>
            </w:r>
          </w:p>
        </w:tc>
        <w:tc>
          <w:tcPr>
            <w:tcW w:w="681"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0.15×(1-1.5/r)</w:t>
            </w:r>
          </w:p>
        </w:tc>
        <w:tc>
          <w:tcPr>
            <w:tcW w:w="1128" w:type="pct"/>
            <w:vMerge w:val="continue"/>
          </w:tcPr>
          <w:p>
            <w:pPr>
              <w:spacing w:line="360" w:lineRule="exact"/>
              <w:rPr>
                <w:rFonts w:hint="eastAsia" w:ascii="仿宋_GB2312" w:hAnsi="仿宋_GB2312" w:eastAsia="仿宋_GB2312" w:cs="仿宋_GB2312"/>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360"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5</w:t>
            </w:r>
          </w:p>
        </w:tc>
        <w:tc>
          <w:tcPr>
            <w:tcW w:w="915" w:type="pct"/>
            <w:vAlign w:val="center"/>
          </w:tcPr>
          <w:p>
            <w:pPr>
              <w:spacing w:line="360" w:lineRule="exact"/>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70个旧城旧村改造项目</w:t>
            </w:r>
          </w:p>
        </w:tc>
        <w:tc>
          <w:tcPr>
            <w:tcW w:w="597"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w:t>
            </w:r>
          </w:p>
        </w:tc>
        <w:tc>
          <w:tcPr>
            <w:tcW w:w="600"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0.18</w:t>
            </w:r>
          </w:p>
        </w:tc>
        <w:tc>
          <w:tcPr>
            <w:tcW w:w="715"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0.15</w:t>
            </w:r>
          </w:p>
        </w:tc>
        <w:tc>
          <w:tcPr>
            <w:tcW w:w="681"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0.15</w:t>
            </w:r>
          </w:p>
        </w:tc>
        <w:tc>
          <w:tcPr>
            <w:tcW w:w="1128" w:type="pct"/>
          </w:tcPr>
          <w:p>
            <w:pPr>
              <w:spacing w:line="360" w:lineRule="exact"/>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70个旧城旧村改造项目按照《关于宝安龙岗两区自行开展的新安翻身工业区等70个旧城旧村改造项目的处理意见》（深府〔2006〕258号）确定。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360" w:type="pct"/>
            <w:vMerge w:val="restart"/>
            <w:vAlign w:val="center"/>
          </w:tcPr>
          <w:p>
            <w:pPr>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6</w:t>
            </w:r>
          </w:p>
        </w:tc>
        <w:tc>
          <w:tcPr>
            <w:tcW w:w="915" w:type="pct"/>
            <w:vAlign w:val="center"/>
          </w:tcPr>
          <w:p>
            <w:pPr>
              <w:spacing w:line="360" w:lineRule="exact"/>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国有已批用地改造为工业用地、物流仓储用地</w:t>
            </w:r>
          </w:p>
        </w:tc>
        <w:tc>
          <w:tcPr>
            <w:tcW w:w="597"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0.4</w:t>
            </w:r>
          </w:p>
        </w:tc>
        <w:tc>
          <w:tcPr>
            <w:tcW w:w="600"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0.75</w:t>
            </w:r>
          </w:p>
        </w:tc>
        <w:tc>
          <w:tcPr>
            <w:tcW w:w="715"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0.6</w:t>
            </w:r>
          </w:p>
        </w:tc>
        <w:tc>
          <w:tcPr>
            <w:tcW w:w="681"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0.15</w:t>
            </w:r>
          </w:p>
        </w:tc>
        <w:tc>
          <w:tcPr>
            <w:tcW w:w="1128" w:type="pct"/>
          </w:tcPr>
          <w:p>
            <w:pPr>
              <w:spacing w:line="360" w:lineRule="exact"/>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改造为三类居住用地（R3）的，适用本改造类型。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0" w:type="pct"/>
            <w:vMerge w:val="continue"/>
            <w:vAlign w:val="center"/>
          </w:tcPr>
          <w:p>
            <w:pPr>
              <w:jc w:val="center"/>
              <w:rPr>
                <w:rFonts w:hint="eastAsia" w:ascii="仿宋_GB2312" w:hAnsi="仿宋_GB2312" w:eastAsia="仿宋_GB2312" w:cs="仿宋_GB2312"/>
                <w:bCs/>
                <w:kern w:val="0"/>
                <w:sz w:val="22"/>
              </w:rPr>
            </w:pPr>
          </w:p>
        </w:tc>
        <w:tc>
          <w:tcPr>
            <w:tcW w:w="915" w:type="pct"/>
            <w:vAlign w:val="center"/>
          </w:tcPr>
          <w:p>
            <w:pPr>
              <w:spacing w:line="360" w:lineRule="exact"/>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国有已批居住、商业服务业用地改造为居住、商业服务业用地</w:t>
            </w:r>
          </w:p>
        </w:tc>
        <w:tc>
          <w:tcPr>
            <w:tcW w:w="597"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w:t>
            </w:r>
          </w:p>
        </w:tc>
        <w:tc>
          <w:tcPr>
            <w:tcW w:w="600"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0.18</w:t>
            </w:r>
          </w:p>
        </w:tc>
        <w:tc>
          <w:tcPr>
            <w:tcW w:w="715"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0.15</w:t>
            </w:r>
          </w:p>
        </w:tc>
        <w:tc>
          <w:tcPr>
            <w:tcW w:w="681"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0.15</w:t>
            </w:r>
          </w:p>
        </w:tc>
        <w:tc>
          <w:tcPr>
            <w:tcW w:w="1128" w:type="pct"/>
          </w:tcPr>
          <w:p>
            <w:pPr>
              <w:spacing w:line="360" w:lineRule="exact"/>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其中，国有已批游乐设施用地经市政府同意改造为居住、商业服务业用地的，按相应修正因子的3.5倍计算。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60" w:type="pct"/>
            <w:vMerge w:val="continue"/>
            <w:vAlign w:val="center"/>
          </w:tcPr>
          <w:p>
            <w:pPr>
              <w:jc w:val="center"/>
              <w:rPr>
                <w:rFonts w:hint="eastAsia" w:ascii="仿宋_GB2312" w:hAnsi="仿宋_GB2312" w:eastAsia="仿宋_GB2312" w:cs="仿宋_GB2312"/>
                <w:bCs/>
                <w:kern w:val="0"/>
                <w:sz w:val="22"/>
              </w:rPr>
            </w:pPr>
          </w:p>
        </w:tc>
        <w:tc>
          <w:tcPr>
            <w:tcW w:w="915" w:type="pct"/>
            <w:vAlign w:val="center"/>
          </w:tcPr>
          <w:p>
            <w:pP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国有已批用地（除居住、商业服务业用地）改造为居住、商业服务业用地</w:t>
            </w:r>
          </w:p>
        </w:tc>
        <w:tc>
          <w:tcPr>
            <w:tcW w:w="597" w:type="pct"/>
            <w:vAlign w:val="center"/>
          </w:tcPr>
          <w:p>
            <w:pPr>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0.4</w:t>
            </w:r>
          </w:p>
        </w:tc>
        <w:tc>
          <w:tcPr>
            <w:tcW w:w="600" w:type="pct"/>
            <w:vAlign w:val="center"/>
          </w:tcPr>
          <w:p>
            <w:pPr>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0.9</w:t>
            </w:r>
          </w:p>
        </w:tc>
        <w:tc>
          <w:tcPr>
            <w:tcW w:w="715" w:type="pct"/>
            <w:vAlign w:val="center"/>
          </w:tcPr>
          <w:p>
            <w:pPr>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0.6</w:t>
            </w:r>
          </w:p>
        </w:tc>
        <w:tc>
          <w:tcPr>
            <w:tcW w:w="681" w:type="pct"/>
            <w:vAlign w:val="center"/>
          </w:tcPr>
          <w:p>
            <w:pPr>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0.15</w:t>
            </w:r>
          </w:p>
        </w:tc>
        <w:tc>
          <w:tcPr>
            <w:tcW w:w="1128" w:type="pct"/>
          </w:tcPr>
          <w:p>
            <w:pPr>
              <w:rPr>
                <w:rFonts w:hint="eastAsia" w:ascii="仿宋_GB2312" w:hAnsi="仿宋_GB2312" w:eastAsia="仿宋_GB2312" w:cs="仿宋_GB2312"/>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360" w:type="pct"/>
            <w:vMerge w:val="continue"/>
            <w:vAlign w:val="center"/>
          </w:tcPr>
          <w:p>
            <w:pPr>
              <w:jc w:val="center"/>
              <w:rPr>
                <w:rFonts w:hint="eastAsia" w:ascii="仿宋_GB2312" w:hAnsi="仿宋_GB2312" w:eastAsia="仿宋_GB2312" w:cs="仿宋_GB2312"/>
                <w:bCs/>
                <w:kern w:val="0"/>
                <w:sz w:val="22"/>
              </w:rPr>
            </w:pPr>
          </w:p>
        </w:tc>
        <w:tc>
          <w:tcPr>
            <w:tcW w:w="915" w:type="pct"/>
            <w:vAlign w:val="center"/>
          </w:tcPr>
          <w:p>
            <w:pPr>
              <w:spacing w:line="360" w:lineRule="exact"/>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国有已批用地改造为公共管理与服务设施用地（包括文体设施、医疗卫生、教育设施、社会福利用地）</w:t>
            </w:r>
          </w:p>
        </w:tc>
        <w:tc>
          <w:tcPr>
            <w:tcW w:w="597"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w:t>
            </w:r>
          </w:p>
        </w:tc>
        <w:tc>
          <w:tcPr>
            <w:tcW w:w="600"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0.18</w:t>
            </w:r>
          </w:p>
        </w:tc>
        <w:tc>
          <w:tcPr>
            <w:tcW w:w="715"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0.15</w:t>
            </w:r>
          </w:p>
        </w:tc>
        <w:tc>
          <w:tcPr>
            <w:tcW w:w="681"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0.15</w:t>
            </w:r>
          </w:p>
        </w:tc>
        <w:tc>
          <w:tcPr>
            <w:tcW w:w="1128" w:type="pct"/>
            <w:vAlign w:val="center"/>
          </w:tcPr>
          <w:p>
            <w:pPr>
              <w:spacing w:line="360" w:lineRule="exact"/>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公共管理与服务设施用地限整体转让。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60" w:type="pct"/>
            <w:vMerge w:val="continue"/>
            <w:vAlign w:val="center"/>
          </w:tcPr>
          <w:p>
            <w:pPr>
              <w:jc w:val="center"/>
              <w:rPr>
                <w:rFonts w:hint="eastAsia" w:ascii="仿宋_GB2312" w:hAnsi="仿宋_GB2312" w:eastAsia="仿宋_GB2312" w:cs="仿宋_GB2312"/>
                <w:bCs/>
                <w:kern w:val="0"/>
                <w:sz w:val="22"/>
              </w:rPr>
            </w:pPr>
          </w:p>
        </w:tc>
        <w:tc>
          <w:tcPr>
            <w:tcW w:w="915" w:type="pct"/>
            <w:vAlign w:val="center"/>
          </w:tcPr>
          <w:p>
            <w:pP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国有已批用地属于按农村城市化历史遗留违法建筑处理规定处理给原农村集体经济组织及其继受单位且权属未转移的用地</w:t>
            </w:r>
          </w:p>
        </w:tc>
        <w:tc>
          <w:tcPr>
            <w:tcW w:w="597" w:type="pct"/>
            <w:vAlign w:val="center"/>
          </w:tcPr>
          <w:p>
            <w:pPr>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w:t>
            </w:r>
          </w:p>
        </w:tc>
        <w:tc>
          <w:tcPr>
            <w:tcW w:w="600" w:type="pct"/>
            <w:vAlign w:val="center"/>
          </w:tcPr>
          <w:p>
            <w:pPr>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0.18</w:t>
            </w:r>
          </w:p>
        </w:tc>
        <w:tc>
          <w:tcPr>
            <w:tcW w:w="715" w:type="pct"/>
            <w:vAlign w:val="center"/>
          </w:tcPr>
          <w:p>
            <w:pPr>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0.15</w:t>
            </w:r>
          </w:p>
        </w:tc>
        <w:tc>
          <w:tcPr>
            <w:tcW w:w="681" w:type="pct"/>
            <w:vAlign w:val="center"/>
          </w:tcPr>
          <w:p>
            <w:pPr>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0.15</w:t>
            </w:r>
          </w:p>
        </w:tc>
        <w:tc>
          <w:tcPr>
            <w:tcW w:w="1128" w:type="pct"/>
          </w:tcPr>
          <w:p>
            <w:pPr>
              <w:rPr>
                <w:rFonts w:hint="eastAsia" w:ascii="仿宋_GB2312" w:hAnsi="仿宋_GB2312" w:eastAsia="仿宋_GB2312" w:cs="仿宋_GB2312"/>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60"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7</w:t>
            </w:r>
          </w:p>
        </w:tc>
        <w:tc>
          <w:tcPr>
            <w:tcW w:w="915" w:type="pct"/>
            <w:vAlign w:val="center"/>
          </w:tcPr>
          <w:p>
            <w:pPr>
              <w:spacing w:line="360" w:lineRule="exact"/>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历史用地处置</w:t>
            </w:r>
          </w:p>
        </w:tc>
        <w:tc>
          <w:tcPr>
            <w:tcW w:w="597"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0.11</w:t>
            </w:r>
          </w:p>
        </w:tc>
        <w:tc>
          <w:tcPr>
            <w:tcW w:w="600"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0.2</w:t>
            </w:r>
          </w:p>
        </w:tc>
        <w:tc>
          <w:tcPr>
            <w:tcW w:w="715"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0.16</w:t>
            </w:r>
          </w:p>
        </w:tc>
        <w:tc>
          <w:tcPr>
            <w:tcW w:w="681" w:type="pct"/>
            <w:vAlign w:val="center"/>
          </w:tcPr>
          <w:p>
            <w:pPr>
              <w:spacing w:line="360" w:lineRule="exact"/>
              <w:jc w:val="center"/>
              <w:rPr>
                <w:rFonts w:hint="eastAsia" w:ascii="仿宋_GB2312" w:hAnsi="仿宋_GB2312" w:eastAsia="仿宋_GB2312" w:cs="仿宋_GB2312"/>
                <w:bCs/>
                <w:kern w:val="0"/>
                <w:sz w:val="22"/>
              </w:rPr>
            </w:pPr>
            <w:r>
              <w:rPr>
                <w:rFonts w:hint="eastAsia" w:ascii="仿宋_GB2312" w:hAnsi="仿宋_GB2312" w:eastAsia="仿宋_GB2312" w:cs="仿宋_GB2312"/>
                <w:bCs/>
                <w:kern w:val="0"/>
                <w:sz w:val="22"/>
              </w:rPr>
              <w:t>0.16</w:t>
            </w:r>
          </w:p>
        </w:tc>
        <w:tc>
          <w:tcPr>
            <w:tcW w:w="1128" w:type="pct"/>
          </w:tcPr>
          <w:p>
            <w:pPr>
              <w:spacing w:line="360" w:lineRule="exact"/>
              <w:rPr>
                <w:rFonts w:hint="eastAsia" w:ascii="仿宋_GB2312" w:hAnsi="仿宋_GB2312" w:eastAsia="仿宋_GB2312" w:cs="仿宋_GB2312"/>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000" w:type="pct"/>
            <w:gridSpan w:val="7"/>
            <w:vAlign w:val="center"/>
          </w:tcPr>
          <w:p>
            <w:pPr>
              <w:spacing w:line="360" w:lineRule="exact"/>
              <w:jc w:val="left"/>
              <w:rPr>
                <w:rFonts w:hint="eastAsia" w:ascii="仿宋" w:hAnsi="仿宋" w:eastAsia="仿宋" w:cs="仿宋"/>
                <w:bCs/>
                <w:kern w:val="0"/>
                <w:sz w:val="24"/>
              </w:rPr>
            </w:pPr>
            <w:r>
              <w:rPr>
                <w:rFonts w:hint="eastAsia" w:ascii="仿宋" w:hAnsi="仿宋" w:eastAsia="仿宋" w:cs="仿宋"/>
                <w:bCs/>
                <w:kern w:val="0"/>
                <w:sz w:val="24"/>
              </w:rPr>
              <w:t>备注：</w:t>
            </w:r>
          </w:p>
          <w:p>
            <w:pPr>
              <w:spacing w:line="360" w:lineRule="exact"/>
              <w:jc w:val="left"/>
              <w:rPr>
                <w:rFonts w:hint="eastAsia" w:ascii="仿宋" w:hAnsi="仿宋" w:eastAsia="仿宋" w:cs="仿宋"/>
                <w:b/>
                <w:bCs/>
                <w:kern w:val="0"/>
                <w:sz w:val="24"/>
              </w:rPr>
            </w:pPr>
            <w:r>
              <w:rPr>
                <w:rFonts w:hint="eastAsia" w:ascii="仿宋" w:hAnsi="仿宋" w:eastAsia="仿宋" w:cs="仿宋"/>
                <w:b/>
                <w:bCs/>
                <w:kern w:val="0"/>
                <w:sz w:val="24"/>
              </w:rPr>
              <w:t>一、城市更新项目</w:t>
            </w:r>
          </w:p>
          <w:p>
            <w:pPr>
              <w:widowControl/>
              <w:spacing w:line="290" w:lineRule="exact"/>
              <w:rPr>
                <w:rFonts w:hint="eastAsia" w:ascii="仿宋" w:hAnsi="仿宋" w:eastAsia="仿宋" w:cs="仿宋"/>
                <w:kern w:val="0"/>
                <w:sz w:val="24"/>
              </w:rPr>
            </w:pPr>
            <w:r>
              <w:rPr>
                <w:rFonts w:hint="eastAsia" w:ascii="仿宋" w:hAnsi="仿宋" w:eastAsia="仿宋" w:cs="仿宋"/>
                <w:kern w:val="0"/>
                <w:sz w:val="24"/>
              </w:rPr>
              <w:t>1．城市更新项目以用地审批中确定的一个整体为地价测算单位，按住宅、商业、办公、工业、新型产业、酒店、公共管理与服务设施、公用设施确定项目修正系数，各修正系数按照各“用地类别或改造类型”的面积占比及相应地价修正因子加权平均确定，公式为：各修正系数=∑（各“用地类别或改造类型”面积占比×相应修正因子）。</w:t>
            </w:r>
          </w:p>
          <w:p>
            <w:pPr>
              <w:spacing w:line="360" w:lineRule="exact"/>
              <w:jc w:val="left"/>
              <w:rPr>
                <w:rFonts w:hint="eastAsia" w:ascii="仿宋" w:hAnsi="仿宋" w:eastAsia="仿宋" w:cs="仿宋"/>
                <w:kern w:val="0"/>
                <w:sz w:val="24"/>
              </w:rPr>
            </w:pPr>
            <w:r>
              <w:rPr>
                <w:rFonts w:hint="eastAsia" w:ascii="仿宋" w:hAnsi="仿宋" w:eastAsia="仿宋" w:cs="仿宋"/>
                <w:kern w:val="0"/>
                <w:sz w:val="24"/>
              </w:rPr>
              <w:t>2．r为一个整体范围内全部开发建设用地的地上规定建筑面积+地下规定建筑面积之和与总用地面积的比值。</w:t>
            </w:r>
          </w:p>
          <w:p>
            <w:pPr>
              <w:spacing w:line="360" w:lineRule="exact"/>
              <w:jc w:val="left"/>
              <w:rPr>
                <w:rFonts w:hint="eastAsia" w:ascii="仿宋" w:hAnsi="仿宋" w:eastAsia="仿宋" w:cs="仿宋"/>
                <w:kern w:val="0"/>
                <w:sz w:val="24"/>
              </w:rPr>
            </w:pPr>
            <w:r>
              <w:rPr>
                <w:rFonts w:hint="eastAsia" w:ascii="仿宋" w:hAnsi="仿宋" w:eastAsia="仿宋" w:cs="仿宋"/>
                <w:kern w:val="0"/>
                <w:sz w:val="24"/>
              </w:rPr>
              <w:t>3.“用地类别或改造类型”面积占比为相应用地面积与开发建设用地面积的比值，并按照本表中“测算次序”依次计算，累计面积占比超出100%的部分不再参与计算；</w:t>
            </w:r>
            <w:r>
              <w:rPr>
                <w:rFonts w:hint="eastAsia" w:ascii="仿宋" w:hAnsi="仿宋" w:eastAsia="仿宋" w:cs="仿宋"/>
                <w:color w:val="auto"/>
                <w:kern w:val="0"/>
                <w:sz w:val="24"/>
                <w:u w:val="none"/>
              </w:rPr>
              <w:t>城市更新项目分期实施的，累计面积占比超出100%的部分可以腾挪至其他分期使用</w:t>
            </w:r>
            <w:r>
              <w:rPr>
                <w:rFonts w:hint="eastAsia" w:ascii="仿宋" w:hAnsi="仿宋" w:eastAsia="仿宋" w:cs="仿宋"/>
                <w:kern w:val="0"/>
                <w:sz w:val="24"/>
              </w:rPr>
              <w:t>。其中测算次序6存在多种“用地类别或改造类型”的，测算次序6应计入的面积占比按照相应用地面积占国有已批用地面积的比例分摊至各“用地类别或改造类型”。</w:t>
            </w:r>
          </w:p>
          <w:p>
            <w:pPr>
              <w:spacing w:line="360" w:lineRule="exact"/>
              <w:jc w:val="left"/>
              <w:rPr>
                <w:rFonts w:hint="eastAsia" w:ascii="仿宋" w:hAnsi="仿宋" w:eastAsia="仿宋" w:cs="仿宋"/>
                <w:color w:val="C00000"/>
                <w:sz w:val="24"/>
                <w:szCs w:val="28"/>
                <w:u w:val="single"/>
              </w:rPr>
            </w:pPr>
            <w:r>
              <w:rPr>
                <w:rFonts w:hint="eastAsia" w:ascii="仿宋" w:hAnsi="仿宋" w:eastAsia="仿宋" w:cs="仿宋"/>
                <w:kern w:val="0"/>
                <w:sz w:val="24"/>
              </w:rPr>
              <w:t>4．</w:t>
            </w:r>
            <w:bookmarkStart w:id="38" w:name="OLE_LINK62"/>
            <w:bookmarkStart w:id="39" w:name="OLE_LINK63"/>
            <w:bookmarkStart w:id="40" w:name="OLE_LINK40"/>
            <w:r>
              <w:rPr>
                <w:rFonts w:hint="eastAsia" w:ascii="仿宋" w:hAnsi="仿宋" w:eastAsia="仿宋" w:cs="仿宋"/>
                <w:color w:val="auto"/>
                <w:sz w:val="24"/>
                <w:szCs w:val="28"/>
                <w:highlight w:val="none"/>
                <w:u w:val="none"/>
              </w:rPr>
              <w:t>按《关于加强和改进城市更新实施工作的暂行措施》（深府办〔2016〕38号</w:t>
            </w:r>
            <w:bookmarkStart w:id="41" w:name="OLE_LINK57"/>
            <w:r>
              <w:rPr>
                <w:rFonts w:hint="eastAsia" w:ascii="仿宋" w:hAnsi="仿宋" w:eastAsia="仿宋" w:cs="仿宋"/>
                <w:color w:val="auto"/>
                <w:sz w:val="24"/>
                <w:szCs w:val="28"/>
                <w:highlight w:val="none"/>
                <w:u w:val="none"/>
              </w:rPr>
              <w:t>）、</w:t>
            </w:r>
            <w:bookmarkStart w:id="42" w:name="OLE_LINK61"/>
            <w:bookmarkStart w:id="43" w:name="OLE_LINK60"/>
            <w:r>
              <w:rPr>
                <w:rFonts w:hint="eastAsia" w:ascii="仿宋" w:hAnsi="仿宋" w:eastAsia="仿宋" w:cs="仿宋"/>
                <w:color w:val="auto"/>
                <w:sz w:val="24"/>
                <w:szCs w:val="28"/>
                <w:highlight w:val="none"/>
                <w:u w:val="none"/>
              </w:rPr>
              <w:t>《深圳市拆除重建类城市更新单元保障性住房配建规定》（深建规〔2025〕11号）</w:t>
            </w:r>
            <w:bookmarkEnd w:id="38"/>
            <w:bookmarkEnd w:id="39"/>
            <w:bookmarkEnd w:id="40"/>
            <w:bookmarkEnd w:id="41"/>
            <w:bookmarkEnd w:id="42"/>
            <w:bookmarkEnd w:id="43"/>
            <w:r>
              <w:rPr>
                <w:rFonts w:hint="eastAsia" w:ascii="仿宋" w:hAnsi="仿宋" w:eastAsia="仿宋" w:cs="仿宋"/>
                <w:kern w:val="0"/>
                <w:sz w:val="24"/>
              </w:rPr>
              <w:t>要求配建人才住房、保障性住房的城市更新项目，适用“国有已批用地（除居住、商业服务业用地外）改造为居住、商业服务业用地”类型的，除人才住房及保障性住房外的住宅建筑面积按住宅修正因子的0.8计算；配建人才公寓的城市更新</w:t>
            </w:r>
            <w:r>
              <w:rPr>
                <w:rFonts w:ascii="仿宋" w:hAnsi="仿宋" w:eastAsia="仿宋" w:cs="仿宋"/>
                <w:kern w:val="0"/>
                <w:sz w:val="24"/>
              </w:rPr>
              <w:t>项目</w:t>
            </w:r>
            <w:r>
              <w:rPr>
                <w:rFonts w:hint="eastAsia" w:ascii="仿宋" w:hAnsi="仿宋" w:eastAsia="仿宋" w:cs="仿宋"/>
                <w:kern w:val="0"/>
                <w:sz w:val="24"/>
              </w:rPr>
              <w:t>，适用“国有已批用地（除居住、商业服务业用地外）改造为居住、商业服务业用地”类型的，除人才公寓外的商务公寓建筑面积按办公修正因子的0.8计算。</w:t>
            </w:r>
            <w:bookmarkStart w:id="44" w:name="OLE_LINK49"/>
            <w:bookmarkStart w:id="45" w:name="OLE_LINK50"/>
          </w:p>
          <w:bookmarkEnd w:id="44"/>
          <w:bookmarkEnd w:id="45"/>
          <w:p>
            <w:pPr>
              <w:spacing w:line="360" w:lineRule="exact"/>
              <w:jc w:val="left"/>
              <w:rPr>
                <w:rFonts w:hint="eastAsia" w:ascii="楷体" w:hAnsi="楷体" w:eastAsia="楷体" w:cs="楷体"/>
                <w:color w:val="auto"/>
                <w:sz w:val="24"/>
                <w:szCs w:val="28"/>
                <w:u w:val="none"/>
              </w:rPr>
            </w:pPr>
            <w:r>
              <w:rPr>
                <w:rFonts w:hint="eastAsia" w:ascii="仿宋" w:hAnsi="仿宋" w:eastAsia="仿宋" w:cs="仿宋"/>
                <w:color w:val="auto"/>
                <w:sz w:val="24"/>
                <w:szCs w:val="28"/>
                <w:u w:val="none"/>
              </w:rPr>
              <w:t>5.城市更新单元</w:t>
            </w:r>
            <w:r>
              <w:rPr>
                <w:rFonts w:hint="eastAsia" w:ascii="仿宋" w:hAnsi="仿宋" w:eastAsia="仿宋" w:cs="仿宋"/>
                <w:color w:val="auto"/>
                <w:sz w:val="24"/>
                <w:szCs w:val="28"/>
                <w:highlight w:val="none"/>
                <w:u w:val="none"/>
              </w:rPr>
              <w:t>按《关于加强和改进城市更新实施工作的暂行措施》（深府办〔2016〕38号）、《深圳市拆除重建类城市更新单元保障性住房配建规定》（深建规〔2025〕11号）</w:t>
            </w:r>
            <w:r>
              <w:rPr>
                <w:rFonts w:hint="eastAsia" w:ascii="仿宋" w:hAnsi="仿宋" w:eastAsia="仿宋" w:cs="仿宋"/>
                <w:color w:val="auto"/>
                <w:sz w:val="24"/>
                <w:szCs w:val="28"/>
                <w:u w:val="none"/>
              </w:rPr>
              <w:t>规定整体核算配建人才住房、保障性住房或人才公寓的，该城市更新单元内的各城市更新项目用地测算地价时，可按照本表及备注4相关规定适用0.8修正系数。</w:t>
            </w:r>
          </w:p>
          <w:p>
            <w:pPr>
              <w:spacing w:line="360" w:lineRule="exact"/>
              <w:jc w:val="left"/>
              <w:rPr>
                <w:rFonts w:hint="eastAsia" w:ascii="仿宋" w:hAnsi="仿宋" w:eastAsia="仿宋" w:cs="仿宋"/>
                <w:kern w:val="0"/>
                <w:sz w:val="24"/>
              </w:rPr>
            </w:pPr>
            <w:r>
              <w:rPr>
                <w:rFonts w:hint="eastAsia" w:ascii="仿宋" w:hAnsi="仿宋" w:eastAsia="仿宋" w:cs="仿宋"/>
                <w:kern w:val="0"/>
                <w:sz w:val="24"/>
              </w:rPr>
              <w:t>6．本表测算次序第3至7项“用地类别或改造类型”中的厂房、研发用房为不得转让情形的，其适用工业、</w:t>
            </w:r>
            <w:r>
              <w:rPr>
                <w:rFonts w:hint="eastAsia" w:ascii="仿宋" w:hAnsi="仿宋" w:eastAsia="仿宋" w:cs="仿宋"/>
                <w:color w:val="auto"/>
                <w:kern w:val="0"/>
                <w:sz w:val="24"/>
                <w:u w:val="none"/>
              </w:rPr>
              <w:t>新型产业</w:t>
            </w:r>
            <w:r>
              <w:rPr>
                <w:rFonts w:hint="eastAsia" w:ascii="仿宋" w:hAnsi="仿宋" w:eastAsia="仿宋" w:cs="仿宋"/>
                <w:kern w:val="0"/>
                <w:sz w:val="24"/>
              </w:rPr>
              <w:t>地价修正因子按0计算（即厂房、研发用房不得转让部分不计收地价）。</w:t>
            </w:r>
          </w:p>
          <w:p>
            <w:pPr>
              <w:spacing w:line="360" w:lineRule="exact"/>
              <w:jc w:val="left"/>
              <w:rPr>
                <w:rFonts w:hint="eastAsia" w:ascii="仿宋" w:hAnsi="仿宋" w:eastAsia="仿宋" w:cs="仿宋"/>
                <w:kern w:val="0"/>
                <w:sz w:val="24"/>
              </w:rPr>
            </w:pPr>
            <w:r>
              <w:rPr>
                <w:rFonts w:hint="eastAsia" w:ascii="仿宋" w:hAnsi="仿宋" w:eastAsia="仿宋" w:cs="仿宋"/>
                <w:kern w:val="0"/>
                <w:sz w:val="24"/>
              </w:rPr>
              <w:t>7．签订供应合同时按</w:t>
            </w:r>
            <w:bookmarkStart w:id="46" w:name="OLE_LINK52"/>
            <w:bookmarkStart w:id="47" w:name="OLE_LINK51"/>
            <w:r>
              <w:rPr>
                <w:rFonts w:hint="eastAsia" w:ascii="仿宋" w:hAnsi="仿宋" w:eastAsia="仿宋" w:cs="仿宋"/>
                <w:color w:val="auto"/>
                <w:kern w:val="0"/>
                <w:sz w:val="24"/>
                <w:u w:val="none"/>
              </w:rPr>
              <w:t>《深圳市地价测算规则》</w:t>
            </w:r>
            <w:bookmarkStart w:id="48" w:name="OLE_LINK53"/>
            <w:bookmarkStart w:id="49" w:name="OLE_LINK54"/>
            <w:r>
              <w:rPr>
                <w:rFonts w:hint="eastAsia" w:ascii="仿宋" w:hAnsi="仿宋" w:eastAsia="仿宋" w:cs="仿宋"/>
                <w:color w:val="auto"/>
                <w:kern w:val="0"/>
                <w:sz w:val="24"/>
                <w:u w:val="none"/>
              </w:rPr>
              <w:t>（深府办规〔2019〕9号）</w:t>
            </w:r>
            <w:bookmarkEnd w:id="48"/>
            <w:bookmarkEnd w:id="49"/>
            <w:r>
              <w:rPr>
                <w:rFonts w:hint="eastAsia" w:ascii="仿宋" w:hAnsi="仿宋" w:eastAsia="仿宋" w:cs="仿宋"/>
                <w:color w:val="auto"/>
                <w:kern w:val="0"/>
                <w:sz w:val="24"/>
                <w:u w:val="none"/>
              </w:rPr>
              <w:t>及后续地价管理有关政策</w:t>
            </w:r>
            <w:bookmarkEnd w:id="46"/>
            <w:bookmarkEnd w:id="47"/>
            <w:r>
              <w:rPr>
                <w:rFonts w:hint="eastAsia" w:ascii="仿宋" w:hAnsi="仿宋" w:eastAsia="仿宋" w:cs="仿宋"/>
                <w:kern w:val="0"/>
                <w:sz w:val="24"/>
              </w:rPr>
              <w:t>测算地价的城市更新项目，供应合同受让方（不包括转让后的权利主体）申请将工业楼宇及配套用房产权条件变更为整体或分割转让的，</w:t>
            </w:r>
            <w:r>
              <w:rPr>
                <w:rFonts w:hint="eastAsia" w:ascii="仿宋" w:hAnsi="仿宋" w:eastAsia="仿宋" w:cs="仿宋"/>
                <w:color w:val="auto"/>
                <w:kern w:val="0"/>
                <w:sz w:val="24"/>
              </w:rPr>
              <w:t>应补缴地价适用拆除重建类城市更新项目修正系数</w:t>
            </w:r>
            <w:r>
              <w:rPr>
                <w:rFonts w:hint="eastAsia" w:ascii="仿宋" w:hAnsi="仿宋" w:eastAsia="仿宋" w:cs="仿宋"/>
                <w:kern w:val="0"/>
                <w:sz w:val="24"/>
              </w:rPr>
              <w:t>。</w:t>
            </w:r>
          </w:p>
          <w:p>
            <w:pPr>
              <w:spacing w:line="360" w:lineRule="exact"/>
              <w:jc w:val="left"/>
              <w:rPr>
                <w:rFonts w:hint="eastAsia" w:ascii="仿宋" w:hAnsi="仿宋" w:eastAsia="仿宋" w:cs="仿宋"/>
                <w:kern w:val="0"/>
                <w:sz w:val="24"/>
              </w:rPr>
            </w:pPr>
            <w:r>
              <w:rPr>
                <w:rFonts w:hint="eastAsia" w:ascii="仿宋" w:hAnsi="仿宋" w:eastAsia="仿宋" w:cs="仿宋"/>
                <w:kern w:val="0"/>
                <w:sz w:val="24"/>
              </w:rPr>
              <w:t>签订供应合同时未按</w:t>
            </w:r>
            <w:r>
              <w:rPr>
                <w:rFonts w:hint="eastAsia" w:ascii="仿宋" w:hAnsi="仿宋" w:eastAsia="仿宋" w:cs="仿宋"/>
                <w:color w:val="auto"/>
                <w:kern w:val="0"/>
                <w:sz w:val="24"/>
                <w:u w:val="none"/>
              </w:rPr>
              <w:t>《深圳市地价测算规则》（深府办规〔2019〕9号）及后续地价管理有关政策</w:t>
            </w:r>
            <w:r>
              <w:rPr>
                <w:rFonts w:hint="eastAsia" w:ascii="仿宋" w:hAnsi="仿宋" w:eastAsia="仿宋" w:cs="仿宋"/>
                <w:kern w:val="0"/>
                <w:sz w:val="24"/>
              </w:rPr>
              <w:t>测算地价的城市更新项目用地，供应合同受让方（不包括转让后的权利主体）申请将工业楼宇及配套用房产权条件变更为整体或分割转让的，应补缴地价按照前款公式计算，变更后拆除重建类城市更新项目修正系数按照本表中“国有已批用地改造为工业用地、物流仓储用地”改造类型的适用住宅、商业、办公、工业</w:t>
            </w:r>
            <w:r>
              <w:rPr>
                <w:rFonts w:hint="eastAsia" w:ascii="仿宋" w:hAnsi="仿宋" w:eastAsia="仿宋" w:cs="仿宋"/>
                <w:sz w:val="28"/>
                <w:szCs w:val="28"/>
              </w:rPr>
              <w:t>、</w:t>
            </w:r>
            <w:r>
              <w:rPr>
                <w:rFonts w:hint="eastAsia" w:ascii="仿宋" w:hAnsi="仿宋" w:eastAsia="仿宋" w:cs="仿宋"/>
                <w:color w:val="auto"/>
                <w:sz w:val="24"/>
                <w:u w:val="none"/>
              </w:rPr>
              <w:t>新型产业、酒店、公共管理与服务设施、公用设施</w:t>
            </w:r>
            <w:r>
              <w:rPr>
                <w:rFonts w:hint="eastAsia" w:ascii="仿宋" w:hAnsi="仿宋" w:eastAsia="仿宋" w:cs="仿宋"/>
                <w:kern w:val="0"/>
                <w:sz w:val="24"/>
              </w:rPr>
              <w:t>地价修正因子取值；变更前产权条件为不得转让的，变更前拆除重建类城市更新项目修正系数均按0.05取值，变更前产权条件为整体转让的，变更前拆除重建类城市更新项目修正系数均按0.15取值。如差额为负，不再计收地价。</w:t>
            </w:r>
          </w:p>
          <w:p>
            <w:pPr>
              <w:spacing w:line="360" w:lineRule="exact"/>
              <w:jc w:val="left"/>
              <w:rPr>
                <w:rFonts w:hint="eastAsia" w:ascii="仿宋" w:hAnsi="仿宋" w:eastAsia="仿宋" w:cs="仿宋"/>
                <w:kern w:val="0"/>
                <w:sz w:val="24"/>
              </w:rPr>
            </w:pPr>
            <w:r>
              <w:rPr>
                <w:rFonts w:hint="eastAsia" w:ascii="仿宋_GB2312" w:hAnsi="仿宋_GB2312" w:eastAsia="仿宋_GB2312" w:cs="仿宋_GB2312"/>
                <w:kern w:val="0"/>
                <w:sz w:val="24"/>
              </w:rPr>
              <w:t>8．</w:t>
            </w:r>
            <w:r>
              <w:rPr>
                <w:rFonts w:hint="eastAsia" w:ascii="仿宋" w:hAnsi="仿宋" w:eastAsia="仿宋" w:cs="仿宋"/>
                <w:kern w:val="0"/>
                <w:sz w:val="24"/>
              </w:rPr>
              <w:t>城市更新单元规划确定的开发建设用地范围外的地下停车场（库）</w:t>
            </w:r>
            <w:r>
              <w:rPr>
                <w:rFonts w:hint="eastAsia" w:ascii="仿宋" w:hAnsi="仿宋" w:eastAsia="仿宋" w:cs="仿宋"/>
                <w:color w:val="auto"/>
                <w:kern w:val="0"/>
                <w:sz w:val="24"/>
                <w:u w:val="none"/>
              </w:rPr>
              <w:t>及地下行车通道</w:t>
            </w:r>
            <w:r>
              <w:rPr>
                <w:rFonts w:hint="eastAsia" w:ascii="仿宋" w:hAnsi="仿宋" w:eastAsia="仿宋" w:cs="仿宋"/>
                <w:kern w:val="0"/>
                <w:sz w:val="24"/>
              </w:rPr>
              <w:t>部分，按本办法</w:t>
            </w:r>
            <w:r>
              <w:rPr>
                <w:rFonts w:hint="eastAsia" w:ascii="仿宋" w:hAnsi="仿宋" w:eastAsia="仿宋" w:cs="仿宋"/>
                <w:kern w:val="0"/>
                <w:sz w:val="24"/>
                <w:lang w:eastAsia="zh-CN"/>
              </w:rPr>
              <w:t>第七条</w:t>
            </w:r>
            <w:r>
              <w:rPr>
                <w:rFonts w:hint="eastAsia" w:ascii="仿宋" w:hAnsi="仿宋" w:eastAsia="仿宋" w:cs="仿宋"/>
                <w:kern w:val="0"/>
                <w:sz w:val="24"/>
              </w:rPr>
              <w:t>公式测算地价，产权条件为不得转让</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kern w:val="0"/>
                <w:sz w:val="24"/>
              </w:rPr>
              <w:t>项目修正系数为1。</w:t>
            </w:r>
          </w:p>
          <w:p>
            <w:pPr>
              <w:spacing w:line="360" w:lineRule="exact"/>
              <w:jc w:val="left"/>
              <w:rPr>
                <w:rFonts w:hint="eastAsia" w:ascii="仿宋" w:hAnsi="仿宋" w:eastAsia="仿宋" w:cs="仿宋"/>
                <w:kern w:val="0"/>
                <w:sz w:val="24"/>
              </w:rPr>
            </w:pPr>
            <w:r>
              <w:rPr>
                <w:rFonts w:hint="eastAsia" w:ascii="仿宋" w:hAnsi="仿宋" w:eastAsia="仿宋" w:cs="仿宋"/>
                <w:kern w:val="0"/>
                <w:sz w:val="24"/>
              </w:rPr>
              <w:t>9．城市更新拆除范围内的以下用地适用“城中村用地”用地类别：（1）福田、罗湖、南山、盐田区原农村集体已划定红线范围内的用地；（2）宝安、龙岗、龙华、坪山、光明区、大鹏新区根据市政府1993年发布的《深圳市宝安、龙岗两区规划、国土管理暂行办法》、2004年发布的《深圳市宝安龙岗两区城市化土地管理办法》划定给原农村集体的非农建设用地；（3）1993年以后，以土地主管部门核发的用地批复或者土地使用权供应合同形式批准给原农村集体经济组织或者其继受单位的征地返还用地。已批准合作建房并签订土地使用权供应合同、已办理产权转移或者享受过城中村地价政策的用地不再适用“城中村用地”用地类别。</w:t>
            </w:r>
          </w:p>
          <w:p>
            <w:pPr>
              <w:spacing w:line="360" w:lineRule="exact"/>
              <w:jc w:val="left"/>
              <w:rPr>
                <w:rFonts w:hint="eastAsia" w:ascii="仿宋" w:hAnsi="仿宋" w:eastAsia="仿宋" w:cs="仿宋"/>
                <w:kern w:val="0"/>
                <w:sz w:val="24"/>
              </w:rPr>
            </w:pPr>
            <w:r>
              <w:rPr>
                <w:rFonts w:hint="eastAsia" w:ascii="仿宋" w:hAnsi="仿宋" w:eastAsia="仿宋" w:cs="仿宋"/>
                <w:kern w:val="0"/>
                <w:sz w:val="24"/>
              </w:rPr>
              <w:t>10．旧工业区综合整治类城市更新项目中，进行历史用地处置的用地上原有建筑面积参照本表“历史用地处置”类别的修正因子及备注6规定测算地价；新建建筑面积参照“国有已批用地改造为工业用地、物流仓储用地”类型的修正因子及备注6规定测算地价；在原有建筑上加建城市基础设施、公共服务设施及电梯、连廊、楼梯等辅助性公用设施的，不计收地价。</w:t>
            </w:r>
          </w:p>
          <w:p>
            <w:pPr>
              <w:spacing w:line="360" w:lineRule="exact"/>
              <w:jc w:val="left"/>
              <w:rPr>
                <w:rFonts w:hint="eastAsia" w:ascii="仿宋" w:hAnsi="仿宋" w:eastAsia="仿宋" w:cs="仿宋"/>
                <w:color w:val="C00000"/>
                <w:sz w:val="24"/>
                <w:highlight w:val="yellow"/>
                <w:u w:val="single"/>
              </w:rPr>
            </w:pPr>
            <w:r>
              <w:rPr>
                <w:rFonts w:hint="eastAsia" w:ascii="仿宋" w:hAnsi="仿宋" w:eastAsia="仿宋" w:cs="仿宋"/>
                <w:kern w:val="0"/>
                <w:sz w:val="24"/>
              </w:rPr>
              <w:t>11．土地整备留用土地指标与城市更新项目统筹处理的，留用土地中来源于合法用地的指标根据指标批复确定的用地来源按城市更新政策进行地价测算，留用土地中利益共享用地的地价按照城市更新历史用地处置部分的地价标准计收</w:t>
            </w:r>
            <w:r>
              <w:rPr>
                <w:rFonts w:hint="eastAsia" w:ascii="仿宋" w:hAnsi="仿宋" w:eastAsia="仿宋" w:cs="仿宋"/>
                <w:sz w:val="28"/>
                <w:szCs w:val="28"/>
              </w:rPr>
              <w:t>；</w:t>
            </w:r>
            <w:r>
              <w:rPr>
                <w:rFonts w:hint="eastAsia" w:ascii="仿宋" w:hAnsi="仿宋" w:eastAsia="仿宋" w:cs="仿宋"/>
                <w:color w:val="auto"/>
                <w:sz w:val="24"/>
                <w:u w:val="none"/>
              </w:rPr>
              <w:t>留用土地来源于权益容积的，地价按本表国有已批居住用地的地价标准计收。</w:t>
            </w:r>
          </w:p>
          <w:p>
            <w:pPr>
              <w:autoSpaceDE w:val="0"/>
              <w:autoSpaceDN w:val="0"/>
              <w:adjustRightInd w:val="0"/>
              <w:jc w:val="left"/>
              <w:rPr>
                <w:rFonts w:hint="eastAsia" w:ascii="仿宋" w:hAnsi="仿宋" w:eastAsia="仿宋" w:cs="仿宋"/>
                <w:color w:val="auto"/>
                <w:sz w:val="24"/>
                <w:u w:val="none"/>
              </w:rPr>
            </w:pPr>
            <w:r>
              <w:rPr>
                <w:rFonts w:hint="eastAsia" w:ascii="仿宋" w:hAnsi="仿宋" w:eastAsia="仿宋" w:cs="仿宋"/>
                <w:color w:val="auto"/>
                <w:sz w:val="24"/>
                <w:u w:val="none"/>
              </w:rPr>
              <w:t>12.商业文化设施适用附表1商业地价类型地价标准，根据《深圳市拆除重建类城市更新单元规划编制技术规定》商业文化设施产权归市场主体所有、限整体转让。</w:t>
            </w:r>
          </w:p>
          <w:p>
            <w:pPr>
              <w:spacing w:line="360" w:lineRule="exact"/>
              <w:jc w:val="left"/>
              <w:rPr>
                <w:rFonts w:hint="eastAsia" w:ascii="仿宋" w:hAnsi="仿宋" w:eastAsia="仿宋" w:cs="仿宋"/>
                <w:b/>
                <w:bCs/>
                <w:kern w:val="0"/>
                <w:sz w:val="24"/>
              </w:rPr>
            </w:pPr>
            <w:r>
              <w:rPr>
                <w:rFonts w:hint="eastAsia" w:ascii="仿宋" w:hAnsi="仿宋" w:eastAsia="仿宋" w:cs="仿宋"/>
                <w:b/>
                <w:bCs/>
                <w:kern w:val="0"/>
                <w:sz w:val="24"/>
              </w:rPr>
              <w:t>二、原旧城旧村改造项目</w:t>
            </w:r>
          </w:p>
          <w:p>
            <w:pPr>
              <w:spacing w:line="360" w:lineRule="exact"/>
              <w:rPr>
                <w:rFonts w:hint="eastAsia" w:ascii="仿宋" w:hAnsi="仿宋" w:eastAsia="仿宋" w:cs="仿宋"/>
                <w:kern w:val="0"/>
                <w:sz w:val="24"/>
              </w:rPr>
            </w:pPr>
            <w:r>
              <w:rPr>
                <w:rFonts w:hint="eastAsia" w:ascii="仿宋" w:hAnsi="仿宋" w:eastAsia="仿宋" w:cs="仿宋"/>
                <w:kern w:val="0"/>
                <w:sz w:val="24"/>
              </w:rPr>
              <w:t>13．原市政府划定的旧城旧村改造项目用地，按照本办法第八条公式测算地价，其中项目修正系数取值如下：安置已取得房地产证的建筑面积参照“国有已批居住、商业服务业用地改造为居住、商业服务业用地”类型的修正因子确定；安置未取得房地产证的建筑面积参照“历史用地处置”类别的修正因子确定，其余建筑面积为1。旧城旧村改造项目用地的地价缴纳方式参照城市更新项目执行。</w:t>
            </w:r>
          </w:p>
          <w:p>
            <w:pPr>
              <w:spacing w:line="360" w:lineRule="exact"/>
              <w:rPr>
                <w:rFonts w:hint="eastAsia" w:ascii="仿宋" w:hAnsi="仿宋" w:eastAsia="仿宋" w:cs="仿宋"/>
                <w:color w:val="auto"/>
                <w:kern w:val="0"/>
                <w:sz w:val="24"/>
                <w:u w:val="none"/>
              </w:rPr>
            </w:pPr>
            <w:r>
              <w:rPr>
                <w:rFonts w:hint="eastAsia" w:ascii="仿宋" w:hAnsi="仿宋" w:eastAsia="仿宋" w:cs="仿宋"/>
                <w:b/>
                <w:bCs/>
                <w:color w:val="auto"/>
                <w:kern w:val="0"/>
                <w:sz w:val="24"/>
                <w:u w:val="none"/>
              </w:rPr>
              <w:t>三、列入原棚户区改造计划项目</w:t>
            </w:r>
          </w:p>
          <w:p>
            <w:pPr>
              <w:spacing w:line="360" w:lineRule="exact"/>
              <w:rPr>
                <w:rFonts w:hint="eastAsia" w:ascii="仿宋" w:hAnsi="仿宋" w:eastAsia="仿宋" w:cs="仿宋"/>
                <w:color w:val="C00000"/>
                <w:kern w:val="0"/>
                <w:sz w:val="24"/>
                <w:u w:val="single"/>
              </w:rPr>
            </w:pPr>
            <w:r>
              <w:rPr>
                <w:rFonts w:hint="eastAsia" w:ascii="仿宋" w:hAnsi="仿宋" w:eastAsia="仿宋" w:cs="仿宋"/>
                <w:color w:val="auto"/>
                <w:kern w:val="0"/>
                <w:sz w:val="24"/>
                <w:u w:val="none"/>
              </w:rPr>
              <w:t>14</w:t>
            </w:r>
            <w:r>
              <w:rPr>
                <w:rFonts w:hint="eastAsia" w:ascii="仿宋" w:hAnsi="仿宋" w:eastAsia="仿宋" w:cs="仿宋"/>
                <w:kern w:val="0"/>
                <w:sz w:val="24"/>
              </w:rPr>
              <w:t>．</w:t>
            </w:r>
            <w:r>
              <w:rPr>
                <w:rFonts w:hint="eastAsia" w:ascii="仿宋" w:hAnsi="仿宋" w:eastAsia="仿宋" w:cs="仿宋"/>
                <w:color w:val="auto"/>
                <w:kern w:val="0"/>
                <w:sz w:val="24"/>
                <w:u w:val="none"/>
              </w:rPr>
              <w:t>棚户区改造项目修正系数按本表测算次序6中“国有已批居住、商业服务业用地改造为居住、商业服务业用地”项目修正系数执行。</w:t>
            </w:r>
          </w:p>
        </w:tc>
      </w:tr>
    </w:tbl>
    <w:p>
      <w:pPr>
        <w:spacing w:line="560" w:lineRule="exact"/>
        <w:ind w:firstLine="560" w:firstLineChars="200"/>
        <w:rPr>
          <w:rFonts w:hint="eastAsia" w:ascii="仿宋" w:hAnsi="仿宋" w:eastAsia="仿宋" w:cs="仿宋"/>
          <w:color w:val="C00000"/>
          <w:sz w:val="28"/>
          <w:szCs w:val="28"/>
          <w:highlight w:val="cya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amp;quot">
    <w:altName w:val="华文仿宋"/>
    <w:panose1 w:val="00000000000000000000"/>
    <w:charset w:val="00"/>
    <w:family w:val="roman"/>
    <w:pitch w:val="default"/>
    <w:sig w:usb0="00000000" w:usb1="00000000" w:usb2="00000000" w:usb3="00000000" w:csb0="00040001"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Liberation Serif">
    <w:panose1 w:val="02020603050405020304"/>
    <w:charset w:val="00"/>
    <w:family w:val="auto"/>
    <w:pitch w:val="default"/>
    <w:sig w:usb0="A00002AF" w:usb1="500078FB" w:usb2="00000000" w:usb3="00000000" w:csb0="6000009F" w:csb1="DFD70000"/>
  </w:font>
  <w:font w:name="MathJax_Vector">
    <w:panose1 w:val="02000603000000000000"/>
    <w:charset w:val="00"/>
    <w:family w:val="auto"/>
    <w:pitch w:val="default"/>
    <w:sig w:usb0="00000001" w:usb1="00000020" w:usb2="00000000" w:usb3="00000000" w:csb0="00000001" w:csb1="0000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6"/>
          <w:jc w:val="center"/>
          <w:rPr>
            <w:rFonts w:hint="eastAsia"/>
          </w:rPr>
        </w:pPr>
        <w:r>
          <w:fldChar w:fldCharType="begin"/>
        </w:r>
        <w:r>
          <w:instrText xml:space="preserve">PAGE   \* MERGEFORMAT</w:instrText>
        </w:r>
        <w:r>
          <w:fldChar w:fldCharType="separate"/>
        </w:r>
        <w:r>
          <w:rPr>
            <w:lang w:val="zh-CN"/>
          </w:rPr>
          <w:t>1</w:t>
        </w:r>
        <w:r>
          <w:fldChar w:fldCharType="end"/>
        </w:r>
      </w:p>
    </w:sdtContent>
  </w:sdt>
  <w:p>
    <w:pPr>
      <w:pStyle w:val="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B07389"/>
    <w:multiLevelType w:val="singleLevel"/>
    <w:tmpl w:val="A2B0738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08"/>
    <w:rsid w:val="00000D84"/>
    <w:rsid w:val="00004B49"/>
    <w:rsid w:val="00004DE4"/>
    <w:rsid w:val="00005A6F"/>
    <w:rsid w:val="0000798A"/>
    <w:rsid w:val="000113F7"/>
    <w:rsid w:val="00023EE5"/>
    <w:rsid w:val="00030A39"/>
    <w:rsid w:val="000334D3"/>
    <w:rsid w:val="0003537D"/>
    <w:rsid w:val="00041E94"/>
    <w:rsid w:val="0004259C"/>
    <w:rsid w:val="00042E75"/>
    <w:rsid w:val="0004441A"/>
    <w:rsid w:val="000458D3"/>
    <w:rsid w:val="00051457"/>
    <w:rsid w:val="00053D25"/>
    <w:rsid w:val="000552C9"/>
    <w:rsid w:val="000645C7"/>
    <w:rsid w:val="00070BA7"/>
    <w:rsid w:val="00070D9C"/>
    <w:rsid w:val="00087623"/>
    <w:rsid w:val="00092622"/>
    <w:rsid w:val="00096072"/>
    <w:rsid w:val="000A1FE4"/>
    <w:rsid w:val="000A7410"/>
    <w:rsid w:val="000B0CFC"/>
    <w:rsid w:val="000B255D"/>
    <w:rsid w:val="000C03E0"/>
    <w:rsid w:val="000C4F30"/>
    <w:rsid w:val="000C6A89"/>
    <w:rsid w:val="000C6E6A"/>
    <w:rsid w:val="000D0A9D"/>
    <w:rsid w:val="000D2F62"/>
    <w:rsid w:val="000D705A"/>
    <w:rsid w:val="000E0ACF"/>
    <w:rsid w:val="000E7165"/>
    <w:rsid w:val="000E7518"/>
    <w:rsid w:val="000E77B8"/>
    <w:rsid w:val="000F7E7F"/>
    <w:rsid w:val="00102942"/>
    <w:rsid w:val="001066B4"/>
    <w:rsid w:val="00107F35"/>
    <w:rsid w:val="001115A3"/>
    <w:rsid w:val="00112A7F"/>
    <w:rsid w:val="00113BD9"/>
    <w:rsid w:val="00123B68"/>
    <w:rsid w:val="00124FA8"/>
    <w:rsid w:val="001303FC"/>
    <w:rsid w:val="00130DF6"/>
    <w:rsid w:val="00134E53"/>
    <w:rsid w:val="0014306A"/>
    <w:rsid w:val="00144805"/>
    <w:rsid w:val="001472EC"/>
    <w:rsid w:val="001635FC"/>
    <w:rsid w:val="00164C68"/>
    <w:rsid w:val="001714E0"/>
    <w:rsid w:val="00173395"/>
    <w:rsid w:val="00174FE7"/>
    <w:rsid w:val="00177BFF"/>
    <w:rsid w:val="00181E85"/>
    <w:rsid w:val="001942A6"/>
    <w:rsid w:val="001A5950"/>
    <w:rsid w:val="001B01B2"/>
    <w:rsid w:val="001B78C9"/>
    <w:rsid w:val="001C13F7"/>
    <w:rsid w:val="001D014C"/>
    <w:rsid w:val="001D085B"/>
    <w:rsid w:val="001D2CA3"/>
    <w:rsid w:val="001D3677"/>
    <w:rsid w:val="001E05C9"/>
    <w:rsid w:val="001E08A3"/>
    <w:rsid w:val="001E2228"/>
    <w:rsid w:val="001E40FF"/>
    <w:rsid w:val="001E59B9"/>
    <w:rsid w:val="001E5A6B"/>
    <w:rsid w:val="001F0573"/>
    <w:rsid w:val="001F3EE7"/>
    <w:rsid w:val="001F7DBA"/>
    <w:rsid w:val="00203BDF"/>
    <w:rsid w:val="0020533E"/>
    <w:rsid w:val="00213C22"/>
    <w:rsid w:val="00214222"/>
    <w:rsid w:val="00215716"/>
    <w:rsid w:val="00217188"/>
    <w:rsid w:val="00220B23"/>
    <w:rsid w:val="002242D6"/>
    <w:rsid w:val="00224847"/>
    <w:rsid w:val="00224EFA"/>
    <w:rsid w:val="00226DF6"/>
    <w:rsid w:val="0023047C"/>
    <w:rsid w:val="0023255E"/>
    <w:rsid w:val="00242A62"/>
    <w:rsid w:val="002444E1"/>
    <w:rsid w:val="00246E29"/>
    <w:rsid w:val="00253429"/>
    <w:rsid w:val="002544DA"/>
    <w:rsid w:val="0025478C"/>
    <w:rsid w:val="002702CA"/>
    <w:rsid w:val="00272F7B"/>
    <w:rsid w:val="00275A01"/>
    <w:rsid w:val="002870B5"/>
    <w:rsid w:val="0029033C"/>
    <w:rsid w:val="00291AD4"/>
    <w:rsid w:val="00293740"/>
    <w:rsid w:val="002B0DDB"/>
    <w:rsid w:val="002B311D"/>
    <w:rsid w:val="002B532D"/>
    <w:rsid w:val="002C388C"/>
    <w:rsid w:val="002C4456"/>
    <w:rsid w:val="002D3561"/>
    <w:rsid w:val="002D59EE"/>
    <w:rsid w:val="002D770B"/>
    <w:rsid w:val="002D7EE9"/>
    <w:rsid w:val="002D7F30"/>
    <w:rsid w:val="002E0A5C"/>
    <w:rsid w:val="002E15D2"/>
    <w:rsid w:val="002E268F"/>
    <w:rsid w:val="002E404B"/>
    <w:rsid w:val="002F154A"/>
    <w:rsid w:val="002F3D66"/>
    <w:rsid w:val="002F4626"/>
    <w:rsid w:val="002F7FE0"/>
    <w:rsid w:val="003047ED"/>
    <w:rsid w:val="00310C62"/>
    <w:rsid w:val="00312E8C"/>
    <w:rsid w:val="003272B4"/>
    <w:rsid w:val="00331554"/>
    <w:rsid w:val="00340E2A"/>
    <w:rsid w:val="0034136E"/>
    <w:rsid w:val="00343205"/>
    <w:rsid w:val="00343F93"/>
    <w:rsid w:val="00345590"/>
    <w:rsid w:val="003465EC"/>
    <w:rsid w:val="003514C2"/>
    <w:rsid w:val="00352801"/>
    <w:rsid w:val="00353DE3"/>
    <w:rsid w:val="00354431"/>
    <w:rsid w:val="0035700A"/>
    <w:rsid w:val="00360D5F"/>
    <w:rsid w:val="00370800"/>
    <w:rsid w:val="00370CE8"/>
    <w:rsid w:val="00373326"/>
    <w:rsid w:val="00375E9F"/>
    <w:rsid w:val="00380647"/>
    <w:rsid w:val="00392837"/>
    <w:rsid w:val="0039534A"/>
    <w:rsid w:val="00396F8D"/>
    <w:rsid w:val="0039751C"/>
    <w:rsid w:val="00397E0F"/>
    <w:rsid w:val="003A0B45"/>
    <w:rsid w:val="003A3365"/>
    <w:rsid w:val="003A4078"/>
    <w:rsid w:val="003A5409"/>
    <w:rsid w:val="003A5B8E"/>
    <w:rsid w:val="003A7222"/>
    <w:rsid w:val="003B0035"/>
    <w:rsid w:val="003B17A2"/>
    <w:rsid w:val="003B340B"/>
    <w:rsid w:val="003B6C13"/>
    <w:rsid w:val="003C022A"/>
    <w:rsid w:val="003C0ED7"/>
    <w:rsid w:val="003C1523"/>
    <w:rsid w:val="003C1980"/>
    <w:rsid w:val="003C7A02"/>
    <w:rsid w:val="003D3CDC"/>
    <w:rsid w:val="003D3D90"/>
    <w:rsid w:val="003E0FDE"/>
    <w:rsid w:val="003E2A48"/>
    <w:rsid w:val="003E4FC7"/>
    <w:rsid w:val="003E559B"/>
    <w:rsid w:val="003F7202"/>
    <w:rsid w:val="003F7772"/>
    <w:rsid w:val="00400590"/>
    <w:rsid w:val="00404C40"/>
    <w:rsid w:val="00405636"/>
    <w:rsid w:val="004066AB"/>
    <w:rsid w:val="00406F56"/>
    <w:rsid w:val="00407F06"/>
    <w:rsid w:val="004145A7"/>
    <w:rsid w:val="00420A67"/>
    <w:rsid w:val="00420A7D"/>
    <w:rsid w:val="00420FFB"/>
    <w:rsid w:val="00421F02"/>
    <w:rsid w:val="00422A34"/>
    <w:rsid w:val="0042300A"/>
    <w:rsid w:val="004245FD"/>
    <w:rsid w:val="00424E70"/>
    <w:rsid w:val="00430FBB"/>
    <w:rsid w:val="00431E57"/>
    <w:rsid w:val="004343B6"/>
    <w:rsid w:val="0044276E"/>
    <w:rsid w:val="00444552"/>
    <w:rsid w:val="00452E37"/>
    <w:rsid w:val="004531A2"/>
    <w:rsid w:val="00462CAD"/>
    <w:rsid w:val="00463251"/>
    <w:rsid w:val="0046648B"/>
    <w:rsid w:val="00470BAE"/>
    <w:rsid w:val="004722E1"/>
    <w:rsid w:val="00474042"/>
    <w:rsid w:val="00475679"/>
    <w:rsid w:val="00475AAD"/>
    <w:rsid w:val="00476008"/>
    <w:rsid w:val="004807CB"/>
    <w:rsid w:val="004861A5"/>
    <w:rsid w:val="004901BF"/>
    <w:rsid w:val="00497338"/>
    <w:rsid w:val="004A3292"/>
    <w:rsid w:val="004A54FA"/>
    <w:rsid w:val="004A6198"/>
    <w:rsid w:val="004B1015"/>
    <w:rsid w:val="004B427E"/>
    <w:rsid w:val="004C1552"/>
    <w:rsid w:val="004C1DC0"/>
    <w:rsid w:val="004C3947"/>
    <w:rsid w:val="004D087C"/>
    <w:rsid w:val="004D1AC0"/>
    <w:rsid w:val="004D29A0"/>
    <w:rsid w:val="004E1CE8"/>
    <w:rsid w:val="004E2F5D"/>
    <w:rsid w:val="004E3F9F"/>
    <w:rsid w:val="004F005E"/>
    <w:rsid w:val="004F3AF8"/>
    <w:rsid w:val="004F76CB"/>
    <w:rsid w:val="004F7BC6"/>
    <w:rsid w:val="00500253"/>
    <w:rsid w:val="00500B6D"/>
    <w:rsid w:val="00502F17"/>
    <w:rsid w:val="0051205A"/>
    <w:rsid w:val="0051495C"/>
    <w:rsid w:val="005149AD"/>
    <w:rsid w:val="00514E3B"/>
    <w:rsid w:val="00517AE0"/>
    <w:rsid w:val="00522A53"/>
    <w:rsid w:val="00533E3F"/>
    <w:rsid w:val="0053463E"/>
    <w:rsid w:val="00540A42"/>
    <w:rsid w:val="00546D7F"/>
    <w:rsid w:val="00546FDD"/>
    <w:rsid w:val="00547D12"/>
    <w:rsid w:val="0055032B"/>
    <w:rsid w:val="00550726"/>
    <w:rsid w:val="00561B5B"/>
    <w:rsid w:val="00567764"/>
    <w:rsid w:val="0057039B"/>
    <w:rsid w:val="0057120C"/>
    <w:rsid w:val="00573BC6"/>
    <w:rsid w:val="005741DA"/>
    <w:rsid w:val="00575327"/>
    <w:rsid w:val="00577629"/>
    <w:rsid w:val="00581C15"/>
    <w:rsid w:val="00583A15"/>
    <w:rsid w:val="00586434"/>
    <w:rsid w:val="00586D08"/>
    <w:rsid w:val="00597877"/>
    <w:rsid w:val="005A5EED"/>
    <w:rsid w:val="005B0CD9"/>
    <w:rsid w:val="005B233D"/>
    <w:rsid w:val="005B2A8D"/>
    <w:rsid w:val="005B431F"/>
    <w:rsid w:val="005B5037"/>
    <w:rsid w:val="005C2C10"/>
    <w:rsid w:val="005C3CC3"/>
    <w:rsid w:val="005C3F00"/>
    <w:rsid w:val="005C447B"/>
    <w:rsid w:val="005D078E"/>
    <w:rsid w:val="005E394F"/>
    <w:rsid w:val="005E52E2"/>
    <w:rsid w:val="005F1569"/>
    <w:rsid w:val="005F32AB"/>
    <w:rsid w:val="00614C5C"/>
    <w:rsid w:val="006154DB"/>
    <w:rsid w:val="00626936"/>
    <w:rsid w:val="00627DCF"/>
    <w:rsid w:val="006306E7"/>
    <w:rsid w:val="006329F1"/>
    <w:rsid w:val="00642A3F"/>
    <w:rsid w:val="00643B0A"/>
    <w:rsid w:val="00645BA3"/>
    <w:rsid w:val="006472DA"/>
    <w:rsid w:val="00650635"/>
    <w:rsid w:val="00650870"/>
    <w:rsid w:val="00650B10"/>
    <w:rsid w:val="00657D44"/>
    <w:rsid w:val="00675FE7"/>
    <w:rsid w:val="006861B4"/>
    <w:rsid w:val="00686EA1"/>
    <w:rsid w:val="006920D1"/>
    <w:rsid w:val="006A50F8"/>
    <w:rsid w:val="006B0415"/>
    <w:rsid w:val="006B046C"/>
    <w:rsid w:val="006B48F2"/>
    <w:rsid w:val="006C20E2"/>
    <w:rsid w:val="006D3A87"/>
    <w:rsid w:val="006F023D"/>
    <w:rsid w:val="006F1640"/>
    <w:rsid w:val="006F1D4C"/>
    <w:rsid w:val="00703C2B"/>
    <w:rsid w:val="007053F7"/>
    <w:rsid w:val="00712095"/>
    <w:rsid w:val="00713F7B"/>
    <w:rsid w:val="00724566"/>
    <w:rsid w:val="007257B4"/>
    <w:rsid w:val="00730EEB"/>
    <w:rsid w:val="00736346"/>
    <w:rsid w:val="00740295"/>
    <w:rsid w:val="007416EF"/>
    <w:rsid w:val="00747788"/>
    <w:rsid w:val="00761245"/>
    <w:rsid w:val="007612C9"/>
    <w:rsid w:val="00761787"/>
    <w:rsid w:val="0077299F"/>
    <w:rsid w:val="007752F9"/>
    <w:rsid w:val="0078092E"/>
    <w:rsid w:val="007852A7"/>
    <w:rsid w:val="0078649A"/>
    <w:rsid w:val="00790313"/>
    <w:rsid w:val="00791408"/>
    <w:rsid w:val="0079451A"/>
    <w:rsid w:val="0079603E"/>
    <w:rsid w:val="007A1516"/>
    <w:rsid w:val="007A3113"/>
    <w:rsid w:val="007A40BA"/>
    <w:rsid w:val="007A688A"/>
    <w:rsid w:val="007B27CE"/>
    <w:rsid w:val="007C1ABE"/>
    <w:rsid w:val="007C1BB9"/>
    <w:rsid w:val="007C20AE"/>
    <w:rsid w:val="007C38BC"/>
    <w:rsid w:val="007C4590"/>
    <w:rsid w:val="007C6132"/>
    <w:rsid w:val="007C7BDE"/>
    <w:rsid w:val="007D3AF3"/>
    <w:rsid w:val="007D696B"/>
    <w:rsid w:val="007D781F"/>
    <w:rsid w:val="007D78F1"/>
    <w:rsid w:val="007D7DC9"/>
    <w:rsid w:val="007F5A53"/>
    <w:rsid w:val="007F61E3"/>
    <w:rsid w:val="007F75E5"/>
    <w:rsid w:val="0080046E"/>
    <w:rsid w:val="008104E2"/>
    <w:rsid w:val="00812D69"/>
    <w:rsid w:val="008133E9"/>
    <w:rsid w:val="00814FD2"/>
    <w:rsid w:val="0082271E"/>
    <w:rsid w:val="008234C4"/>
    <w:rsid w:val="00824D9F"/>
    <w:rsid w:val="0082605E"/>
    <w:rsid w:val="00833B63"/>
    <w:rsid w:val="008349CD"/>
    <w:rsid w:val="00843BFF"/>
    <w:rsid w:val="00850371"/>
    <w:rsid w:val="008508B7"/>
    <w:rsid w:val="008516B8"/>
    <w:rsid w:val="008558C6"/>
    <w:rsid w:val="00855F14"/>
    <w:rsid w:val="00865397"/>
    <w:rsid w:val="00870C9D"/>
    <w:rsid w:val="00880F49"/>
    <w:rsid w:val="00882D43"/>
    <w:rsid w:val="008906EA"/>
    <w:rsid w:val="008917FE"/>
    <w:rsid w:val="00893D3F"/>
    <w:rsid w:val="008958D1"/>
    <w:rsid w:val="008A6472"/>
    <w:rsid w:val="008B1CFF"/>
    <w:rsid w:val="008B216A"/>
    <w:rsid w:val="008C2034"/>
    <w:rsid w:val="008C22D7"/>
    <w:rsid w:val="008D1D64"/>
    <w:rsid w:val="008D3C0F"/>
    <w:rsid w:val="008D54EF"/>
    <w:rsid w:val="008E3CC7"/>
    <w:rsid w:val="008E3E5C"/>
    <w:rsid w:val="008E53B7"/>
    <w:rsid w:val="008F24AF"/>
    <w:rsid w:val="008F3365"/>
    <w:rsid w:val="008F559F"/>
    <w:rsid w:val="008F59ED"/>
    <w:rsid w:val="0090635B"/>
    <w:rsid w:val="0090746F"/>
    <w:rsid w:val="009176F4"/>
    <w:rsid w:val="00923261"/>
    <w:rsid w:val="00926899"/>
    <w:rsid w:val="00932F56"/>
    <w:rsid w:val="009351A4"/>
    <w:rsid w:val="009403D6"/>
    <w:rsid w:val="00940C6C"/>
    <w:rsid w:val="00940F56"/>
    <w:rsid w:val="009431A2"/>
    <w:rsid w:val="00947CCC"/>
    <w:rsid w:val="00954DDA"/>
    <w:rsid w:val="0095798D"/>
    <w:rsid w:val="00962BED"/>
    <w:rsid w:val="009670B3"/>
    <w:rsid w:val="00981075"/>
    <w:rsid w:val="00991728"/>
    <w:rsid w:val="009A0F09"/>
    <w:rsid w:val="009A1C26"/>
    <w:rsid w:val="009A2AB7"/>
    <w:rsid w:val="009A483E"/>
    <w:rsid w:val="009A4BD0"/>
    <w:rsid w:val="009A507D"/>
    <w:rsid w:val="009A6910"/>
    <w:rsid w:val="009A6E06"/>
    <w:rsid w:val="009B500B"/>
    <w:rsid w:val="009B5652"/>
    <w:rsid w:val="009B593E"/>
    <w:rsid w:val="009B59E2"/>
    <w:rsid w:val="009B77F6"/>
    <w:rsid w:val="009B7C59"/>
    <w:rsid w:val="009C08D8"/>
    <w:rsid w:val="009C2D79"/>
    <w:rsid w:val="009C57A8"/>
    <w:rsid w:val="009C5D20"/>
    <w:rsid w:val="009C70D5"/>
    <w:rsid w:val="009D2F5A"/>
    <w:rsid w:val="009E46E6"/>
    <w:rsid w:val="009E7AE2"/>
    <w:rsid w:val="009E7CA8"/>
    <w:rsid w:val="009F6031"/>
    <w:rsid w:val="009F7C69"/>
    <w:rsid w:val="00A0291E"/>
    <w:rsid w:val="00A1510B"/>
    <w:rsid w:val="00A20DB7"/>
    <w:rsid w:val="00A26493"/>
    <w:rsid w:val="00A26C85"/>
    <w:rsid w:val="00A279EE"/>
    <w:rsid w:val="00A31D67"/>
    <w:rsid w:val="00A33029"/>
    <w:rsid w:val="00A35941"/>
    <w:rsid w:val="00A37CA8"/>
    <w:rsid w:val="00A41F89"/>
    <w:rsid w:val="00A4228A"/>
    <w:rsid w:val="00A5168E"/>
    <w:rsid w:val="00A564C6"/>
    <w:rsid w:val="00A57764"/>
    <w:rsid w:val="00A642AD"/>
    <w:rsid w:val="00A64B39"/>
    <w:rsid w:val="00A71B0E"/>
    <w:rsid w:val="00A73B4F"/>
    <w:rsid w:val="00A73D9E"/>
    <w:rsid w:val="00A80C51"/>
    <w:rsid w:val="00A87DD0"/>
    <w:rsid w:val="00A926D4"/>
    <w:rsid w:val="00A95A9A"/>
    <w:rsid w:val="00AA0785"/>
    <w:rsid w:val="00AA0A87"/>
    <w:rsid w:val="00AA3DFC"/>
    <w:rsid w:val="00AA60A9"/>
    <w:rsid w:val="00AB75A7"/>
    <w:rsid w:val="00AC074E"/>
    <w:rsid w:val="00AC2520"/>
    <w:rsid w:val="00AD14AB"/>
    <w:rsid w:val="00AD1594"/>
    <w:rsid w:val="00AD1BC6"/>
    <w:rsid w:val="00AD2CD9"/>
    <w:rsid w:val="00AD3A3E"/>
    <w:rsid w:val="00AD6071"/>
    <w:rsid w:val="00AD6354"/>
    <w:rsid w:val="00AD7E44"/>
    <w:rsid w:val="00AE3417"/>
    <w:rsid w:val="00AE6151"/>
    <w:rsid w:val="00AE68EB"/>
    <w:rsid w:val="00AF40AD"/>
    <w:rsid w:val="00AF4A2A"/>
    <w:rsid w:val="00AF7713"/>
    <w:rsid w:val="00B02830"/>
    <w:rsid w:val="00B070CD"/>
    <w:rsid w:val="00B07A9C"/>
    <w:rsid w:val="00B148D5"/>
    <w:rsid w:val="00B170E5"/>
    <w:rsid w:val="00B170FB"/>
    <w:rsid w:val="00B17CCA"/>
    <w:rsid w:val="00B20A4D"/>
    <w:rsid w:val="00B20B1B"/>
    <w:rsid w:val="00B20C22"/>
    <w:rsid w:val="00B24D07"/>
    <w:rsid w:val="00B278D0"/>
    <w:rsid w:val="00B33ACD"/>
    <w:rsid w:val="00B340E0"/>
    <w:rsid w:val="00B34B31"/>
    <w:rsid w:val="00B362C9"/>
    <w:rsid w:val="00B435B5"/>
    <w:rsid w:val="00B45A02"/>
    <w:rsid w:val="00B46D21"/>
    <w:rsid w:val="00B52F9A"/>
    <w:rsid w:val="00B53361"/>
    <w:rsid w:val="00B53A73"/>
    <w:rsid w:val="00B53F02"/>
    <w:rsid w:val="00B5736F"/>
    <w:rsid w:val="00B6630D"/>
    <w:rsid w:val="00B70CC3"/>
    <w:rsid w:val="00B75F66"/>
    <w:rsid w:val="00B824CD"/>
    <w:rsid w:val="00B8341A"/>
    <w:rsid w:val="00B83A90"/>
    <w:rsid w:val="00B85030"/>
    <w:rsid w:val="00B940EE"/>
    <w:rsid w:val="00BA0640"/>
    <w:rsid w:val="00BA51BA"/>
    <w:rsid w:val="00BA7475"/>
    <w:rsid w:val="00BB2014"/>
    <w:rsid w:val="00BB3CC3"/>
    <w:rsid w:val="00BB3F9B"/>
    <w:rsid w:val="00BB461E"/>
    <w:rsid w:val="00BB6364"/>
    <w:rsid w:val="00BC3EE7"/>
    <w:rsid w:val="00BC4ADA"/>
    <w:rsid w:val="00BC4DF3"/>
    <w:rsid w:val="00BD0659"/>
    <w:rsid w:val="00BD41E5"/>
    <w:rsid w:val="00BD650D"/>
    <w:rsid w:val="00BE10A1"/>
    <w:rsid w:val="00BE3533"/>
    <w:rsid w:val="00BE5FEC"/>
    <w:rsid w:val="00BE7FC9"/>
    <w:rsid w:val="00BF0553"/>
    <w:rsid w:val="00BF0E88"/>
    <w:rsid w:val="00BF27D9"/>
    <w:rsid w:val="00BF3689"/>
    <w:rsid w:val="00BF39C1"/>
    <w:rsid w:val="00C00CCF"/>
    <w:rsid w:val="00C12B7D"/>
    <w:rsid w:val="00C139AC"/>
    <w:rsid w:val="00C1625B"/>
    <w:rsid w:val="00C16360"/>
    <w:rsid w:val="00C16D92"/>
    <w:rsid w:val="00C20CFB"/>
    <w:rsid w:val="00C217FB"/>
    <w:rsid w:val="00C2532F"/>
    <w:rsid w:val="00C264BA"/>
    <w:rsid w:val="00C27773"/>
    <w:rsid w:val="00C27F20"/>
    <w:rsid w:val="00C30461"/>
    <w:rsid w:val="00C4047A"/>
    <w:rsid w:val="00C421D2"/>
    <w:rsid w:val="00C44C0F"/>
    <w:rsid w:val="00C45C24"/>
    <w:rsid w:val="00C62731"/>
    <w:rsid w:val="00C63152"/>
    <w:rsid w:val="00C74751"/>
    <w:rsid w:val="00C74B5B"/>
    <w:rsid w:val="00C77264"/>
    <w:rsid w:val="00C87A7B"/>
    <w:rsid w:val="00C917D6"/>
    <w:rsid w:val="00CA2262"/>
    <w:rsid w:val="00CA2A27"/>
    <w:rsid w:val="00CB4E62"/>
    <w:rsid w:val="00CC0219"/>
    <w:rsid w:val="00CC3FCB"/>
    <w:rsid w:val="00CC49D4"/>
    <w:rsid w:val="00CD53A3"/>
    <w:rsid w:val="00CE0C51"/>
    <w:rsid w:val="00CE0CF8"/>
    <w:rsid w:val="00CE0D2D"/>
    <w:rsid w:val="00CE1D6E"/>
    <w:rsid w:val="00CE5FE6"/>
    <w:rsid w:val="00CE6EBD"/>
    <w:rsid w:val="00CF31A4"/>
    <w:rsid w:val="00CF52DC"/>
    <w:rsid w:val="00D069BF"/>
    <w:rsid w:val="00D06AF6"/>
    <w:rsid w:val="00D0713D"/>
    <w:rsid w:val="00D077BF"/>
    <w:rsid w:val="00D12B1E"/>
    <w:rsid w:val="00D13028"/>
    <w:rsid w:val="00D1755D"/>
    <w:rsid w:val="00D374EA"/>
    <w:rsid w:val="00D43CE9"/>
    <w:rsid w:val="00D4796F"/>
    <w:rsid w:val="00D5215C"/>
    <w:rsid w:val="00D53DD5"/>
    <w:rsid w:val="00D57816"/>
    <w:rsid w:val="00D726EF"/>
    <w:rsid w:val="00D73ECE"/>
    <w:rsid w:val="00D76EE2"/>
    <w:rsid w:val="00D943A1"/>
    <w:rsid w:val="00D95E44"/>
    <w:rsid w:val="00DA04EC"/>
    <w:rsid w:val="00DA0C73"/>
    <w:rsid w:val="00DA2F8B"/>
    <w:rsid w:val="00DB2E27"/>
    <w:rsid w:val="00DB53D3"/>
    <w:rsid w:val="00DC22F7"/>
    <w:rsid w:val="00DC2777"/>
    <w:rsid w:val="00DC3D5D"/>
    <w:rsid w:val="00DC4B11"/>
    <w:rsid w:val="00DD3C33"/>
    <w:rsid w:val="00DF2CB3"/>
    <w:rsid w:val="00DF36E8"/>
    <w:rsid w:val="00E030F5"/>
    <w:rsid w:val="00E031A2"/>
    <w:rsid w:val="00E26328"/>
    <w:rsid w:val="00E27169"/>
    <w:rsid w:val="00E3506F"/>
    <w:rsid w:val="00E416D8"/>
    <w:rsid w:val="00E440C3"/>
    <w:rsid w:val="00E47E62"/>
    <w:rsid w:val="00E51E39"/>
    <w:rsid w:val="00E638FD"/>
    <w:rsid w:val="00E63F5E"/>
    <w:rsid w:val="00E71801"/>
    <w:rsid w:val="00E71C42"/>
    <w:rsid w:val="00E761AD"/>
    <w:rsid w:val="00E87247"/>
    <w:rsid w:val="00E90D18"/>
    <w:rsid w:val="00E91A8E"/>
    <w:rsid w:val="00E9221D"/>
    <w:rsid w:val="00E961DF"/>
    <w:rsid w:val="00E96BBF"/>
    <w:rsid w:val="00E96E5C"/>
    <w:rsid w:val="00EA502C"/>
    <w:rsid w:val="00EA70F7"/>
    <w:rsid w:val="00EC781B"/>
    <w:rsid w:val="00ED28E9"/>
    <w:rsid w:val="00ED3F6C"/>
    <w:rsid w:val="00EE070B"/>
    <w:rsid w:val="00EE160A"/>
    <w:rsid w:val="00EE22B6"/>
    <w:rsid w:val="00EE4800"/>
    <w:rsid w:val="00EE640D"/>
    <w:rsid w:val="00EF10C3"/>
    <w:rsid w:val="00EF1872"/>
    <w:rsid w:val="00EF53D3"/>
    <w:rsid w:val="00EF589F"/>
    <w:rsid w:val="00EF6908"/>
    <w:rsid w:val="00F02176"/>
    <w:rsid w:val="00F04094"/>
    <w:rsid w:val="00F053C0"/>
    <w:rsid w:val="00F067B6"/>
    <w:rsid w:val="00F15056"/>
    <w:rsid w:val="00F160F0"/>
    <w:rsid w:val="00F162CC"/>
    <w:rsid w:val="00F20B56"/>
    <w:rsid w:val="00F24728"/>
    <w:rsid w:val="00F3574A"/>
    <w:rsid w:val="00F405C9"/>
    <w:rsid w:val="00F4495B"/>
    <w:rsid w:val="00F44A74"/>
    <w:rsid w:val="00F644D1"/>
    <w:rsid w:val="00F673EC"/>
    <w:rsid w:val="00F75926"/>
    <w:rsid w:val="00F815BF"/>
    <w:rsid w:val="00F818F0"/>
    <w:rsid w:val="00F81981"/>
    <w:rsid w:val="00F82198"/>
    <w:rsid w:val="00F850E4"/>
    <w:rsid w:val="00F93A25"/>
    <w:rsid w:val="00F9779F"/>
    <w:rsid w:val="00FA2473"/>
    <w:rsid w:val="00FA36F1"/>
    <w:rsid w:val="00FA4927"/>
    <w:rsid w:val="00FA510D"/>
    <w:rsid w:val="00FB4516"/>
    <w:rsid w:val="00FB6237"/>
    <w:rsid w:val="00FB674B"/>
    <w:rsid w:val="00FB784A"/>
    <w:rsid w:val="00FC0379"/>
    <w:rsid w:val="00FC2FE2"/>
    <w:rsid w:val="00FC77D0"/>
    <w:rsid w:val="00FD2307"/>
    <w:rsid w:val="00FE1D86"/>
    <w:rsid w:val="00FE4989"/>
    <w:rsid w:val="00FE54E7"/>
    <w:rsid w:val="00FF08B6"/>
    <w:rsid w:val="00FF32B5"/>
    <w:rsid w:val="00FF4A4B"/>
    <w:rsid w:val="00FF581F"/>
    <w:rsid w:val="01A52705"/>
    <w:rsid w:val="02092C94"/>
    <w:rsid w:val="02253E2D"/>
    <w:rsid w:val="02351CA8"/>
    <w:rsid w:val="02690853"/>
    <w:rsid w:val="02DD1A2B"/>
    <w:rsid w:val="02F94AB6"/>
    <w:rsid w:val="035B108E"/>
    <w:rsid w:val="044C0C16"/>
    <w:rsid w:val="0451447E"/>
    <w:rsid w:val="04784101"/>
    <w:rsid w:val="04D25722"/>
    <w:rsid w:val="05347144"/>
    <w:rsid w:val="057523EE"/>
    <w:rsid w:val="05F95E32"/>
    <w:rsid w:val="06A95833"/>
    <w:rsid w:val="06B829F1"/>
    <w:rsid w:val="06FD1204"/>
    <w:rsid w:val="08662E90"/>
    <w:rsid w:val="086D1AA1"/>
    <w:rsid w:val="0A0A1357"/>
    <w:rsid w:val="0A1E7B92"/>
    <w:rsid w:val="0A663F0C"/>
    <w:rsid w:val="0A917CCA"/>
    <w:rsid w:val="0AAF6B0F"/>
    <w:rsid w:val="0AB24B18"/>
    <w:rsid w:val="0AF866A2"/>
    <w:rsid w:val="0B022B5C"/>
    <w:rsid w:val="0B12643D"/>
    <w:rsid w:val="0BC823BA"/>
    <w:rsid w:val="0BD21DB5"/>
    <w:rsid w:val="0BEF7704"/>
    <w:rsid w:val="0BFA45DC"/>
    <w:rsid w:val="0C197F77"/>
    <w:rsid w:val="0C1B7204"/>
    <w:rsid w:val="0C240B71"/>
    <w:rsid w:val="0C344DB1"/>
    <w:rsid w:val="0CEE6D0E"/>
    <w:rsid w:val="0D5154EF"/>
    <w:rsid w:val="0DA16476"/>
    <w:rsid w:val="0E7D0425"/>
    <w:rsid w:val="0EF97BEC"/>
    <w:rsid w:val="0F495871"/>
    <w:rsid w:val="0F692FC4"/>
    <w:rsid w:val="0F6B0AEA"/>
    <w:rsid w:val="10E20B40"/>
    <w:rsid w:val="11F817BF"/>
    <w:rsid w:val="122338FE"/>
    <w:rsid w:val="12A54313"/>
    <w:rsid w:val="12AA7B7B"/>
    <w:rsid w:val="12AC16F6"/>
    <w:rsid w:val="12AD234D"/>
    <w:rsid w:val="13FE1DB4"/>
    <w:rsid w:val="14641FAC"/>
    <w:rsid w:val="148E5193"/>
    <w:rsid w:val="14B6782B"/>
    <w:rsid w:val="155003C2"/>
    <w:rsid w:val="15B858CF"/>
    <w:rsid w:val="1638724C"/>
    <w:rsid w:val="167215B7"/>
    <w:rsid w:val="169E17A5"/>
    <w:rsid w:val="17045380"/>
    <w:rsid w:val="17053383"/>
    <w:rsid w:val="17076D19"/>
    <w:rsid w:val="189015C1"/>
    <w:rsid w:val="189A0770"/>
    <w:rsid w:val="18DA7E53"/>
    <w:rsid w:val="18E37943"/>
    <w:rsid w:val="18EA6D23"/>
    <w:rsid w:val="198A7DBF"/>
    <w:rsid w:val="19CE05F3"/>
    <w:rsid w:val="1A20249E"/>
    <w:rsid w:val="1A23310B"/>
    <w:rsid w:val="1A450329"/>
    <w:rsid w:val="1ABC48F0"/>
    <w:rsid w:val="1B3E3F3F"/>
    <w:rsid w:val="1B980A11"/>
    <w:rsid w:val="1C8A3864"/>
    <w:rsid w:val="1D7C1636"/>
    <w:rsid w:val="1D7F73F8"/>
    <w:rsid w:val="1DA62005"/>
    <w:rsid w:val="1E2A7DC2"/>
    <w:rsid w:val="1ED132F1"/>
    <w:rsid w:val="1ED92FBA"/>
    <w:rsid w:val="1F226762"/>
    <w:rsid w:val="1F6C111A"/>
    <w:rsid w:val="203C5B8B"/>
    <w:rsid w:val="207B66B3"/>
    <w:rsid w:val="21A8797C"/>
    <w:rsid w:val="220D3C83"/>
    <w:rsid w:val="224B705D"/>
    <w:rsid w:val="22F97D63"/>
    <w:rsid w:val="23816BBE"/>
    <w:rsid w:val="239A32F4"/>
    <w:rsid w:val="24C50E6F"/>
    <w:rsid w:val="253D22B2"/>
    <w:rsid w:val="254479BB"/>
    <w:rsid w:val="25563F7B"/>
    <w:rsid w:val="25B01F9A"/>
    <w:rsid w:val="25B213EA"/>
    <w:rsid w:val="262B0B7B"/>
    <w:rsid w:val="268166B9"/>
    <w:rsid w:val="26AE18FC"/>
    <w:rsid w:val="275801A9"/>
    <w:rsid w:val="28026FB4"/>
    <w:rsid w:val="292C2721"/>
    <w:rsid w:val="29523F1D"/>
    <w:rsid w:val="299B5061"/>
    <w:rsid w:val="2A283FB7"/>
    <w:rsid w:val="2A701253"/>
    <w:rsid w:val="2AC13347"/>
    <w:rsid w:val="2AED181F"/>
    <w:rsid w:val="2B3E654C"/>
    <w:rsid w:val="2BCD7DF3"/>
    <w:rsid w:val="2C447B16"/>
    <w:rsid w:val="2C826E48"/>
    <w:rsid w:val="2DB50C8A"/>
    <w:rsid w:val="2E767B33"/>
    <w:rsid w:val="2ED2169E"/>
    <w:rsid w:val="2F2D3959"/>
    <w:rsid w:val="2F427AC5"/>
    <w:rsid w:val="2FB35E69"/>
    <w:rsid w:val="3038011D"/>
    <w:rsid w:val="30637110"/>
    <w:rsid w:val="309F5546"/>
    <w:rsid w:val="30F972CB"/>
    <w:rsid w:val="313B4368"/>
    <w:rsid w:val="31F2254D"/>
    <w:rsid w:val="32417A94"/>
    <w:rsid w:val="32632FC2"/>
    <w:rsid w:val="33754B77"/>
    <w:rsid w:val="34161330"/>
    <w:rsid w:val="347D1AD0"/>
    <w:rsid w:val="356777CD"/>
    <w:rsid w:val="35BE10C4"/>
    <w:rsid w:val="35FB2318"/>
    <w:rsid w:val="36B36A4C"/>
    <w:rsid w:val="36B44275"/>
    <w:rsid w:val="37166CDE"/>
    <w:rsid w:val="375F6E10"/>
    <w:rsid w:val="37C00D36"/>
    <w:rsid w:val="37D7729C"/>
    <w:rsid w:val="37E7EFF9"/>
    <w:rsid w:val="3837515E"/>
    <w:rsid w:val="384A30E3"/>
    <w:rsid w:val="38877E93"/>
    <w:rsid w:val="392D5C4F"/>
    <w:rsid w:val="397179BB"/>
    <w:rsid w:val="39735E2C"/>
    <w:rsid w:val="397C5E43"/>
    <w:rsid w:val="3A021CB9"/>
    <w:rsid w:val="3A0C7FF8"/>
    <w:rsid w:val="3B070E17"/>
    <w:rsid w:val="3B3F61FF"/>
    <w:rsid w:val="3BB94F63"/>
    <w:rsid w:val="3C754A5F"/>
    <w:rsid w:val="3CD92C87"/>
    <w:rsid w:val="3D243E5F"/>
    <w:rsid w:val="3D462FD9"/>
    <w:rsid w:val="3D77074D"/>
    <w:rsid w:val="3E1D0952"/>
    <w:rsid w:val="3E1F2405"/>
    <w:rsid w:val="3E711105"/>
    <w:rsid w:val="3E832D38"/>
    <w:rsid w:val="3EE72A43"/>
    <w:rsid w:val="3F9D4C72"/>
    <w:rsid w:val="40275209"/>
    <w:rsid w:val="412D70FE"/>
    <w:rsid w:val="41C7303D"/>
    <w:rsid w:val="42363E2C"/>
    <w:rsid w:val="42801398"/>
    <w:rsid w:val="428559F9"/>
    <w:rsid w:val="438443AE"/>
    <w:rsid w:val="438C32BB"/>
    <w:rsid w:val="4427252A"/>
    <w:rsid w:val="443E2B97"/>
    <w:rsid w:val="4460744A"/>
    <w:rsid w:val="44842172"/>
    <w:rsid w:val="44B55D88"/>
    <w:rsid w:val="44C77869"/>
    <w:rsid w:val="450C3167"/>
    <w:rsid w:val="45A221BD"/>
    <w:rsid w:val="45F57E49"/>
    <w:rsid w:val="4619280E"/>
    <w:rsid w:val="46513FED"/>
    <w:rsid w:val="46DD0B62"/>
    <w:rsid w:val="46F82B1F"/>
    <w:rsid w:val="46FC6DA1"/>
    <w:rsid w:val="47237C99"/>
    <w:rsid w:val="48627FD5"/>
    <w:rsid w:val="497A7D6F"/>
    <w:rsid w:val="498521CD"/>
    <w:rsid w:val="498C34BA"/>
    <w:rsid w:val="4A026F38"/>
    <w:rsid w:val="4A1B10FB"/>
    <w:rsid w:val="4A5D5B18"/>
    <w:rsid w:val="4A6242BC"/>
    <w:rsid w:val="4A8A736F"/>
    <w:rsid w:val="4C1A1492"/>
    <w:rsid w:val="4C4E00DA"/>
    <w:rsid w:val="4CE4720A"/>
    <w:rsid w:val="4D8457F9"/>
    <w:rsid w:val="4DDA685F"/>
    <w:rsid w:val="4E647C8C"/>
    <w:rsid w:val="4F0A109E"/>
    <w:rsid w:val="4F53015E"/>
    <w:rsid w:val="50536192"/>
    <w:rsid w:val="50691357"/>
    <w:rsid w:val="50DF4CBB"/>
    <w:rsid w:val="510963F8"/>
    <w:rsid w:val="513A5095"/>
    <w:rsid w:val="51AF6B53"/>
    <w:rsid w:val="51BF438F"/>
    <w:rsid w:val="51F658D7"/>
    <w:rsid w:val="52D8054B"/>
    <w:rsid w:val="53416A23"/>
    <w:rsid w:val="53721639"/>
    <w:rsid w:val="53F320CA"/>
    <w:rsid w:val="5430165A"/>
    <w:rsid w:val="5445590F"/>
    <w:rsid w:val="548206FA"/>
    <w:rsid w:val="54C638A4"/>
    <w:rsid w:val="5550678D"/>
    <w:rsid w:val="562C1C22"/>
    <w:rsid w:val="5631225C"/>
    <w:rsid w:val="563441A1"/>
    <w:rsid w:val="565A053D"/>
    <w:rsid w:val="566D64C3"/>
    <w:rsid w:val="56833BC0"/>
    <w:rsid w:val="56A9133E"/>
    <w:rsid w:val="56E83D9B"/>
    <w:rsid w:val="57346FE0"/>
    <w:rsid w:val="581869DF"/>
    <w:rsid w:val="590743EF"/>
    <w:rsid w:val="5A0228C5"/>
    <w:rsid w:val="5A563B76"/>
    <w:rsid w:val="5A7305BC"/>
    <w:rsid w:val="5AF80325"/>
    <w:rsid w:val="5C0116A3"/>
    <w:rsid w:val="5CDC2002"/>
    <w:rsid w:val="5D0D455B"/>
    <w:rsid w:val="5D143A55"/>
    <w:rsid w:val="5DCB4EDA"/>
    <w:rsid w:val="5DF9688E"/>
    <w:rsid w:val="5E370F6E"/>
    <w:rsid w:val="5F386928"/>
    <w:rsid w:val="5F8104CB"/>
    <w:rsid w:val="5F9846CE"/>
    <w:rsid w:val="600871C3"/>
    <w:rsid w:val="60CB2BC2"/>
    <w:rsid w:val="60EC5FC0"/>
    <w:rsid w:val="615C33BC"/>
    <w:rsid w:val="61734BA9"/>
    <w:rsid w:val="61E827F5"/>
    <w:rsid w:val="6251583D"/>
    <w:rsid w:val="639A600C"/>
    <w:rsid w:val="63C761C6"/>
    <w:rsid w:val="651C646F"/>
    <w:rsid w:val="65786B89"/>
    <w:rsid w:val="65A63BA4"/>
    <w:rsid w:val="65D2051C"/>
    <w:rsid w:val="66071FC5"/>
    <w:rsid w:val="66083EFC"/>
    <w:rsid w:val="660E4EA0"/>
    <w:rsid w:val="66554234"/>
    <w:rsid w:val="670E188A"/>
    <w:rsid w:val="688812FA"/>
    <w:rsid w:val="69801046"/>
    <w:rsid w:val="699B4C9D"/>
    <w:rsid w:val="69B7045C"/>
    <w:rsid w:val="6A133F2B"/>
    <w:rsid w:val="6A244298"/>
    <w:rsid w:val="6A537326"/>
    <w:rsid w:val="6A590DE0"/>
    <w:rsid w:val="6B4725E4"/>
    <w:rsid w:val="6C5D02CD"/>
    <w:rsid w:val="6DC01176"/>
    <w:rsid w:val="6DC8062D"/>
    <w:rsid w:val="6DEC3CE4"/>
    <w:rsid w:val="6E7805E6"/>
    <w:rsid w:val="6EEA46FD"/>
    <w:rsid w:val="6F034763"/>
    <w:rsid w:val="6F0357BE"/>
    <w:rsid w:val="6F96218E"/>
    <w:rsid w:val="6F9A4CDC"/>
    <w:rsid w:val="6FD9651F"/>
    <w:rsid w:val="70E62748"/>
    <w:rsid w:val="71253F47"/>
    <w:rsid w:val="71374A49"/>
    <w:rsid w:val="71500D3F"/>
    <w:rsid w:val="72A256F9"/>
    <w:rsid w:val="72E94CCB"/>
    <w:rsid w:val="72F76F6E"/>
    <w:rsid w:val="733F2EED"/>
    <w:rsid w:val="737F6B89"/>
    <w:rsid w:val="73BB6668"/>
    <w:rsid w:val="74C662F0"/>
    <w:rsid w:val="750C5276"/>
    <w:rsid w:val="75D532E5"/>
    <w:rsid w:val="76685F07"/>
    <w:rsid w:val="772B1149"/>
    <w:rsid w:val="772B5095"/>
    <w:rsid w:val="77456248"/>
    <w:rsid w:val="77A15B74"/>
    <w:rsid w:val="786B6C80"/>
    <w:rsid w:val="787F42CC"/>
    <w:rsid w:val="78D6184E"/>
    <w:rsid w:val="7A15284A"/>
    <w:rsid w:val="7A3C1B84"/>
    <w:rsid w:val="7A5E7BC7"/>
    <w:rsid w:val="7A802C6E"/>
    <w:rsid w:val="7A95542D"/>
    <w:rsid w:val="7AB83901"/>
    <w:rsid w:val="7ABF732F"/>
    <w:rsid w:val="7BAD4E13"/>
    <w:rsid w:val="7C1000EF"/>
    <w:rsid w:val="7C484124"/>
    <w:rsid w:val="7CA2660E"/>
    <w:rsid w:val="7CA52C0F"/>
    <w:rsid w:val="7D615C92"/>
    <w:rsid w:val="7D9D1B22"/>
    <w:rsid w:val="7DA41F1A"/>
    <w:rsid w:val="7DC855C3"/>
    <w:rsid w:val="7DD345AE"/>
    <w:rsid w:val="7E002EC9"/>
    <w:rsid w:val="7E004475"/>
    <w:rsid w:val="7E004E2D"/>
    <w:rsid w:val="7E0B01EB"/>
    <w:rsid w:val="7E1110DD"/>
    <w:rsid w:val="7E1C688C"/>
    <w:rsid w:val="7E755665"/>
    <w:rsid w:val="7EA271D1"/>
    <w:rsid w:val="7F0709B3"/>
    <w:rsid w:val="7F34433E"/>
    <w:rsid w:val="7F693F8B"/>
    <w:rsid w:val="7F972B5D"/>
    <w:rsid w:val="7FC7343D"/>
    <w:rsid w:val="DFD9047C"/>
    <w:rsid w:val="E7BF4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3"/>
    <w:basedOn w:val="1"/>
    <w:next w:val="1"/>
    <w:link w:val="15"/>
    <w:semiHidden/>
    <w:unhideWhenUsed/>
    <w:qFormat/>
    <w:uiPriority w:val="0"/>
    <w:pPr>
      <w:keepNext/>
      <w:keepLines/>
      <w:spacing w:line="560" w:lineRule="exact"/>
      <w:outlineLvl w:val="2"/>
    </w:pPr>
    <w:rPr>
      <w:rFonts w:ascii="仿宋" w:hAnsi="仿宋" w:eastAsia="仿宋"/>
      <w:b/>
      <w:bCs/>
      <w:sz w:val="28"/>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6"/>
    <w:qFormat/>
    <w:uiPriority w:val="0"/>
    <w:pPr>
      <w:jc w:val="left"/>
    </w:pPr>
  </w:style>
  <w:style w:type="paragraph" w:styleId="5">
    <w:name w:val="Balloon Text"/>
    <w:basedOn w:val="1"/>
    <w:link w:val="17"/>
    <w:qFormat/>
    <w:uiPriority w:val="0"/>
    <w:rPr>
      <w:sz w:val="18"/>
      <w:szCs w:val="18"/>
    </w:r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4"/>
    <w:next w:val="4"/>
    <w:link w:val="20"/>
    <w:qFormat/>
    <w:uiPriority w:val="0"/>
    <w:rPr>
      <w:b/>
      <w:bCs/>
    </w:rPr>
  </w:style>
  <w:style w:type="character" w:styleId="12">
    <w:name w:val="Strong"/>
    <w:basedOn w:val="11"/>
    <w:qFormat/>
    <w:uiPriority w:val="22"/>
    <w:rPr>
      <w:b/>
      <w:bCs/>
    </w:rPr>
  </w:style>
  <w:style w:type="character" w:styleId="13">
    <w:name w:val="annotation reference"/>
    <w:basedOn w:val="11"/>
    <w:qFormat/>
    <w:uiPriority w:val="0"/>
    <w:rPr>
      <w:sz w:val="21"/>
      <w:szCs w:val="21"/>
    </w:rPr>
  </w:style>
  <w:style w:type="character" w:customStyle="1" w:styleId="14">
    <w:name w:val="标题 1 字符"/>
    <w:basedOn w:val="11"/>
    <w:link w:val="2"/>
    <w:qFormat/>
    <w:uiPriority w:val="9"/>
    <w:rPr>
      <w:rFonts w:ascii="宋体" w:hAnsi="宋体" w:eastAsia="宋体" w:cs="宋体"/>
      <w:b/>
      <w:bCs/>
      <w:kern w:val="36"/>
      <w:sz w:val="48"/>
      <w:szCs w:val="48"/>
    </w:rPr>
  </w:style>
  <w:style w:type="character" w:customStyle="1" w:styleId="15">
    <w:name w:val="标题 3 字符"/>
    <w:basedOn w:val="11"/>
    <w:link w:val="3"/>
    <w:semiHidden/>
    <w:qFormat/>
    <w:uiPriority w:val="0"/>
    <w:rPr>
      <w:rFonts w:ascii="仿宋" w:hAnsi="仿宋" w:eastAsia="仿宋"/>
      <w:b/>
      <w:bCs/>
      <w:sz w:val="28"/>
      <w:szCs w:val="32"/>
    </w:rPr>
  </w:style>
  <w:style w:type="character" w:customStyle="1" w:styleId="16">
    <w:name w:val="批注文字 字符"/>
    <w:basedOn w:val="11"/>
    <w:link w:val="4"/>
    <w:qFormat/>
    <w:uiPriority w:val="0"/>
  </w:style>
  <w:style w:type="character" w:customStyle="1" w:styleId="17">
    <w:name w:val="批注框文本 字符"/>
    <w:basedOn w:val="11"/>
    <w:link w:val="5"/>
    <w:qFormat/>
    <w:uiPriority w:val="0"/>
    <w:rPr>
      <w:sz w:val="18"/>
      <w:szCs w:val="18"/>
    </w:rPr>
  </w:style>
  <w:style w:type="character" w:customStyle="1" w:styleId="18">
    <w:name w:val="页脚 字符"/>
    <w:basedOn w:val="11"/>
    <w:link w:val="6"/>
    <w:qFormat/>
    <w:uiPriority w:val="99"/>
    <w:rPr>
      <w:sz w:val="18"/>
      <w:szCs w:val="18"/>
    </w:rPr>
  </w:style>
  <w:style w:type="character" w:customStyle="1" w:styleId="19">
    <w:name w:val="页眉 字符"/>
    <w:basedOn w:val="11"/>
    <w:link w:val="7"/>
    <w:qFormat/>
    <w:uiPriority w:val="0"/>
    <w:rPr>
      <w:sz w:val="18"/>
      <w:szCs w:val="18"/>
    </w:rPr>
  </w:style>
  <w:style w:type="character" w:customStyle="1" w:styleId="20">
    <w:name w:val="批注主题 字符"/>
    <w:basedOn w:val="16"/>
    <w:link w:val="9"/>
    <w:qFormat/>
    <w:uiPriority w:val="0"/>
    <w:rPr>
      <w:b/>
      <w:bCs/>
    </w:rPr>
  </w:style>
  <w:style w:type="paragraph" w:styleId="21">
    <w:name w:val="List Paragraph"/>
    <w:basedOn w:val="1"/>
    <w:qFormat/>
    <w:uiPriority w:val="34"/>
    <w:pPr>
      <w:ind w:firstLine="420" w:firstLineChars="200"/>
    </w:pPr>
    <w:rPr>
      <w:rFonts w:ascii="Calibri" w:hAnsi="Calibri" w:eastAsia="宋体" w:cs="Times New Roman"/>
    </w:rPr>
  </w:style>
  <w:style w:type="character" w:customStyle="1" w:styleId="22">
    <w:name w:val="text_f5gtg"/>
    <w:basedOn w:val="11"/>
    <w:qFormat/>
    <w:uiPriority w:val="0"/>
  </w:style>
  <w:style w:type="character" w:customStyle="1" w:styleId="23">
    <w:name w:val="font21"/>
    <w:basedOn w:val="11"/>
    <w:qFormat/>
    <w:uiPriority w:val="0"/>
    <w:rPr>
      <w:rFonts w:hint="default" w:ascii="仿宋_GB2312" w:eastAsia="仿宋_GB2312" w:cs="仿宋_GB2312"/>
      <w:color w:val="000000"/>
      <w:sz w:val="24"/>
      <w:szCs w:val="24"/>
      <w:u w:val="none"/>
    </w:rPr>
  </w:style>
  <w:style w:type="character" w:customStyle="1" w:styleId="24">
    <w:name w:val="font31"/>
    <w:basedOn w:val="11"/>
    <w:qFormat/>
    <w:uiPriority w:val="0"/>
    <w:rPr>
      <w:rFonts w:hint="default" w:ascii="仿宋_GB2312" w:eastAsia="仿宋_GB2312" w:cs="仿宋_GB2312"/>
      <w:color w:val="000000"/>
      <w:sz w:val="24"/>
      <w:szCs w:val="24"/>
      <w:u w:val="none"/>
      <w:vertAlign w:val="superscript"/>
    </w:rPr>
  </w:style>
  <w:style w:type="paragraph" w:customStyle="1" w:styleId="2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6434</Words>
  <Characters>6610</Characters>
  <Lines>132</Lines>
  <Paragraphs>37</Paragraphs>
  <TotalTime>15</TotalTime>
  <ScaleCrop>false</ScaleCrop>
  <LinksUpToDate>false</LinksUpToDate>
  <CharactersWithSpaces>6672</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2026-06-30T12:06:00Z</dcterms:created>
  <dc:creator>HaicongYu</dc:creator>
  <cp:lastModifiedBy>caizi</cp:lastModifiedBy>
  <cp:lastPrinted>2026-07-07T18:07:33Z</cp:lastPrinted>
  <dcterms:modified xsi:type="dcterms:W3CDTF">2026-07-07T18:07:55Z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KSOTemplateDocerSaveRecord">
    <vt:lpwstr>eyJoZGlkIjoiMWU5NDMyM2M4NTg4OTg0ZmUzMTBiMzFmY2YwMzRhNGUiLCJ1c2VySWQiOiIzNzg0ODI3OTMifQ==</vt:lpwstr>
  </property>
  <property fmtid="{D5CDD505-2E9C-101B-9397-08002B2CF9AE}" pid="4" name="ICV">
    <vt:lpwstr>EB78062C1B884B41FBCF4C6A59B9C8A4</vt:lpwstr>
  </property>
</Properties>
</file>