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p>
    <w:p>
      <w:pPr>
        <w:pStyle w:val="8"/>
        <w:rPr>
          <w:rFonts w:hint="eastAsia" w:ascii="方正小标宋简体" w:hAnsi="方正小标宋简体" w:eastAsia="方正小标宋简体" w:cs="方正小标宋简体"/>
          <w:kern w:val="2"/>
          <w:sz w:val="56"/>
          <w:szCs w:val="96"/>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3" w:leftChars="-95" w:right="0" w:rightChars="0" w:hanging="196" w:hangingChars="35"/>
        <w:jc w:val="center"/>
        <w:textAlignment w:val="auto"/>
        <w:rPr>
          <w:rFonts w:hint="eastAsia" w:ascii="方正小标宋简体" w:hAnsi="方正小标宋简体" w:eastAsia="方正小标宋简体" w:cs="方正小标宋简体"/>
          <w:kern w:val="2"/>
          <w:sz w:val="56"/>
          <w:szCs w:val="56"/>
          <w:lang w:val="en-US" w:eastAsia="zh-CN" w:bidi="ar-SA"/>
        </w:rPr>
      </w:pPr>
      <w:r>
        <w:rPr>
          <w:rFonts w:hint="eastAsia" w:ascii="方正小标宋简体" w:hAnsi="方正小标宋简体" w:eastAsia="方正小标宋简体" w:cs="方正小标宋简体"/>
          <w:kern w:val="2"/>
          <w:sz w:val="56"/>
          <w:szCs w:val="56"/>
          <w:lang w:val="en-US" w:eastAsia="zh-CN" w:bidi="ar-SA"/>
        </w:rPr>
        <w:t>南山区第三批人工智能场景应用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3" w:leftChars="-95" w:right="0" w:rightChars="0" w:hanging="196" w:hangingChars="35"/>
        <w:jc w:val="center"/>
        <w:textAlignment w:val="auto"/>
        <w:rPr>
          <w:rFonts w:hint="eastAsia" w:ascii="方正小标宋简体" w:hAnsi="方正小标宋简体" w:eastAsia="方正小标宋简体" w:cs="方正小标宋简体"/>
          <w:kern w:val="2"/>
          <w:sz w:val="56"/>
          <w:szCs w:val="5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3" w:leftChars="-95" w:right="0" w:rightChars="0" w:hanging="196" w:hangingChars="35"/>
        <w:jc w:val="center"/>
        <w:textAlignment w:val="auto"/>
        <w:rPr>
          <w:rFonts w:hint="eastAsia" w:ascii="方正小标宋简体" w:hAnsi="方正小标宋简体" w:eastAsia="方正小标宋简体" w:cs="方正小标宋简体"/>
          <w:kern w:val="2"/>
          <w:sz w:val="56"/>
          <w:szCs w:val="56"/>
          <w:lang w:val="en-US" w:eastAsia="zh-CN" w:bidi="ar-SA"/>
        </w:rPr>
      </w:pPr>
      <w:r>
        <w:rPr>
          <w:rFonts w:hint="eastAsia" w:ascii="方正小标宋简体" w:hAnsi="方正小标宋简体" w:eastAsia="方正小标宋简体" w:cs="方正小标宋简体"/>
          <w:kern w:val="2"/>
          <w:sz w:val="56"/>
          <w:szCs w:val="56"/>
          <w:lang w:val="en-US" w:eastAsia="zh-CN" w:bidi="ar-SA"/>
        </w:rPr>
        <w:t>“揭榜挂帅”项目榜单</w:t>
      </w:r>
    </w:p>
    <w:p>
      <w:pPr>
        <w:pStyle w:val="8"/>
        <w:rPr>
          <w:rFonts w:hint="eastAsia" w:ascii="方正小标宋简体" w:hAnsi="方正小标宋简体" w:eastAsia="方正小标宋简体" w:cs="方正小标宋简体"/>
          <w:kern w:val="2"/>
          <w:sz w:val="56"/>
          <w:szCs w:val="56"/>
          <w:lang w:val="en-US" w:eastAsia="zh-CN" w:bidi="ar-SA"/>
        </w:rPr>
      </w:pPr>
    </w:p>
    <w:p>
      <w:pPr>
        <w:rPr>
          <w:rFonts w:hint="eastAsia" w:ascii="方正小标宋简体" w:hAnsi="方正小标宋简体" w:eastAsia="方正小标宋简体" w:cs="方正小标宋简体"/>
          <w:kern w:val="2"/>
          <w:sz w:val="56"/>
          <w:szCs w:val="56"/>
          <w:lang w:val="en-US" w:eastAsia="zh-CN" w:bidi="ar-SA"/>
        </w:rPr>
      </w:pPr>
    </w:p>
    <w:p>
      <w:pPr>
        <w:pStyle w:val="8"/>
        <w:rPr>
          <w:rFonts w:hint="eastAsia" w:ascii="方正小标宋简体" w:hAnsi="方正小标宋简体" w:eastAsia="方正小标宋简体" w:cs="方正小标宋简体"/>
          <w:kern w:val="2"/>
          <w:sz w:val="56"/>
          <w:szCs w:val="56"/>
          <w:lang w:val="en-US" w:eastAsia="zh-CN" w:bidi="ar-SA"/>
        </w:rPr>
      </w:pPr>
    </w:p>
    <w:p>
      <w:pPr>
        <w:rPr>
          <w:rFonts w:hint="eastAsia" w:ascii="方正小标宋简体" w:hAnsi="方正小标宋简体" w:eastAsia="方正小标宋简体" w:cs="方正小标宋简体"/>
          <w:kern w:val="2"/>
          <w:sz w:val="56"/>
          <w:szCs w:val="56"/>
          <w:lang w:val="en-US" w:eastAsia="zh-CN" w:bidi="ar-SA"/>
        </w:rPr>
      </w:pPr>
    </w:p>
    <w:p>
      <w:pPr>
        <w:pStyle w:val="8"/>
        <w:rPr>
          <w:rFonts w:hint="eastAsia" w:ascii="方正小标宋简体" w:hAnsi="方正小标宋简体" w:eastAsia="方正小标宋简体" w:cs="方正小标宋简体"/>
          <w:kern w:val="2"/>
          <w:sz w:val="56"/>
          <w:szCs w:val="56"/>
          <w:lang w:val="en-US" w:eastAsia="zh-CN" w:bidi="ar-SA"/>
        </w:rPr>
      </w:pPr>
    </w:p>
    <w:p>
      <w:pPr>
        <w:rPr>
          <w:rFonts w:hint="eastAsia" w:ascii="方正小标宋简体" w:hAnsi="方正小标宋简体" w:eastAsia="方正小标宋简体" w:cs="方正小标宋简体"/>
          <w:kern w:val="2"/>
          <w:sz w:val="56"/>
          <w:szCs w:val="56"/>
          <w:lang w:val="en-US" w:eastAsia="zh-CN" w:bidi="ar-SA"/>
        </w:rPr>
      </w:pPr>
    </w:p>
    <w:p>
      <w:pPr>
        <w:pStyle w:val="8"/>
        <w:rPr>
          <w:rFonts w:hint="eastAsia" w:ascii="方正小标宋简体" w:hAnsi="方正小标宋简体" w:eastAsia="方正小标宋简体" w:cs="方正小标宋简体"/>
          <w:kern w:val="2"/>
          <w:sz w:val="56"/>
          <w:szCs w:val="56"/>
          <w:lang w:val="en-US" w:eastAsia="zh-CN" w:bidi="ar-SA"/>
        </w:rPr>
      </w:pPr>
    </w:p>
    <w:p>
      <w:pPr>
        <w:rPr>
          <w:rFonts w:hint="eastAsia" w:ascii="方正小标宋简体" w:hAnsi="方正小标宋简体" w:eastAsia="方正小标宋简体" w:cs="方正小标宋简体"/>
          <w:kern w:val="2"/>
          <w:sz w:val="56"/>
          <w:szCs w:val="56"/>
          <w:lang w:val="en-US" w:eastAsia="zh-CN" w:bidi="ar-SA"/>
        </w:rPr>
      </w:pPr>
    </w:p>
    <w:p>
      <w:pPr>
        <w:pStyle w:val="8"/>
        <w:rPr>
          <w:rFonts w:hint="eastAsia" w:ascii="方正小标宋简体" w:hAnsi="方正小标宋简体" w:eastAsia="方正小标宋简体" w:cs="方正小标宋简体"/>
          <w:kern w:val="2"/>
          <w:sz w:val="56"/>
          <w:szCs w:val="56"/>
          <w:lang w:val="en-US" w:eastAsia="zh-CN" w:bidi="ar-SA"/>
        </w:rPr>
      </w:pPr>
    </w:p>
    <w:p>
      <w:pPr>
        <w:jc w:val="center"/>
        <w:rPr>
          <w:rFonts w:hint="eastAsia" w:ascii="仿宋_GB2312" w:hAnsi="仿宋_GB2312" w:eastAsia="仿宋_GB2312" w:cs="仿宋_GB2312"/>
          <w:kern w:val="2"/>
          <w:sz w:val="40"/>
          <w:szCs w:val="48"/>
          <w:lang w:val="en-US" w:eastAsia="zh-CN" w:bidi="ar-SA"/>
        </w:rPr>
      </w:pPr>
      <w:bookmarkStart w:id="0" w:name="__OfficeAi_Preconditioning"/>
      <w:r>
        <w:rPr>
          <w:rFonts w:hint="eastAsia" w:ascii="仿宋_GB2312" w:hAnsi="仿宋_GB2312" w:eastAsia="仿宋_GB2312" w:cs="仿宋_GB2312"/>
          <w:kern w:val="2"/>
          <w:sz w:val="40"/>
          <w:szCs w:val="48"/>
          <w:lang w:val="en-US" w:eastAsia="zh-CN" w:bidi="ar-SA"/>
        </w:rPr>
        <w:t>二○二六年六月</w:t>
      </w:r>
    </w:p>
    <w:bookmarkEnd w:id="0"/>
    <w:p>
      <w:pPr>
        <w:jc w:val="center"/>
        <w:rPr>
          <w:rFonts w:hint="eastAsia"/>
          <w:lang w:val="en-US" w:eastAsia="zh-CN"/>
        </w:rPr>
        <w:sectPr>
          <w:headerReference r:id="rId3" w:type="default"/>
          <w:footerReference r:id="rId4" w:type="default"/>
          <w:pgSz w:w="11905" w:h="16840"/>
          <w:pgMar w:top="1440" w:right="1485" w:bottom="1440" w:left="1800" w:header="720" w:footer="720" w:gutter="0"/>
          <w:cols w:space="720" w:num="1"/>
        </w:sectPr>
      </w:pPr>
    </w:p>
    <w:p>
      <w:pPr>
        <w:pStyle w:val="8"/>
        <w:rPr>
          <w:rFonts w:hint="eastAsia"/>
          <w:lang w:val="en-US" w:eastAsia="zh-CN"/>
        </w:rPr>
      </w:pPr>
    </w:p>
    <w:sdt>
      <w:sdtPr>
        <w:rPr>
          <w:rFonts w:ascii="宋体" w:hAnsi="宋体" w:eastAsia="宋体" w:cstheme="minorBidi"/>
          <w:sz w:val="21"/>
          <w:szCs w:val="22"/>
        </w:rPr>
        <w:id w:val="314508938"/>
        <w15:color w:val="DBDBDB"/>
        <w:docPartObj>
          <w:docPartGallery w:val="Table of Contents"/>
          <w:docPartUnique/>
        </w:docPartObj>
      </w:sdtPr>
      <w:sdtEndPr>
        <w:rPr>
          <w:rFonts w:ascii="宋体" w:hAnsi="宋体" w:eastAsia="宋体" w:cstheme="minorBidi"/>
          <w:sz w:val="21"/>
          <w:szCs w:val="22"/>
        </w:rPr>
      </w:sdtEndPr>
      <w:sdtContent>
        <w:p>
          <w:pPr>
            <w:spacing w:before="0" w:beforeLines="0" w:after="0" w:afterLines="0" w:line="240" w:lineRule="auto"/>
            <w:ind w:left="0" w:leftChars="0" w:right="0" w:rightChars="0" w:firstLine="0" w:firstLineChars="0"/>
            <w:jc w:val="center"/>
          </w:pPr>
          <w:r>
            <w:rPr>
              <w:rFonts w:hint="eastAsia" w:ascii="方正小标宋_GBK" w:hAnsi="方正小标宋_GBK" w:eastAsia="方正小标宋_GBK" w:cs="方正小标宋_GBK"/>
              <w:sz w:val="44"/>
              <w:szCs w:val="44"/>
            </w:rPr>
            <w:t>目录</w:t>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TOC \o "1-1" \h \u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_Toc1401808116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1</w:t>
          </w:r>
          <w:r>
            <w:rPr>
              <w:rFonts w:hint="eastAsia" w:ascii="方正小标宋简体" w:hAnsi="方正小标宋简体" w:eastAsia="方正小标宋简体" w:cs="方正小标宋简体"/>
              <w:sz w:val="28"/>
              <w:szCs w:val="28"/>
            </w:rPr>
            <w:t>基于无人机的空地协同的城市智能巡检具身世界模型场景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_Toc1401808116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1</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_Toc1356360054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2</w:t>
          </w:r>
          <w:r>
            <w:rPr>
              <w:rFonts w:hint="eastAsia" w:ascii="方正小标宋简体" w:hAnsi="方正小标宋简体" w:eastAsia="方正小标宋简体" w:cs="方正小标宋简体"/>
              <w:sz w:val="28"/>
              <w:szCs w:val="28"/>
            </w:rPr>
            <w:t>大模型与多智能体融合的应付结算端到端智能处理场景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_Toc1356360054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8</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_Toc3990079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3</w:t>
          </w:r>
          <w:r>
            <w:rPr>
              <w:rFonts w:hint="eastAsia" w:ascii="方正小标宋简体" w:hAnsi="方正小标宋简体" w:eastAsia="方正小标宋简体" w:cs="方正小标宋简体"/>
              <w:sz w:val="28"/>
              <w:szCs w:val="28"/>
            </w:rPr>
            <w:t>基于AI驱动建模的SMT全流程智造场景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_Toc3990079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14</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_Toc1935126949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kern w:val="2"/>
              <w:sz w:val="28"/>
              <w:szCs w:val="28"/>
              <w:lang w:val="en-US" w:eastAsia="zh-CN" w:bidi="ar-SA"/>
            </w:rPr>
            <w:t>4扫地机器人高精度双目深度视觉感知场景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_Toc1935126949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17</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_Toc608916476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5</w:t>
          </w:r>
          <w:r>
            <w:rPr>
              <w:rFonts w:hint="eastAsia" w:ascii="方正小标宋简体" w:hAnsi="方正小标宋简体" w:eastAsia="方正小标宋简体" w:cs="方正小标宋简体"/>
              <w:sz w:val="28"/>
              <w:szCs w:val="28"/>
              <w:lang w:eastAsia="zh-CN"/>
            </w:rPr>
            <w:t>面向机床CNC主轴热伸长问题的 AI实时补偿场景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_Toc608916476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19</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_Toc945439029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6</w:t>
          </w:r>
          <w:r>
            <w:rPr>
              <w:rFonts w:hint="eastAsia" w:ascii="方正小标宋简体" w:hAnsi="方正小标宋简体" w:eastAsia="方正小标宋简体" w:cs="方正小标宋简体"/>
              <w:sz w:val="28"/>
              <w:szCs w:val="28"/>
            </w:rPr>
            <w:t>基于AI热学仿真的电视热学设计研发提质场景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_Toc945439029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32</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_Toc1890342260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7基于AI视觉的电子行业PCB智能插装场景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_Toc1890342260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36</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_Toc1913371600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8</w:t>
          </w:r>
          <w:r>
            <w:rPr>
              <w:rFonts w:hint="eastAsia" w:ascii="方正小标宋简体" w:hAnsi="方正小标宋简体" w:eastAsia="方正小标宋简体" w:cs="方正小标宋简体"/>
              <w:sz w:val="28"/>
              <w:szCs w:val="28"/>
            </w:rPr>
            <w:t>面向消费级3D打印机的AI复杂排障辅助决策场景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_Toc1913371600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39</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_Toc1063548727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9</w:t>
          </w:r>
          <w:r>
            <w:rPr>
              <w:rFonts w:hint="eastAsia" w:ascii="方正小标宋简体" w:hAnsi="方正小标宋简体" w:eastAsia="方正小标宋简体" w:cs="方正小标宋简体"/>
              <w:sz w:val="28"/>
              <w:szCs w:val="28"/>
            </w:rPr>
            <w:t>基于API统一网关的AI服务智能化管理场景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_Toc1063548727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43</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_Toc1984963904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 xml:space="preserve">10 </w:t>
          </w:r>
          <w:r>
            <w:rPr>
              <w:rFonts w:hint="eastAsia" w:ascii="方正小标宋简体" w:hAnsi="方正小标宋简体" w:eastAsia="方正小标宋简体" w:cs="方正小标宋简体"/>
              <w:sz w:val="28"/>
              <w:szCs w:val="28"/>
            </w:rPr>
            <w:t>DSR平台智能翻译与合规应答助手场景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_Toc1984963904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54</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方正小标宋简体" w:hAnsi="方正小标宋简体" w:eastAsia="方正小标宋简体" w:cs="方正小标宋简体"/>
              <w:sz w:val="28"/>
              <w:szCs w:val="28"/>
            </w:rPr>
            <w:fldChar w:fldCharType="end"/>
          </w:r>
        </w:p>
      </w:sdtContent>
    </w:sdt>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小标宋简体" w:hAnsi="方正小标宋简体" w:eastAsia="方正小标宋简体" w:cs="方正小标宋简体"/>
          <w:sz w:val="44"/>
          <w:szCs w:val="44"/>
          <w:lang w:val="en-US" w:eastAsia="zh-CN"/>
        </w:rPr>
        <w:sectPr>
          <w:footerReference r:id="rId5" w:type="default"/>
          <w:pgSz w:w="11905" w:h="16840"/>
          <w:pgMar w:top="1440" w:right="1485" w:bottom="1440" w:left="1800" w:header="720" w:footer="720" w:gutter="0"/>
          <w:pgNumType w:start="1"/>
          <w:cols w:space="720" w:num="1"/>
        </w:sectPr>
      </w:pP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rPr>
      </w:pPr>
      <w:bookmarkStart w:id="1" w:name="_Toc1401808116"/>
      <w:r>
        <w:rPr>
          <w:rFonts w:hint="eastAsia" w:ascii="方正小标宋简体" w:hAnsi="方正小标宋简体" w:cs="方正小标宋简体"/>
          <w:lang w:val="en-US" w:eastAsia="zh-CN"/>
        </w:rPr>
        <w:t>1</w:t>
      </w:r>
      <w:r>
        <w:rPr>
          <w:rFonts w:hint="eastAsia" w:ascii="方正小标宋简体" w:hAnsi="方正小标宋简体" w:eastAsia="方正小标宋简体" w:cs="方正小标宋简体"/>
        </w:rPr>
        <w:t>基于无人机的空地协同的城市智能巡检具身世界模型场景</w:t>
      </w:r>
      <w:bookmarkEnd w:id="1"/>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outlineLvl w:val="2"/>
        <w:rPr>
          <w:rFonts w:hint="eastAsia" w:ascii="方正小标宋简体" w:hAnsi="方正小标宋简体" w:eastAsia="方正小标宋简体" w:cs="方正小标宋简体"/>
          <w:b w:val="0"/>
          <w:bCs w:val="0"/>
          <w:sz w:val="44"/>
          <w:szCs w:val="44"/>
          <w14:ligatures w14:val="none"/>
        </w:rPr>
      </w:pPr>
    </w:p>
    <w:p>
      <w:pPr>
        <w:ind w:firstLine="640"/>
        <w:jc w:val="left"/>
        <w:rPr>
          <w:rFonts w:hint="default" w:ascii="黑体" w:hAnsi="黑体" w:eastAsia="黑体" w:cstheme="minorBidi"/>
          <w:b w:val="0"/>
          <w:bCs w:val="0"/>
          <w:sz w:val="32"/>
          <w:lang w:val="en-US" w:eastAsia="en-US" w:bidi="ar-SA"/>
          <w14:ligatures w14:val="none"/>
        </w:rPr>
      </w:pPr>
      <w:r>
        <w:rPr>
          <w:rFonts w:hint="default" w:ascii="黑体" w:hAnsi="黑体" w:eastAsia="黑体" w:cstheme="minorBidi"/>
          <w:b w:val="0"/>
          <w:bCs w:val="0"/>
          <w:sz w:val="32"/>
          <w:lang w:val="en-US" w:eastAsia="en-US" w:bidi="ar-SA"/>
          <w14:ligatures w14:val="none"/>
        </w:rPr>
        <w:t>一、</w:t>
      </w:r>
      <w:r>
        <w:rPr>
          <w:rFonts w:ascii="黑体" w:hAnsi="黑体" w:eastAsia="黑体" w:cstheme="minorBidi"/>
          <w:b w:val="0"/>
          <w:bCs w:val="0"/>
          <w:sz w:val="32"/>
          <w:lang w:val="en-US" w:eastAsia="en-US" w:bidi="ar-SA"/>
          <w14:ligatures w14:val="none"/>
        </w:rPr>
        <w:t>现状场景描述</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城市环境具有极高的复杂性与多样性。以南山区为例，辖区内具有繁忙的交通路网，以及千米海岸线、深圳湾、大南山等丰富的自然山水资源。这种“山、海、河、城”交织的格局，使得城市的交通安全与灾害预防巡检方面面临着巨大挑战。交通事故、道路障碍物、违停占道、施工围挡异常，和暴雨、山火等日常灾害及次生灾害（如道路积水、道路阻断）等问题，均对城市安全运行和交通通行能力产生直接影响。</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当前相关事件发现与处置仍以固定视频监控和人工巡查为主，存在巡查覆盖不足、问题发现不及时、应急处置协同效率不高等问题，难以满足城市精细化管理与快速应急响应的需求。无人机凭借其机动灵活、视野广阔、响应迅速的独特优势，已成为城市巡检的核心空基力量，但现有无人机巡检系统仍以人工操控或预设航线的半自动模式为主，智能化程度不足。因此，有必要打造一套以无人机为核心的“空地一体化”综合智能巡检与自动化处置底座，通过“无人机高空全景巡航+机器狗/无人车地面精细核实+自动化设备终端处置”的协同模式，提升城市交通运行保障与灾害风险防控能力，支撑智慧城市建设。</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近年来，具身智能特别是视觉-语言-动作大模型（VLA）的发展，为无人机、机器狗等巡检设备的自动化操作提供了新路径。然而，在实际投入复杂多变的城市场景时，现有VLA模型暴露出严重的局限性。这些模型大多是在封闭环境或特定任务数据集上训练而成，面对开放世界中未见过的新场景、新障碍物或突发险情时，往往无所适从。为了让以无人机为代表的空地协同设备真正具备在复杂城市环境中自主作业的能力，亟需攻克底层AI算法瓶颈。必须探索并引入前沿的具身世界模型（World Model），以弥补现有VLA模型在泛化能力上的先天不足，赋予智能体对真实物理世界的内在理解、未来推演与跨场景适应能力，从而打造真正通用的城市管养与应急处置“具身大脑”。</w:t>
      </w:r>
    </w:p>
    <w:p>
      <w:pPr>
        <w:ind w:firstLine="640"/>
        <w:jc w:val="left"/>
        <w:rPr>
          <w:rFonts w:hint="default" w:ascii="黑体" w:hAnsi="黑体" w:eastAsia="黑体" w:cstheme="minorBidi"/>
          <w:b w:val="0"/>
          <w:bCs w:val="0"/>
          <w:sz w:val="32"/>
          <w:lang w:val="en-US" w:eastAsia="en-US" w:bidi="ar-SA"/>
          <w14:ligatures w14:val="none"/>
        </w:rPr>
      </w:pPr>
      <w:r>
        <w:rPr>
          <w:rFonts w:hint="default" w:ascii="黑体" w:hAnsi="黑体" w:eastAsia="黑体" w:cstheme="minorBidi"/>
          <w:b w:val="0"/>
          <w:bCs w:val="0"/>
          <w:sz w:val="32"/>
          <w:lang w:val="en-US" w:eastAsia="en-US" w:bidi="ar-SA"/>
          <w14:ligatures w14:val="none"/>
        </w:rPr>
        <w:t>二、现阶段技术困境</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现有具身智能技术在向真实复杂物理世界落地，尤其是在无人机城市智能巡检场景中应用时，面临以下核心技术鸿沟：</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1.</w:t>
      </w:r>
      <w:r>
        <w:rPr>
          <w:rFonts w:hint="eastAsia" w:ascii="仿宋_GB2312" w:hAnsi="仿宋_GB2312" w:eastAsia="仿宋_GB2312" w:cs="仿宋_GB2312"/>
          <w:b w:val="0"/>
          <w:bCs w:val="0"/>
          <w:sz w:val="32"/>
          <w:szCs w:val="32"/>
          <w14:ligatures w14:val="none"/>
        </w:rPr>
        <w:t>现有VLA模型泛化能力极弱，陷入“数据依赖”困境：当前的VLA模型高度依赖于特定场景和特定硬件的大规模专家轨迹数据进行模仿学习。在面对南山区非结构化的开放场景（如光照剧变、复杂路况、罕见灾害形态）时，无人机巡检模型极易失效，缺乏对新环境和未见任务的</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零样本泛化</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能力，导致无人机巡检场景拓展成本极高，无法快速适配不同区域、不同类型的巡检需求。</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2.</w:t>
      </w:r>
      <w:r>
        <w:rPr>
          <w:rFonts w:hint="eastAsia" w:ascii="仿宋_GB2312" w:hAnsi="仿宋_GB2312" w:eastAsia="仿宋_GB2312" w:cs="仿宋_GB2312"/>
          <w:b w:val="0"/>
          <w:bCs w:val="0"/>
          <w:sz w:val="32"/>
          <w:szCs w:val="32"/>
          <w14:ligatures w14:val="none"/>
        </w:rPr>
        <w:t>缺乏“世界模型”底座，系统不具备物理推演与预测能力：现有无人机巡检VLA模型多为端到端的统计映射（从像素直接映射到动作），缺乏对物理世界运行规律（如重力、碰撞、流体动力学）的内在理解。模型无法预判自身动作对环境产生的影响（例如无人机气流扰动对地面轻量障碍物的影响、火势的蔓延路径、道路积水的扩散范围），无法进行联合视频帧生成与连续动作预测，导致无人机在物理交互类巡检任务（如近距离隐患排查、应急物资投放）中极易失败。</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3.</w:t>
      </w:r>
      <w:r>
        <w:rPr>
          <w:rFonts w:hint="eastAsia" w:ascii="仿宋_GB2312" w:hAnsi="仿宋_GB2312" w:eastAsia="仿宋_GB2312" w:cs="仿宋_GB2312"/>
          <w:b w:val="0"/>
          <w:bCs w:val="0"/>
          <w:sz w:val="32"/>
          <w:szCs w:val="32"/>
          <w14:ligatures w14:val="none"/>
        </w:rPr>
        <w:t>“跨机体”迁移壁垒高，真实环境试错成本高昂：当前具身AI算法多为</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一机一模型”，由于缺乏统一的世界动作模型，在一个形态智能体（如某型号多旋翼无人机）上学会的巡检技能，无法泛化迁移到其他形态（如固定翼无人机、垂直起降无人机或地面机器狗）上。此外，在交通或高危灾害等真实环境中直接测试无人机VLA模型的物理控制策略风险极大，缺乏能够提供高逼真“仿真即评估”的虚拟推演环境。</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4.</w:t>
      </w:r>
      <w:r>
        <w:rPr>
          <w:rFonts w:hint="eastAsia" w:ascii="仿宋_GB2312" w:hAnsi="仿宋_GB2312" w:eastAsia="仿宋_GB2312" w:cs="仿宋_GB2312"/>
          <w:b w:val="0"/>
          <w:bCs w:val="0"/>
          <w:sz w:val="32"/>
          <w:szCs w:val="32"/>
          <w14:ligatures w14:val="none"/>
        </w:rPr>
        <w:t>纯视觉3D几何认知与高频控制能力缺失：感知端高度依赖昂贵的激光雷达，纯视觉/单目传感器下缺乏可交互的3D几何与实例语义理解能力；控制端由于传统架构解耦，无法支撑无人机等设备在极端环境（如高速机动、强侧风干扰）下的高频端到端控制响应，制约了无人机在应急抢险等极端场景下的作业能力。</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三、场景示范需求</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本项目依托</w:t>
      </w:r>
      <w:r>
        <w:rPr>
          <w:rFonts w:hint="eastAsia" w:ascii="仿宋_GB2312" w:hAnsi="仿宋_GB2312" w:eastAsia="仿宋_GB2312" w:cs="仿宋_GB2312"/>
          <w:b w:val="0"/>
          <w:bCs w:val="0"/>
          <w:sz w:val="32"/>
          <w:szCs w:val="32"/>
          <w:lang w:val="en-US" w:eastAsia="zh-CN"/>
          <w14:ligatures w14:val="none"/>
        </w:rPr>
        <w:t>公司</w:t>
      </w:r>
      <w:r>
        <w:rPr>
          <w:rFonts w:hint="eastAsia" w:ascii="仿宋_GB2312" w:hAnsi="仿宋_GB2312" w:eastAsia="仿宋_GB2312" w:cs="仿宋_GB2312"/>
          <w:b w:val="0"/>
          <w:bCs w:val="0"/>
          <w:sz w:val="32"/>
          <w:szCs w:val="32"/>
          <w14:ligatures w14:val="none"/>
        </w:rPr>
        <w:t>在无人机领域的技术积累与产品优势，旨在研发面向无人机城市智能巡检场景的通用具身智能底座，突破VLA模型的泛化瓶颈，具体核心需求如下：</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（一）构建面向无人机智能巡检的具身世界模型，破解泛化难题</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针对现有无人机巡检模型的开放场景泛化难题，示范平台须探索构建国内首个城市场景专属的无人机巡检具身世界模型，打造</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先想象、再决策、后执行</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的自主作业范式，具体需实现以下可量化、可落地的核心能力：</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1.</w:t>
      </w:r>
      <w:r>
        <w:rPr>
          <w:rFonts w:hint="eastAsia" w:ascii="仿宋_GB2312" w:hAnsi="仿宋_GB2312" w:eastAsia="仿宋_GB2312" w:cs="仿宋_GB2312"/>
          <w:b w:val="0"/>
          <w:bCs w:val="0"/>
          <w:sz w:val="32"/>
          <w:szCs w:val="32"/>
          <w14:ligatures w14:val="none"/>
        </w:rPr>
        <w:t>物理常识与巡检态势推演能力</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依托基础世界模型，内置城市巡检领域专属物理引擎与灾害演化知识库，实现对南山区</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山-海-河-城</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复杂环境的高保真数字孪生与动态联合预测。重点突破：</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交通巡检态势推演：能够预判违停车辆启动驶离轨迹（准确率≥90%）、施工围挡在6级以上大风下的倾倒风险（提前10分钟预警）、交通事故引发的拥堵扩散范围（提前15分钟预测30分钟内的拥堵程度），自动调整无人机巡检航线优先覆盖高风险路段。</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自然灾害演化推演：针对暴雨天气，可结合地形数据与实时降雨信息，提前30分钟预判道路积水深度≥15cm的区域范围（空间误差≤5米）；针对大南山等山林区域，可模拟山火在不同风力、植被条件下的蔓延路径（预测时长≥2小时），为无人机火情侦察与灭火弹投放提供决策依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无人机自身物理影响推演：能够计算无人机低空飞行时的气流扰动对地面轻量障碍物（如施工警示牌、遮阳棚）的影响，自动调整飞行高度与速度避免次生灾害；预判无人机在强侧风、雨雾等恶劣天气下的飞行稳定性，动态规划安全返航路线。</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2.</w:t>
      </w:r>
      <w:r>
        <w:rPr>
          <w:rFonts w:hint="eastAsia" w:ascii="仿宋_GB2312" w:hAnsi="仿宋_GB2312" w:eastAsia="仿宋_GB2312" w:cs="仿宋_GB2312"/>
          <w:b w:val="0"/>
          <w:bCs w:val="0"/>
          <w:sz w:val="32"/>
          <w:szCs w:val="32"/>
          <w14:ligatures w14:val="none"/>
        </w:rPr>
        <w:t>跨机体巡检技能迁移与零样本泛化能力</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打破</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一机一模型、一任务一训练</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的传统模式，通过世界动作模型实现</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视频理解-未来想象-动作生成</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的端到端统一，使全系列无人机及空地协同设备具备通用智能：</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跨机型零样本迁移：在任意一款无人机上训练完成的核心巡检技能（包括高空全景巡航、目标自动识别、悬停精细拍摄、应急物资投放、喊话驱离），可直接迁移至其他系列产品，技能迁移准确率≥85%，模型适配时间从传统的3个月缩短至72小时以内，无需重新采集大规模训练数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空地跨机体协同技能迁移：支持无人机巡检发现的隐患点自动同步至地面机器狗/无人车，实现</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无人机高空定位-地面设备精准抵达-近距离精细核查</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的全流程自动化。例如无人机发现道路裂缝后，可直接生成地面机器狗的行走路径与拍摄指令，机器狗无需额外训练即可完成裂缝宽度测量与高清拍照任务。</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未见任务零样本执行：面对新增的巡检任务（如共享单车乱停放排查、河道漂浮物检测、建筑工地扬尘监测），模型仅需通过自然语言指令描述任务目标，即可自主生成巡检航线与动作策略，无需人工标注数据进行重新训练，首次执行任务准确率≥75%。</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3.</w:t>
      </w:r>
      <w:r>
        <w:rPr>
          <w:rFonts w:hint="eastAsia" w:ascii="仿宋_GB2312" w:hAnsi="仿宋_GB2312" w:eastAsia="仿宋_GB2312" w:cs="仿宋_GB2312"/>
          <w:b w:val="0"/>
          <w:bCs w:val="0"/>
          <w:sz w:val="32"/>
          <w:szCs w:val="32"/>
          <w14:ligatures w14:val="none"/>
        </w:rPr>
        <w:t>无人机巡检仿真验证闭环能力</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构建基于世界模型的</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虚拟南山区</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仿真平台，实现</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数据生成-模型训练-仿真验证-真机部署</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的全流程闭环，彻底解决真实环境数据采集难、风险高、成本贵的问题：</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高保真合成数据生成：可生成包含光照变化（早中晚、阴晴雨雾）、地形地貌（城市道路、山林、海岸线）、动态障碍物（车辆、行人、飞鸟）、灾害场景（山火、积水、塌方）等12类可变参数的无人机巡检合成数据，数据生成速度≥10万帧/小时，合成数据与真实数据的视觉相似度≥95%。</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高危场景大规模推演：重点覆盖南山区100+高风险、难采集的巡检场景，包括山火扑救（模拟不同规模山火蔓延，验证火情侦察与灭火弹投放精度）、桥梁高危检测（模拟桥梁裂缝、钢筋外露等病害，验证近距离飞行安全性）、极端天气巡检（模拟8级大风、暴雨、大雾，验证飞行稳定性与识别能力）、交通应急处置（模拟重大交通事故、道路阻断，验证应急响应速度）。</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模型快速迭代优化：支持在仿真环境中对无人机巡检模型进行7×24小时不间断训练与验证，模型迭代周期从传统的1个月缩短至1周以内。所有高危物理干预策略（如靠近高压线路检测、低空穿越障碍物）必须先在仿真环境中通过1000次以上安全验证，方可部署至真机执行。</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（二）研发适配无人机的纯视觉泛化具身3D基础模型</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突破对多线激光雷达等重型传感器的依赖，构建适配无人机轻量化搭载需求的纯视觉/单目具身3D基础模型。要求模型能够同时捕捉空间语义与3D几何学信息，具备高效的深度预测与实例级语义感知能力。使无人机在复杂交通路网与非结构化野外环境中，实现对道路坑洼、交通标识损坏、山体滑坡隐患、河道漂浮物等障碍物与目标物的高精度三维重建与空间交互理解，为无人机巡检世界模型提供极低延迟的底层视觉支撑。</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（三）突破无人机极端巡检场景的端到端高频控制与边缘算力适配</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针对交通防灾等高动态应急巡检场景，突破传统分层架构，研发端到端的无人机具身控制算法。以支撑特种无人机平台在极限空气动力学条件下的高速响应（如支持具备 极速巡航与应急干预能力的固定翼无人机）；并探索研发与之匹配的自研边缘算力芯片或底层算力架构优化方案，确保在复杂灾害及弱网环境下，无人机端侧世界模型与VLA巡检策略的稳定、高频实时推理。</w:t>
      </w: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rPr>
      </w:pPr>
      <w:r>
        <w:rPr>
          <w:rFonts w:hint="eastAsia" w:ascii="仿宋_GB2312" w:hAnsi="仿宋_GB2312" w:eastAsia="仿宋_GB2312" w:cs="仿宋_GB2312"/>
          <w:b w:val="0"/>
          <w:bCs w:val="0"/>
          <w:sz w:val="32"/>
          <w:szCs w:val="32"/>
          <w14:ligatures w14:val="none"/>
        </w:rPr>
        <w:br w:type="page"/>
      </w:r>
      <w:bookmarkStart w:id="2" w:name="_Toc1356360054"/>
      <w:r>
        <w:rPr>
          <w:rFonts w:hint="eastAsia" w:ascii="方正小标宋简体" w:hAnsi="方正小标宋简体" w:cs="方正小标宋简体"/>
          <w:lang w:val="en-US" w:eastAsia="zh-CN"/>
        </w:rPr>
        <w:t>2</w:t>
      </w:r>
      <w:r>
        <w:rPr>
          <w:rFonts w:hint="eastAsia" w:ascii="方正小标宋简体" w:hAnsi="方正小标宋简体" w:eastAsia="方正小标宋简体" w:cs="方正小标宋简体"/>
        </w:rPr>
        <w:t>大模型与多智能体融合的应付结算端到端智能处理场景</w:t>
      </w:r>
      <w:bookmarkEnd w:id="2"/>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rPr>
      </w:pPr>
    </w:p>
    <w:p>
      <w:pPr>
        <w:ind w:firstLine="640"/>
        <w:jc w:val="left"/>
        <w:rPr>
          <w:rFonts w:hint="eastAsia" w:ascii="黑体" w:hAnsi="黑体" w:eastAsia="黑体" w:cstheme="minorBidi"/>
          <w:b w:val="0"/>
          <w:bCs w:val="0"/>
          <w:sz w:val="32"/>
          <w:lang w:val="en-US" w:eastAsia="en-US" w:bidi="ar-SA"/>
          <w14:ligatures w14:val="none"/>
        </w:rPr>
      </w:pPr>
      <w:r>
        <w:rPr>
          <w:rFonts w:hint="eastAsia" w:ascii="黑体" w:hAnsi="黑体" w:eastAsia="黑体" w:cstheme="minorBidi"/>
          <w:b w:val="0"/>
          <w:bCs w:val="0"/>
          <w:sz w:val="32"/>
          <w:lang w:val="en-US" w:eastAsia="en-US" w:bidi="ar-SA"/>
          <w14:ligatures w14:val="none"/>
        </w:rPr>
        <w:t>一、场景现状描述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大型全球化物流企业的财务共享中心承担着集团全球业务的财务结算处理职能，覆盖</w:t>
      </w:r>
      <w:r>
        <w:rPr>
          <w:rFonts w:hint="eastAsia" w:ascii="仿宋_GB2312" w:hAnsi="仿宋_GB2312" w:eastAsia="仿宋_GB2312" w:cs="仿宋_GB2312"/>
          <w:b w:val="0"/>
          <w:bCs w:val="0"/>
          <w:sz w:val="32"/>
          <w:szCs w:val="32"/>
          <w:lang w:eastAsia="zh-CN"/>
        </w:rPr>
        <w:t>海内外</w:t>
      </w:r>
      <w:r>
        <w:rPr>
          <w:rFonts w:hint="eastAsia" w:ascii="仿宋_GB2312" w:hAnsi="仿宋_GB2312" w:eastAsia="仿宋_GB2312" w:cs="仿宋_GB2312"/>
          <w:b w:val="0"/>
          <w:bCs w:val="0"/>
          <w:sz w:val="32"/>
          <w:szCs w:val="32"/>
        </w:rPr>
        <w:t>业务板块，日均处理海量应付结算单据，业务</w:t>
      </w:r>
      <w:r>
        <w:rPr>
          <w:rFonts w:hint="eastAsia" w:ascii="仿宋_GB2312" w:hAnsi="仿宋_GB2312" w:eastAsia="仿宋_GB2312" w:cs="仿宋_GB2312"/>
          <w:b w:val="0"/>
          <w:bCs w:val="0"/>
          <w:sz w:val="32"/>
          <w:szCs w:val="32"/>
          <w:lang w:val="en-US" w:eastAsia="zh-CN"/>
        </w:rPr>
        <w:t>前端</w:t>
      </w:r>
      <w:r>
        <w:rPr>
          <w:rFonts w:hint="eastAsia" w:ascii="仿宋_GB2312" w:hAnsi="仿宋_GB2312" w:eastAsia="仿宋_GB2312" w:cs="仿宋_GB2312"/>
          <w:b w:val="0"/>
          <w:bCs w:val="0"/>
          <w:sz w:val="32"/>
          <w:szCs w:val="32"/>
        </w:rPr>
        <w:t>涉及合同录入、提单填写、附件审核、单据审批、风控校验等端到端全流程。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作为全球化物流企业的财务中枢，工作内容呈现高度复杂性：从业务覆盖范围来说，涉及国内及数十海外国家和地区的跨境结算业务；从单证类型来说，涵盖多语种形式发票、合同、</w:t>
      </w:r>
      <w:r>
        <w:rPr>
          <w:rFonts w:hint="eastAsia" w:ascii="仿宋_GB2312" w:hAnsi="仿宋_GB2312" w:eastAsia="仿宋_GB2312" w:cs="仿宋_GB2312"/>
          <w:b w:val="0"/>
          <w:bCs w:val="0"/>
          <w:sz w:val="32"/>
          <w:szCs w:val="32"/>
          <w:lang w:val="en-US" w:eastAsia="zh-CN"/>
        </w:rPr>
        <w:t>对账单</w:t>
      </w:r>
      <w:r>
        <w:rPr>
          <w:rFonts w:hint="eastAsia" w:ascii="仿宋_GB2312" w:hAnsi="仿宋_GB2312" w:eastAsia="仿宋_GB2312" w:cs="仿宋_GB2312"/>
          <w:b w:val="0"/>
          <w:bCs w:val="0"/>
          <w:sz w:val="32"/>
          <w:szCs w:val="32"/>
        </w:rPr>
        <w:t>、银行回单等数十类非标单据；从语言环境来说，日常处理涉及中文、英文、泰文、日文、韩文、阿拉伯文等</w:t>
      </w:r>
      <w:r>
        <w:rPr>
          <w:rFonts w:hint="eastAsia" w:ascii="仿宋_GB2312" w:hAnsi="仿宋_GB2312" w:eastAsia="仿宋_GB2312" w:cs="仿宋_GB2312"/>
          <w:b w:val="0"/>
          <w:bCs w:val="0"/>
          <w:sz w:val="32"/>
          <w:szCs w:val="32"/>
          <w:lang w:val="en-US" w:eastAsia="zh-CN"/>
        </w:rPr>
        <w:t>多</w:t>
      </w:r>
      <w:r>
        <w:rPr>
          <w:rFonts w:hint="eastAsia" w:ascii="仿宋_GB2312" w:hAnsi="仿宋_GB2312" w:eastAsia="仿宋_GB2312" w:cs="仿宋_GB2312"/>
          <w:b w:val="0"/>
          <w:bCs w:val="0"/>
          <w:sz w:val="32"/>
          <w:szCs w:val="32"/>
        </w:rPr>
        <w:t>种语言的票据和合同文本。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当前，财务共享中心在端到端结算流程中呈现以下特点：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Style w:val="13"/>
          <w:rFonts w:hint="eastAsia" w:ascii="仿宋_GB2312" w:hAnsi="仿宋_GB2312" w:eastAsia="仿宋_GB2312" w:cs="仿宋_GB2312"/>
          <w:b w:val="0"/>
          <w:bCs w:val="0"/>
          <w:i w:val="0"/>
          <w:iCs w:val="0"/>
          <w:caps w:val="0"/>
          <w:spacing w:val="0"/>
          <w:sz w:val="32"/>
          <w:szCs w:val="32"/>
          <w:lang w:val="en-US" w:eastAsia="zh-CN"/>
        </w:rPr>
        <w:t>1.</w:t>
      </w:r>
      <w:r>
        <w:rPr>
          <w:rStyle w:val="13"/>
          <w:rFonts w:hint="eastAsia" w:ascii="仿宋_GB2312" w:hAnsi="仿宋_GB2312" w:eastAsia="仿宋_GB2312" w:cs="仿宋_GB2312"/>
          <w:b w:val="0"/>
          <w:bCs w:val="0"/>
          <w:i w:val="0"/>
          <w:iCs w:val="0"/>
          <w:caps w:val="0"/>
          <w:spacing w:val="0"/>
          <w:sz w:val="32"/>
          <w:szCs w:val="32"/>
        </w:rPr>
        <w:t>流程链路长</w:t>
      </w:r>
      <w:r>
        <w:rPr>
          <w:rFonts w:hint="eastAsia" w:ascii="仿宋_GB2312" w:hAnsi="仿宋_GB2312" w:eastAsia="仿宋_GB2312" w:cs="仿宋_GB2312"/>
          <w:b w:val="0"/>
          <w:bCs w:val="0"/>
          <w:i w:val="0"/>
          <w:iCs w:val="0"/>
          <w:caps w:val="0"/>
          <w:spacing w:val="0"/>
          <w:sz w:val="32"/>
          <w:szCs w:val="32"/>
        </w:rPr>
        <w:t>：一笔应付结算业务从合同信息采集、提单填写、附件上传、共享审单到最终付款确认，跨越多个系统、多个环节、多个角色，信息在流转过程中存在断点和重复劳动。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Style w:val="13"/>
          <w:rFonts w:hint="eastAsia" w:ascii="仿宋_GB2312" w:hAnsi="仿宋_GB2312" w:eastAsia="仿宋_GB2312" w:cs="仿宋_GB2312"/>
          <w:b w:val="0"/>
          <w:bCs w:val="0"/>
          <w:i w:val="0"/>
          <w:iCs w:val="0"/>
          <w:caps w:val="0"/>
          <w:spacing w:val="0"/>
          <w:sz w:val="32"/>
          <w:szCs w:val="32"/>
          <w:lang w:val="en-US" w:eastAsia="zh-CN"/>
        </w:rPr>
        <w:t>2.</w:t>
      </w:r>
      <w:r>
        <w:rPr>
          <w:rStyle w:val="13"/>
          <w:rFonts w:hint="eastAsia" w:ascii="仿宋_GB2312" w:hAnsi="仿宋_GB2312" w:eastAsia="仿宋_GB2312" w:cs="仿宋_GB2312"/>
          <w:b w:val="0"/>
          <w:bCs w:val="0"/>
          <w:i w:val="0"/>
          <w:iCs w:val="0"/>
          <w:caps w:val="0"/>
          <w:spacing w:val="0"/>
          <w:sz w:val="32"/>
          <w:szCs w:val="32"/>
        </w:rPr>
        <w:t>单证形态多样</w:t>
      </w:r>
      <w:r>
        <w:rPr>
          <w:rFonts w:hint="eastAsia" w:ascii="仿宋_GB2312" w:hAnsi="仿宋_GB2312" w:eastAsia="仿宋_GB2312" w:cs="仿宋_GB2312"/>
          <w:b w:val="0"/>
          <w:bCs w:val="0"/>
          <w:i w:val="0"/>
          <w:iCs w:val="0"/>
          <w:caps w:val="0"/>
          <w:spacing w:val="0"/>
          <w:sz w:val="32"/>
          <w:szCs w:val="32"/>
        </w:rPr>
        <w:t>：跨境物流业务中各国发票格式、语言、税务规则差异巨大，同一业务类型在不同国家的附件要求和审核标准截然不同，目前主要依赖人工经验判断。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Style w:val="13"/>
          <w:rFonts w:hint="eastAsia" w:ascii="仿宋_GB2312" w:hAnsi="仿宋_GB2312" w:eastAsia="仿宋_GB2312" w:cs="仿宋_GB2312"/>
          <w:b w:val="0"/>
          <w:bCs w:val="0"/>
          <w:i w:val="0"/>
          <w:iCs w:val="0"/>
          <w:caps w:val="0"/>
          <w:spacing w:val="0"/>
          <w:sz w:val="32"/>
          <w:szCs w:val="32"/>
          <w:lang w:val="en-US" w:eastAsia="zh-CN"/>
        </w:rPr>
        <w:t>3.</w:t>
      </w:r>
      <w:r>
        <w:rPr>
          <w:rStyle w:val="13"/>
          <w:rFonts w:hint="eastAsia" w:ascii="仿宋_GB2312" w:hAnsi="仿宋_GB2312" w:eastAsia="仿宋_GB2312" w:cs="仿宋_GB2312"/>
          <w:b w:val="0"/>
          <w:bCs w:val="0"/>
          <w:i w:val="0"/>
          <w:iCs w:val="0"/>
          <w:caps w:val="0"/>
          <w:spacing w:val="0"/>
          <w:sz w:val="32"/>
          <w:szCs w:val="32"/>
        </w:rPr>
        <w:t>审核规则体系庞杂</w:t>
      </w:r>
      <w:r>
        <w:rPr>
          <w:rFonts w:hint="eastAsia" w:ascii="仿宋_GB2312" w:hAnsi="仿宋_GB2312" w:eastAsia="仿宋_GB2312" w:cs="仿宋_GB2312"/>
          <w:b w:val="0"/>
          <w:bCs w:val="0"/>
          <w:i w:val="0"/>
          <w:iCs w:val="0"/>
          <w:caps w:val="0"/>
          <w:spacing w:val="0"/>
          <w:sz w:val="32"/>
          <w:szCs w:val="32"/>
        </w:rPr>
        <w:t>：共享审单环节涉及数百条SOP审核规则，规则以线下文档形式存在，覆盖不同国家、不同业务类型。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Style w:val="13"/>
          <w:rFonts w:hint="eastAsia" w:ascii="仿宋_GB2312" w:hAnsi="仿宋_GB2312" w:eastAsia="仿宋_GB2312" w:cs="仿宋_GB2312"/>
          <w:b w:val="0"/>
          <w:bCs w:val="0"/>
          <w:i w:val="0"/>
          <w:iCs w:val="0"/>
          <w:caps w:val="0"/>
          <w:spacing w:val="0"/>
          <w:sz w:val="32"/>
          <w:szCs w:val="32"/>
          <w:lang w:val="en-US" w:eastAsia="zh-CN"/>
        </w:rPr>
        <w:t>4.</w:t>
      </w:r>
      <w:r>
        <w:rPr>
          <w:rStyle w:val="13"/>
          <w:rFonts w:hint="eastAsia" w:ascii="仿宋_GB2312" w:hAnsi="仿宋_GB2312" w:eastAsia="仿宋_GB2312" w:cs="仿宋_GB2312"/>
          <w:b w:val="0"/>
          <w:bCs w:val="0"/>
          <w:i w:val="0"/>
          <w:iCs w:val="0"/>
          <w:caps w:val="0"/>
          <w:spacing w:val="0"/>
          <w:sz w:val="32"/>
          <w:szCs w:val="32"/>
        </w:rPr>
        <w:t>非标合同种类繁多</w:t>
      </w:r>
      <w:r>
        <w:rPr>
          <w:rFonts w:hint="eastAsia" w:ascii="仿宋_GB2312" w:hAnsi="仿宋_GB2312" w:eastAsia="仿宋_GB2312" w:cs="仿宋_GB2312"/>
          <w:b w:val="0"/>
          <w:bCs w:val="0"/>
          <w:i w:val="0"/>
          <w:iCs w:val="0"/>
          <w:caps w:val="0"/>
          <w:spacing w:val="0"/>
          <w:sz w:val="32"/>
          <w:szCs w:val="32"/>
        </w:rPr>
        <w:t>：物业、租赁、运输等十余类业务场景的合同格式各异、篇幅长短不一，关键结算字段散落在合同各处。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微软雅黑" w:hAnsi="微软雅黑" w:eastAsia="微软雅黑" w:cs="微软雅黑"/>
          <w:b w:val="0"/>
          <w:bCs w:val="0"/>
          <w:sz w:val="32"/>
          <w:szCs w:val="32"/>
        </w:rPr>
      </w:pPr>
      <w:r>
        <w:rPr>
          <w:rFonts w:hint="eastAsia" w:ascii="仿宋_GB2312" w:hAnsi="仿宋_GB2312" w:eastAsia="仿宋_GB2312" w:cs="仿宋_GB2312"/>
          <w:b w:val="0"/>
          <w:bCs w:val="0"/>
          <w:sz w:val="32"/>
          <w:szCs w:val="32"/>
        </w:rPr>
        <w:t>目前，部分环节已引入基础OCR和规则引擎技术，但面对多语种、多版式、长文本、非标准化的复杂物流跨境结算场景，现有技术手段的识别准确率和智能化程度远不能满足业务需求，亟需依托多模态大模型、小语种自然语言处理等前沿AI技术，构建覆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合同信息采集—智能提单—附件标准化—AI审单—风控校验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全链路的智能化处理能力，推动物流企业财务结算从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人工驱动、经验依赖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AI驱动、数据赋能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全面跃升。</w:t>
      </w:r>
    </w:p>
    <w:p>
      <w:pPr>
        <w:ind w:firstLine="640"/>
        <w:jc w:val="left"/>
        <w:rPr>
          <w:rFonts w:hint="eastAsia" w:ascii="黑体" w:hAnsi="黑体" w:eastAsia="黑体" w:cstheme="minorBidi"/>
          <w:b w:val="0"/>
          <w:bCs w:val="0"/>
          <w:sz w:val="32"/>
          <w:lang w:val="en-US" w:eastAsia="en-US" w:bidi="ar-SA"/>
          <w14:ligatures w14:val="none"/>
        </w:rPr>
      </w:pPr>
      <w:r>
        <w:rPr>
          <w:rFonts w:hint="eastAsia" w:ascii="黑体" w:hAnsi="黑体" w:eastAsia="黑体" w:cstheme="minorBidi"/>
          <w:b w:val="0"/>
          <w:bCs w:val="0"/>
          <w:sz w:val="32"/>
          <w:lang w:val="en-US" w:eastAsia="en-US" w:bidi="ar-SA"/>
          <w14:ligatures w14:val="none"/>
        </w:rPr>
        <w:t>二、场景困境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基于上述现状，现有处理方式在支撑高效、精准、智能化的跨境物流结算方面，面临以下核心瓶颈：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多语种单证识别精度不足，跨境场景泛化能力薄弱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传统OCR模型主要针对中英文优化，对泰文、越南文、日文、阿拉伯文等小语种字符、特殊排版及混合语言场景的识别准确率低。加之各国发票版式千差万别，模板化识别方案无法有效覆盖，仍需大量人工逐字核对与翻译，严重制约处理效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附件信息提取与结构化能力薄弱，缺乏统一管理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有系统无法对多语种、多格式的跨境应付附件进行智能提取、翻译和结构化处理。跨境形式发票缺乏统一的发票池进行集中管理与防重校验，同一供应商在不同时间、不同渠道提交的重复发票难以自动识别，存在重复付款风险。附件信息与提单字段之间缺乏智能映射，无法实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上传即提取、提取即填单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的自动化闭环。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审核规则线下化，智能审核能力缺失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数百条SOP审核规则以线下文档形式管理，审核人员需凭经验逐条比对，标准一致性和执行效率难以保障。不同国家、不同物流业务类型的审核要点差异大，人员学习成本高、流动风险大，且缺乏AI辅助审核能力，大量可标准化处理的单据仍依赖人工逐一审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非标长文本合同处理效率低，</w:t>
      </w:r>
      <w:r>
        <w:rPr>
          <w:rFonts w:hint="eastAsia" w:ascii="仿宋_GB2312" w:hAnsi="仿宋_GB2312" w:eastAsia="仿宋_GB2312" w:cs="仿宋_GB2312"/>
          <w:b w:val="0"/>
          <w:bCs w:val="0"/>
          <w:sz w:val="32"/>
          <w:szCs w:val="32"/>
          <w:lang w:val="en-US" w:eastAsia="zh-CN"/>
        </w:rPr>
        <w:t>部分关键</w:t>
      </w:r>
      <w:r>
        <w:rPr>
          <w:rFonts w:hint="eastAsia" w:ascii="仿宋_GB2312" w:hAnsi="仿宋_GB2312" w:eastAsia="仿宋_GB2312" w:cs="仿宋_GB2312"/>
          <w:b w:val="0"/>
          <w:bCs w:val="0"/>
          <w:sz w:val="32"/>
          <w:szCs w:val="32"/>
        </w:rPr>
        <w:t>字段提取依赖人工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流企业涉及物业、租赁、运输等十余类合同，内容冗长且格式各异，关键结算字段（如合同金额、付款条件、服务期限、结算方式等）散布于各章节段落，人工逐页查找、手工录入耗时费力。传统文本处理技术难以应对长文本的跨段落语义关联，分段处理易导致上下文割裂与关键信息遗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端到端流程割裂，缺乏全链路智能协同与风控贯通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微软雅黑" w:hAnsi="微软雅黑" w:eastAsia="微软雅黑" w:cs="微软雅黑"/>
          <w:b w:val="0"/>
          <w:bCs w:val="0"/>
          <w:sz w:val="32"/>
          <w:szCs w:val="32"/>
        </w:rPr>
      </w:pPr>
      <w:r>
        <w:rPr>
          <w:rFonts w:hint="eastAsia" w:ascii="仿宋_GB2312" w:hAnsi="仿宋_GB2312" w:eastAsia="仿宋_GB2312" w:cs="仿宋_GB2312"/>
          <w:b w:val="0"/>
          <w:bCs w:val="0"/>
          <w:sz w:val="32"/>
          <w:szCs w:val="32"/>
        </w:rPr>
        <w:t>合同信息采集、智能提单、附件处理、审单校验等环节各自为战，数据和能力未实现贯通。缺乏贯穿全流程的智能校验与风险预警机制，无法实现跨环节的逻辑一致性自动校验（如合同金额与发票金额匹配、发票防重、供应商信息一致性等），错误依赖后端人工发现，风险管控存在盲区。</w:t>
      </w:r>
    </w:p>
    <w:p>
      <w:pPr>
        <w:ind w:firstLine="640"/>
        <w:jc w:val="left"/>
        <w:rPr>
          <w:rFonts w:hint="eastAsia" w:ascii="黑体" w:hAnsi="黑体" w:eastAsia="黑体" w:cstheme="minorBidi"/>
          <w:b w:val="0"/>
          <w:bCs w:val="0"/>
          <w:sz w:val="32"/>
          <w:lang w:val="en-US" w:eastAsia="en-US" w:bidi="ar-SA"/>
          <w14:ligatures w14:val="none"/>
        </w:rPr>
      </w:pPr>
      <w:r>
        <w:rPr>
          <w:rFonts w:hint="eastAsia" w:ascii="黑体" w:hAnsi="黑体" w:eastAsia="黑体" w:cstheme="minorBidi"/>
          <w:b w:val="0"/>
          <w:bCs w:val="0"/>
          <w:sz w:val="32"/>
          <w:lang w:val="en-US" w:eastAsia="en-US" w:bidi="ar-SA"/>
          <w14:ligatures w14:val="none"/>
        </w:rPr>
        <w:t>三、场景示范需求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为破解跨境物流财务结算端到端流程的效率与质量瓶颈，构建基于多模态大模型和多智能体工作流的全链路智能处理体系，实现从合同信息采集到最终审核确认的端到端智能化升级。具体需求如下：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1.多语种附件智能识别与结构化处理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基于多模态大模型，构建覆盖中文、英文、泰文、日文、韩文、阿拉伯文等多种语言的跨境物流单证智能识别能力，支持对形式发票、费用清单、运输单据等高频应付附件进行高精度识别与信息提取，兼容多国发票版式差异、手写体、盖章遮挡、低分辨率扫描件等复杂情况，关键字段提取准确率≥95%。</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分类管理线下表单附件，对应付审核附件实现多语种智能处理（信息提取及翻译）、信息结构化与可视化比对。以公司/国家及业务类型维度，对已确认的附件所约束的最小必要字段，进行准确提取与结构化存储，为后续提单填写和审核校验提供高质量的结构化数据支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2.跨境形式发票</w:t>
      </w:r>
      <w:r>
        <w:rPr>
          <w:rFonts w:hint="eastAsia" w:ascii="仿宋_GB2312" w:hAnsi="仿宋_GB2312" w:eastAsia="仿宋_GB2312" w:cs="仿宋_GB2312"/>
          <w:b w:val="0"/>
          <w:bCs w:val="0"/>
          <w:sz w:val="32"/>
          <w:szCs w:val="32"/>
          <w:lang w:val="en-US" w:eastAsia="zh-CN"/>
        </w:rPr>
        <w:t>信息数据库</w:t>
      </w:r>
      <w:r>
        <w:rPr>
          <w:rFonts w:hint="eastAsia" w:ascii="仿宋_GB2312" w:hAnsi="仿宋_GB2312" w:eastAsia="仿宋_GB2312" w:cs="仿宋_GB2312"/>
          <w:b w:val="0"/>
          <w:bCs w:val="0"/>
          <w:sz w:val="32"/>
          <w:szCs w:val="32"/>
        </w:rPr>
        <w:t>建设与防重校验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构建跨境形式发票信息数据库，整合多语言发票关键要素，满足跨境物流业务发票池索引、发票数据的集中管理与复用。支持多维度发票数据索引管理，实现发票数据的快速检索、复用与全生命周期追溯。在提单和审单环节，通过多维度特征检索（发票号、金额、开票日期、供应商信息等）实现精准防重校验及多语种翻译，自动识别重复报销风险并实时预警，有效防控重复付款风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3.非标长文本合同智能信息采集与自动填单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基于多模态大语言模型构建定制化合同信息提取体系，适配物流企业多业务场景合同，实现从合同文本解析到业务系统对接的全流程智能化。模型需具备长文本处理能力，能够一次性处理完整合同文档，保障跨段落条款关联信息的完整捕获，避免因分段处理导致的上下文割裂与语义缺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将合同中包含且业务系统需手工填写的所有字段（如合同金额、付款条件、服务期限、结算方式、甲乙方信息等）进行全量识别，并自动回写至业务系统合同提单页面，实现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上传合同即自动填单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。输出结果需采用结构化格式，严格对齐业务系统字段要求，无需二次格式转换。同时建立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提取-校验-反馈-优化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的闭环机制，收集人工审核反馈数据，持续迭代优化提取准确率。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4.SOP规则智能化与AI</w:t>
      </w:r>
      <w:r>
        <w:rPr>
          <w:rFonts w:hint="eastAsia" w:ascii="仿宋_GB2312" w:hAnsi="仿宋_GB2312" w:eastAsia="仿宋_GB2312" w:cs="仿宋_GB2312"/>
          <w:b w:val="0"/>
          <w:bCs w:val="0"/>
          <w:sz w:val="32"/>
          <w:szCs w:val="32"/>
          <w:lang w:val="en-US" w:eastAsia="zh-CN"/>
        </w:rPr>
        <w:t>智能</w:t>
      </w:r>
      <w:r>
        <w:rPr>
          <w:rFonts w:hint="eastAsia" w:ascii="仿宋_GB2312" w:hAnsi="仿宋_GB2312" w:eastAsia="仿宋_GB2312" w:cs="仿宋_GB2312"/>
          <w:b w:val="0"/>
          <w:bCs w:val="0"/>
          <w:sz w:val="32"/>
          <w:szCs w:val="32"/>
        </w:rPr>
        <w:t>审单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现跨境物流业务SOP审核规则的线上化与智能化转换，搭建支持线上增删改查的SOP管理平台，既能与AI充分交互，又能满足人工使用要求。将AI能力接入共享审单环节，嵌入智审页面，实现AI辅助审核与AI独立审核的分级应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逐步扩大AI独立审单覆盖范围，并同步提升对应场景的AI审核通过率。逐步推进非自动化审核单据的AI审单能力，持续提升审核效率与质量。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5.智能提单与字段自动填充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应用AI及大数据手段，辅助提单人进行智能填单。当提单人上传附件后，系统自动完成附件信息提取，根据附件信息与历史数据智能推荐并自动填充单据的关键字段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覆盖</w:t>
      </w:r>
      <w:r>
        <w:rPr>
          <w:rFonts w:hint="eastAsia" w:ascii="仿宋_GB2312" w:hAnsi="仿宋_GB2312" w:eastAsia="仿宋_GB2312" w:cs="仿宋_GB2312"/>
          <w:b w:val="0"/>
          <w:bCs w:val="0"/>
          <w:sz w:val="32"/>
          <w:szCs w:val="32"/>
          <w:lang w:val="en-US" w:eastAsia="zh-CN"/>
        </w:rPr>
        <w:t>全网物流</w:t>
      </w:r>
      <w:r>
        <w:rPr>
          <w:rFonts w:hint="eastAsia" w:ascii="仿宋_GB2312" w:hAnsi="仿宋_GB2312" w:eastAsia="仿宋_GB2312" w:cs="仿宋_GB2312"/>
          <w:b w:val="0"/>
          <w:bCs w:val="0"/>
          <w:sz w:val="32"/>
          <w:szCs w:val="32"/>
        </w:rPr>
        <w:t>业务场景，减少人工录入，降低填写错误率，实现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上传附件即智能填单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6.端到端智能风控与逻辑校验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构建贯穿</w:t>
      </w:r>
      <w:r>
        <w:rPr>
          <w:rFonts w:hint="eastAsia" w:ascii="仿宋_GB2312" w:hAnsi="仿宋_GB2312" w:eastAsia="仿宋_GB2312" w:cs="仿宋_GB2312"/>
          <w:b w:val="0"/>
          <w:bCs w:val="0"/>
          <w:sz w:val="32"/>
          <w:szCs w:val="32"/>
          <w:lang w:val="en-US" w:eastAsia="zh-CN"/>
        </w:rPr>
        <w:t>物流企业</w:t>
      </w:r>
      <w:r>
        <w:rPr>
          <w:rFonts w:hint="eastAsia" w:ascii="仿宋_GB2312" w:hAnsi="仿宋_GB2312" w:eastAsia="仿宋_GB2312" w:cs="仿宋_GB2312"/>
          <w:b w:val="0"/>
          <w:bCs w:val="0"/>
          <w:sz w:val="32"/>
          <w:szCs w:val="32"/>
        </w:rPr>
        <w:t>财务结算全流程的智能校验与风控预警体系，自动校验单据内部及跨环节逻辑一致性（如合同金额与发票金额匹配、发票防重复、供应商信息一致性、付款条件合规性、附件完整性等），对异常项实时标红预警，辅助审核人员快速定位风险点。结合结算历史数据与业务规则，建立风险识别模型，对高风险单据进行智能拦截与预警，实现风控关口前移，提升端到端结算质量与合规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7.系统自学习与持续迭代优化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支持通过少量样本快速适配新增国家、新增语种、新增单证类型和新增</w:t>
      </w:r>
      <w:r>
        <w:rPr>
          <w:rFonts w:hint="eastAsia" w:ascii="仿宋_GB2312" w:hAnsi="仿宋_GB2312" w:eastAsia="仿宋_GB2312" w:cs="仿宋_GB2312"/>
          <w:b w:val="0"/>
          <w:bCs w:val="0"/>
          <w:sz w:val="32"/>
          <w:szCs w:val="32"/>
          <w:lang w:val="en-US" w:eastAsia="zh-CN"/>
        </w:rPr>
        <w:t>物流</w:t>
      </w:r>
      <w:r>
        <w:rPr>
          <w:rFonts w:hint="eastAsia" w:ascii="仿宋_GB2312" w:hAnsi="仿宋_GB2312" w:eastAsia="仿宋_GB2312" w:cs="仿宋_GB2312"/>
          <w:b w:val="0"/>
          <w:bCs w:val="0"/>
          <w:sz w:val="32"/>
          <w:szCs w:val="32"/>
        </w:rPr>
        <w:t>业务场景，模型可在线迭代优化，适应业务持续变化。建立模型效果监控与反馈闭环机制，持续跟踪各语种、各场景的识别准确率、审核通过率等核心指标，驱动模型能力的持续提升，形成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应用-反馈-优化-升级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的良性循环。</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小标宋简体" w:hAnsi="方正小标宋简体" w:eastAsia="方正小标宋简体" w:cs="方正小标宋简体"/>
          <w:b w:val="0"/>
          <w:bCs/>
          <w:szCs w:val="44"/>
        </w:rPr>
      </w:pPr>
      <w:r>
        <w:rPr>
          <w:rFonts w:hint="eastAsia" w:ascii="仿宋_GB2312" w:hAnsi="仿宋_GB2312" w:eastAsia="仿宋_GB2312" w:cs="仿宋_GB2312"/>
          <w:b w:val="0"/>
          <w:bCs w:val="0"/>
          <w:sz w:val="32"/>
          <w:szCs w:val="32"/>
        </w:rPr>
        <w:br w:type="page"/>
      </w:r>
      <w:bookmarkStart w:id="3" w:name="_Toc3990079"/>
      <w:r>
        <w:rPr>
          <w:rFonts w:hint="eastAsia" w:ascii="方正小标宋简体" w:hAnsi="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基于AI驱动建模的SMT全流程智造场景</w:t>
      </w:r>
      <w:bookmarkEnd w:id="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eastAsia" w:ascii="方正小标宋简体" w:hAnsi="方正小标宋简体" w:eastAsia="方正小标宋简体" w:cs="方正小标宋简体"/>
          <w:b w:val="0"/>
          <w:bCs/>
          <w:sz w:val="44"/>
          <w:szCs w:val="44"/>
        </w:rPr>
      </w:pPr>
    </w:p>
    <w:p>
      <w:pPr>
        <w:ind w:firstLine="640"/>
        <w:jc w:val="left"/>
        <w:rPr>
          <w:rFonts w:hint="eastAsia" w:ascii="黑体" w:hAnsi="黑体" w:eastAsia="黑体" w:cstheme="minorBidi"/>
          <w:b w:val="0"/>
          <w:bCs w:val="0"/>
          <w:sz w:val="32"/>
          <w:lang w:val="en-US" w:eastAsia="en-US" w:bidi="ar-SA"/>
          <w14:ligatures w14:val="none"/>
        </w:rPr>
      </w:pPr>
      <w:bookmarkStart w:id="4" w:name="heading_0"/>
      <w:r>
        <w:rPr>
          <w:rFonts w:hint="eastAsia" w:ascii="黑体" w:hAnsi="黑体" w:eastAsia="黑体" w:cstheme="minorBidi"/>
          <w:b w:val="0"/>
          <w:bCs w:val="0"/>
          <w:sz w:val="32"/>
          <w:lang w:val="en-US" w:eastAsia="en-US" w:bidi="ar-SA"/>
          <w14:ligatures w14:val="none"/>
        </w:rPr>
        <w:t>一、场景现状描述</w:t>
      </w:r>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表面贴装技术（SMT）是消费电子、新能源汽车、通信设备等产业中最核心的电子制造环节之一。随着全球消费电子产品更新迭代加快、产品小型化和高密度化趋势加剧，SMT产线正从“自动化生产”阶段向“智能化制造”阶段快速演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从行业整体看，当前SMT工厂已大规模部署贴片机、印刷机、回流焊、AOI、SPI等自动化设备，单线产值和节拍能力持续提升。但与此同时，行业也呈现出显著特征：一是设备品牌高度异构，不同厂商设备在通信协议、数据结构、控制逻辑上差异巨大；二是产线复杂度快速上升，工艺参数数量呈指数级增长，对精细化管理和实时优化提出更高要求；三是生产模式从大批量标准化向多品种、小批量、快速换线转变，传统依赖人工经验的管理方式已难以支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 w:hAnsi="仿宋" w:eastAsia="仿宋" w:cs="仿宋"/>
          <w:b w:val="0"/>
          <w:bCs/>
          <w:sz w:val="32"/>
          <w:szCs w:val="32"/>
        </w:rPr>
      </w:pPr>
      <w:r>
        <w:rPr>
          <w:rFonts w:hint="eastAsia" w:ascii="仿宋_GB2312" w:hAnsi="仿宋_GB2312" w:eastAsia="仿宋_GB2312" w:cs="仿宋_GB2312"/>
          <w:b w:val="0"/>
          <w:bCs/>
          <w:sz w:val="32"/>
          <w:szCs w:val="32"/>
        </w:rPr>
        <w:t>在实践中，大量SMT工厂虽已建设MES、QMS等系统，但系统之间割裂严重，设备数据、工艺数据、质量数据难以形成统一视图，生产运行仍以“事后分析、人工决策”为主，无法实现对质量风险、设备异常和效率瓶颈的提前预测与全局优化。这一现状在消费电子产业链中尤为突出，已成为制约制造效率提升和成本下降的关键瓶颈。</w:t>
      </w:r>
    </w:p>
    <w:p>
      <w:pPr>
        <w:ind w:firstLine="640"/>
        <w:jc w:val="left"/>
        <w:rPr>
          <w:rFonts w:hint="eastAsia" w:ascii="黑体" w:hAnsi="黑体" w:eastAsia="黑体" w:cstheme="minorBidi"/>
          <w:b w:val="0"/>
          <w:bCs w:val="0"/>
          <w:sz w:val="32"/>
          <w:lang w:val="en-US" w:eastAsia="en-US" w:bidi="ar-SA"/>
          <w14:ligatures w14:val="none"/>
        </w:rPr>
      </w:pPr>
      <w:bookmarkStart w:id="5" w:name="heading_1"/>
      <w:r>
        <w:rPr>
          <w:rFonts w:hint="eastAsia" w:ascii="黑体" w:hAnsi="黑体" w:eastAsia="黑体" w:cstheme="minorBidi"/>
          <w:b w:val="0"/>
          <w:bCs w:val="0"/>
          <w:sz w:val="32"/>
          <w:lang w:val="en-US" w:eastAsia="en-US" w:bidi="ar-SA"/>
          <w14:ligatures w14:val="none"/>
        </w:rPr>
        <w:t>二、传统技术困境</w:t>
      </w:r>
      <w:bookmarkEnd w:id="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多品牌设备异构，数据难以统一建模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典型SMT产线往往由多个国际及国内品牌设备混合构成，不同设备采用私有协议或非标准接口，数据采集依赖定制开发，维护成本高、扩展性差，难以支撑跨产线、跨工厂的统一建模与复制推广。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数据孤岛严重，缺乏全链路关联能力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设备运行数据、工艺参数、质量检测结果、物料信息分别沉淀在不同系统或本地设备中，缺乏统一的数据治理和语义关联机制，难以开展跨设备、跨工序的质量追溯与多变量关联分析。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依赖人工经验决策，优化响应滞后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当前SMT工厂在工艺调优、异常处理方面仍以工程师经验为主，问题往往在不良已产生或效率已下降后才被发现，难以实现事前预警和主动干预，质量和效率波动风险高。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缺乏产线级预测与仿真能力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传统系统侧重生产数据展示和事后分析，无法在虚拟环境中对产线运行进行仿真推演，难以对排产策略、参数组合和设备协同效果进行预测评估，制约精细化运营和智能决策能力提升。</w:t>
      </w:r>
    </w:p>
    <w:p>
      <w:pPr>
        <w:ind w:firstLine="640"/>
        <w:jc w:val="left"/>
        <w:rPr>
          <w:rFonts w:hint="eastAsia" w:ascii="黑体" w:hAnsi="黑体" w:eastAsia="黑体" w:cstheme="minorBidi"/>
          <w:b w:val="0"/>
          <w:bCs w:val="0"/>
          <w:sz w:val="32"/>
          <w:lang w:val="en-US" w:eastAsia="en-US" w:bidi="ar-SA"/>
          <w14:ligatures w14:val="none"/>
        </w:rPr>
      </w:pPr>
      <w:bookmarkStart w:id="6" w:name="heading_2"/>
      <w:r>
        <w:rPr>
          <w:rFonts w:hint="eastAsia" w:ascii="黑体" w:hAnsi="黑体" w:eastAsia="黑体" w:cstheme="minorBidi"/>
          <w:b w:val="0"/>
          <w:bCs w:val="0"/>
          <w:sz w:val="32"/>
          <w:lang w:val="en-US" w:eastAsia="en-US" w:bidi="ar-SA"/>
          <w14:ligatures w14:val="none"/>
        </w:rPr>
        <w:t>三、场景示范需求</w:t>
      </w:r>
      <w:bookmarkEnd w:id="6"/>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柔性排程与资源动态调配中枢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面对紧急插单、小批量多品种、物料齐套性波动等复杂场景，系统通过优化算法动态重构生产序列：合并同产品小订单减少换线、跨线体负载均衡分配、提前/推迟换线准备指令减少空闲、替代料工艺参数自动切换。实现从刚性计划向敏捷响应的转型，最小化总换线时间与订单影响。相比传统排产方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总换线次数减少15%</w:t>
      </w:r>
      <w:r>
        <w:rPr>
          <w:rFonts w:hint="eastAsia" w:ascii="仿宋_GB2312" w:hAnsi="仿宋_GB2312" w:eastAsia="仿宋_GB2312" w:cs="仿宋_GB2312"/>
          <w:b w:val="0"/>
          <w:bCs/>
          <w:sz w:val="32"/>
          <w:szCs w:val="32"/>
          <w:lang w:eastAsia="zh-CN"/>
        </w:rPr>
        <w:t>以上</w:t>
      </w:r>
      <w:r>
        <w:rPr>
          <w:rFonts w:hint="eastAsia" w:ascii="仿宋_GB2312" w:hAnsi="仿宋_GB2312" w:eastAsia="仿宋_GB2312" w:cs="仿宋_GB2312"/>
          <w:b w:val="0"/>
          <w:bCs/>
          <w:sz w:val="32"/>
          <w:szCs w:val="32"/>
        </w:rPr>
        <w:t>，加权拖期天数降低10%</w:t>
      </w:r>
      <w:r>
        <w:rPr>
          <w:rFonts w:hint="eastAsia" w:ascii="仿宋_GB2312" w:hAnsi="仿宋_GB2312" w:eastAsia="仿宋_GB2312" w:cs="仿宋_GB2312"/>
          <w:b w:val="0"/>
          <w:bCs/>
          <w:sz w:val="32"/>
          <w:szCs w:val="32"/>
          <w:lang w:eastAsia="zh-CN"/>
        </w:rPr>
        <w:t>以上</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闭环反馈的工艺自调优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基于实时过程数据，系统自动触发工艺参数微调——刮刀压力/速度补偿、吸嘴清洁提示、回流炉温区功率自适应调节、AOI检测阈值动态学习优化。形成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感知-分析-决策-执行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的闭环控制，将传统事后返修转变为事前预防与事中纠偏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误报率相对降低20%（若基线误报率10%</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则</w:t>
      </w:r>
      <w:r>
        <w:rPr>
          <w:rFonts w:hint="eastAsia" w:ascii="仿宋_GB2312" w:hAnsi="仿宋_GB2312" w:eastAsia="仿宋_GB2312" w:cs="仿宋_GB2312"/>
          <w:b w:val="0"/>
          <w:bCs/>
          <w:sz w:val="32"/>
          <w:szCs w:val="32"/>
          <w:lang w:eastAsia="zh-CN"/>
        </w:rPr>
        <w:t>整体</w:t>
      </w:r>
      <w:r>
        <w:rPr>
          <w:rFonts w:hint="eastAsia" w:ascii="仿宋_GB2312" w:hAnsi="仿宋_GB2312" w:eastAsia="仿宋_GB2312" w:cs="仿宋_GB2312"/>
          <w:b w:val="0"/>
          <w:bCs/>
          <w:sz w:val="32"/>
          <w:szCs w:val="32"/>
        </w:rPr>
        <w:t>降低2</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设备健康预测与自主恢复生态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基于振动、温度、真空值等多源传感器数据，构建设备故障预测模型，将突发故障转化为计划内维护。基于状态监测动态生成维护工单，在低峰期执行预防性保养，最大化设备可用率与生命周期价值。对于周期保养或报错频率超阈值，系统自动触发送修工单，包含部件ID、保养项目、推荐时间窗口。工单格式符合甲方维护系统要求。</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方正小标宋简体" w:eastAsia="方正小标宋简体" w:cs="方正小标宋简体"/>
          <w:bCs/>
          <w:kern w:val="44"/>
          <w:sz w:val="44"/>
          <w:szCs w:val="44"/>
          <w:lang w:val="en-US" w:eastAsia="zh-CN" w:bidi="ar"/>
        </w:rPr>
      </w:pPr>
      <w:r>
        <w:rPr>
          <w:rFonts w:hint="eastAsia" w:ascii="仿宋_GB2312" w:hAnsi="仿宋_GB2312" w:eastAsia="仿宋_GB2312" w:cs="仿宋_GB2312"/>
          <w:b w:val="0"/>
          <w:bCs/>
          <w:sz w:val="32"/>
          <w:szCs w:val="32"/>
        </w:rPr>
        <w:br w:type="page"/>
      </w:r>
      <w:bookmarkStart w:id="7" w:name="_Toc1935126949"/>
      <w:r>
        <w:rPr>
          <w:rFonts w:hint="eastAsia" w:ascii="方正小标宋简体" w:hAnsi="方正小标宋简体" w:eastAsia="方正小标宋简体" w:cs="方正小标宋简体"/>
          <w:bCs/>
          <w:kern w:val="44"/>
          <w:sz w:val="44"/>
          <w:szCs w:val="44"/>
          <w:lang w:val="en-US" w:eastAsia="zh-CN" w:bidi="ar"/>
        </w:rPr>
        <w:t>4扫地机器人高精度双目深度视觉感知</w:t>
      </w:r>
      <w:bookmarkEnd w:id="7"/>
      <w:r>
        <w:rPr>
          <w:rFonts w:hint="eastAsia" w:ascii="方正小标宋简体" w:hAnsi="方正小标宋简体" w:eastAsia="方正小标宋简体" w:cs="方正小标宋简体"/>
          <w:bCs/>
          <w:kern w:val="44"/>
          <w:sz w:val="44"/>
          <w:szCs w:val="44"/>
          <w:lang w:val="en-US" w:eastAsia="zh-CN" w:bidi="ar"/>
        </w:rPr>
        <w:t>场景</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_GBK" w:hAnsi="方正小标宋_GBK" w:eastAsia="方正小标宋_GBK" w:cs="方正小标宋_GBK"/>
          <w:kern w:val="2"/>
          <w:sz w:val="48"/>
          <w:szCs w:val="48"/>
          <w:lang w:val="en-US" w:eastAsia="zh-CN" w:bidi="ar-SA"/>
        </w:rPr>
      </w:pP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一、现状场景描述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当前高端智能家庭服务机器人正加速从单一功能清扫工具，向具备"全场景强感知、自主决策、高动态避障"的智能移动终端演进。双目深度视觉作为新一代高端清扫设备的核心感知手段，可实现立体避障与三维空间重建，让机器人像人一样"看懂"家庭环境——实时识别地面低矮障碍物、悬空复杂物体及多变地形，显著提升清扫覆盖率与安全性。</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二、传统技术困境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传统方案在实际落地中存在诸多瓶颈：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val="0"/>
          <w:kern w:val="2"/>
          <w:sz w:val="32"/>
          <w:szCs w:val="32"/>
          <w:lang w:val="en-US" w:eastAsia="zh-CN" w:bidi="ar-SA"/>
        </w:rPr>
        <w:t>感知精度不足：现有双目深度算法对家庭常见障碍物（如数据线、透明容器、暗色家具腿）的识别准确率偏低，漏检率高，导致机器人碰撞或卡困。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实时性差：视频流处理延迟高，机器人在快速移动中无法及时响应突发障碍，避障体验差。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场景适应弱：对光照变化、地板反光、地毯高度起伏等家庭复杂地面环境缺乏鲁棒的感知能力。</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三、场景示范需求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高可靠避障：实现对家庭低矮障碍物、透明物体、暗色表面等复杂目标的精准识别与实时避障。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动态地形感知：对地毯边缘、门槛高度变化、地面凹坑等地形进行实时三维建模，支持机器人的自主越障与脱困决策。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低光环境适应：在逆光、暗光、局部光照等典型家庭场景下保持稳定感知性能。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kern w:val="2"/>
          <w:sz w:val="32"/>
          <w:szCs w:val="32"/>
          <w:lang w:val="en-US" w:eastAsia="zh-CN" w:bidi="ar-SA"/>
        </w:rPr>
        <w:t>三维空间重建：基于双目视觉实时构建室内三维地图，支持智能分区、禁入区域设置等高级功能。</w:t>
      </w: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lang w:eastAsia="zh-CN"/>
        </w:rPr>
      </w:pPr>
      <w:r>
        <w:rPr>
          <w:rFonts w:hint="eastAsia" w:ascii="仿宋_GB2312" w:hAnsi="仿宋_GB2312" w:eastAsia="仿宋_GB2312" w:cs="仿宋_GB2312"/>
          <w:b w:val="0"/>
          <w:bCs/>
          <w:szCs w:val="32"/>
        </w:rPr>
        <w:br w:type="page"/>
      </w:r>
      <w:bookmarkStart w:id="8" w:name="_Toc608916476"/>
      <w:r>
        <w:rPr>
          <w:rFonts w:hint="eastAsia" w:ascii="方正小标宋简体" w:hAnsi="方正小标宋简体" w:cs="方正小标宋简体"/>
          <w:lang w:val="en-US" w:eastAsia="zh-CN"/>
        </w:rPr>
        <w:t>5</w:t>
      </w:r>
      <w:r>
        <w:rPr>
          <w:rFonts w:hint="eastAsia" w:ascii="方正小标宋简体" w:hAnsi="方正小标宋简体" w:eastAsia="方正小标宋简体" w:cs="方正小标宋简体"/>
          <w:lang w:eastAsia="zh-CN"/>
        </w:rPr>
        <w:t>面向机床CNC主轴热伸长问题的</w:t>
      </w:r>
      <w:r>
        <w:rPr>
          <w:rFonts w:hint="eastAsia" w:ascii="方正小标宋简体" w:hAnsi="方正小标宋简体" w:eastAsia="方正小标宋简体" w:cs="方正小标宋简体"/>
          <w:lang w:eastAsia="zh-CN"/>
        </w:rPr>
        <w:br w:type="textWrapping"/>
      </w:r>
      <w:r>
        <w:rPr>
          <w:rFonts w:hint="eastAsia" w:ascii="方正小标宋简体" w:hAnsi="方正小标宋简体" w:eastAsia="方正小标宋简体" w:cs="方正小标宋简体"/>
          <w:lang w:eastAsia="zh-CN"/>
        </w:rPr>
        <w:t>AI实时补偿场景</w:t>
      </w:r>
      <w:bookmarkEnd w:id="8"/>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简体" w:hAnsi="方正小标宋简体" w:eastAsia="方正小标宋简体" w:cs="方正小标宋简体"/>
          <w:sz w:val="44"/>
          <w:szCs w:val="44"/>
          <w:lang w:eastAsia="zh-CN"/>
        </w:rPr>
      </w:pP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一、场景现状描述</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行业背景与业务场景</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NC（计算机数控）机床是现代制造业中承担高精度、高效率加工任务的核心装备，广泛应用于航空航天、汽车零部件、模具制造、精密仪器等行业。随着零部件结构复杂度和加工精度要求持续提升，机床在长时间、高转速、高负载运行条件下的热稳定性，已成为影响加工质量一致性的关键因素。</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实际加工过程中，CNC主轴高速旋转会产生轴承摩擦热、电机发热和切削热，热量经主轴、刀柄、刀具及机床结构传导扩散，使主轴轴向产生热伸长。该伸长量通常为微米至几十微米量级，但在精密加工和超精密加工中会直接引起Z向刀位偏移，导致孔深、台阶高度、平面度和重复定位精度出现偏差。</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场景拟建设一套面向机床CNC主轴热伸长问题的AI实时补偿系统：通过采集主轴温度、环境温度、转速、功率、运行时间以及加工材料、刀具、冷却方式等多维工况参数，利用AI小模型实时预测主轴轴向热伸长量，并将预测值转换为Z向补偿量，降低热变形对加工精度的影响。</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主轴热伸长机理与典型特征</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渐进性：主轴由冷态进入热态需要经历温升过程，热伸长量随运行时间逐步累积，并在接近热平衡后趋于稳定。</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滞后性：温度传感器读数与实际轴向位移之间存在热传导与结构响应延迟，单纯按当前温度补偿容易出现过补偿或欠补偿。</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多因素耦合：伸长量受转速、负载、冷却条件、环境温度、加工材料、刀具类型及刀具直径等因素共同影响。</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微量但高敏感：热伸长虽然处于微米级，但对公差要求在 10</w:t>
      </w:r>
      <w:r>
        <w:rPr>
          <w:rFonts w:hint="eastAsia" w:ascii="仿宋_GB2312" w:hAnsi="仿宋_GB2312" w:eastAsia="仿宋_GB2312" w:cs="仿宋_GB2312"/>
          <w:sz w:val="32"/>
          <w:szCs w:val="32"/>
        </w:rPr>
        <w:t>μ</w:t>
      </w:r>
      <w:r>
        <w:rPr>
          <w:rFonts w:hint="eastAsia" w:ascii="仿宋_GB2312" w:hAnsi="仿宋_GB2312" w:eastAsia="仿宋_GB2312" w:cs="仿宋_GB2312"/>
          <w:sz w:val="32"/>
          <w:szCs w:val="32"/>
          <w:lang w:eastAsia="zh-CN"/>
        </w:rPr>
        <w:t>m 以内的精密加工而言，会显著影响尺寸一致性和良品率。</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热伸长对加工质量的影响</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表1 主轴热伸长对加工质量的典型影响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6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31"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影响类型</w:t>
            </w:r>
          </w:p>
        </w:tc>
        <w:tc>
          <w:tcPr>
            <w:tcW w:w="6520"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孔深</w:t>
            </w:r>
            <w:r>
              <w:rPr>
                <w:rFonts w:hint="eastAsia" w:ascii="仿宋_GB2312" w:hAnsi="仿宋_GB2312" w:eastAsia="仿宋_GB2312" w:cs="仿宋_GB2312"/>
                <w:sz w:val="32"/>
                <w:szCs w:val="32"/>
                <w:lang w:eastAsia="zh-CN"/>
              </w:rPr>
              <w:t>偏</w:t>
            </w:r>
            <w:r>
              <w:rPr>
                <w:rFonts w:hint="eastAsia" w:ascii="仿宋_GB2312" w:hAnsi="仿宋_GB2312" w:eastAsia="仿宋_GB2312" w:cs="仿宋_GB2312"/>
                <w:sz w:val="32"/>
                <w:szCs w:val="32"/>
              </w:rPr>
              <w:t>差</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钻孔、攻丝和深孔加工中，主轴Z向伸长会使刀具实际切入深度偏离程序设定值。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台阶面高度偏差</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多工序或多刀具加工时，冷热态刀位差异导致不同加工面之间的高度关系失真。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3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平面度下降</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铣削平面时，热伸长随时间变化，可能造成前后加工区域出现微小阶差。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重复定位精度下降</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同一路径在冷机、热机、停机再启动等状态下加工结果不一致，影响批量稳定性。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返工与废品增加</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尺寸误差超过工艺公差后，需要返修、重新校正或报废，增加设备占用和制造成本。</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影响因素与现场数据基础</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现场已具备PLC、CNC软件及人工工艺录入等数据来源，可形成用于AI模型训练与在线推理的基础特征集合。输入特征主要覆盖热状态、运行状态、加工工艺和采样条件，输出目标为主轴轴芯热伸长量</w:t>
      </w:r>
      <w:r>
        <w:rPr>
          <w:rFonts w:hint="eastAsia" w:ascii="仿宋_GB2312" w:hAnsi="仿宋_GB2312" w:eastAsia="仿宋_GB2312" w:cs="仿宋_GB2312"/>
          <w:sz w:val="32"/>
          <w:szCs w:val="32"/>
        </w:rPr>
        <w:t>Δ</w:t>
      </w:r>
      <w:r>
        <w:rPr>
          <w:rFonts w:hint="eastAsia" w:ascii="仿宋_GB2312" w:hAnsi="仿宋_GB2312" w:eastAsia="仿宋_GB2312" w:cs="仿宋_GB2312"/>
          <w:sz w:val="32"/>
          <w:szCs w:val="32"/>
          <w:lang w:eastAsia="zh-CN"/>
        </w:rPr>
        <w:t>L。</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表2 主轴热伸长主要影响因素</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2264"/>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81"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因素类别</w:t>
            </w:r>
          </w:p>
        </w:tc>
        <w:tc>
          <w:tcPr>
            <w:tcW w:w="2268"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具体因素</w:t>
            </w:r>
          </w:p>
        </w:tc>
        <w:tc>
          <w:tcPr>
            <w:tcW w:w="470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运行参数</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主轴转速 S</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转速越高，轴承摩擦和电机发热越明显，温升速度通常越快。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运行参数</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主轴电机运行功率 KW</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加工负载越大，切削热和主轴负载发热越高。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运行参数</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连续运行时间 t</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运行时间反映热积累程度，是判断冷态、升温态和热稳定态的重要变量。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冷却条件</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刀具冷却方式</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切削液、吹气及关闭冷却等方式会改变散热效率和热平衡过程。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环境因素</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环境温度 T1</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车间温度影响主轴初始热状态和整体散热边界条件。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加工工艺</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加工材料</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材料硬度、导热性和切削特性影响产热强度。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加工工艺</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刀具类型、材料与直径</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刀具几何形状、材料和直径影响切削力、切削温度及主轴负载。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加工工艺</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加工类型</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钻孔、攻丝、粗加工、半精加工、精加工的热负荷差异明显。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采集条件</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采集频率/间隔时间</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影响模型对温升梯度、动态滞后和瞬态变化的捕捉能力。</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表3 现场已具备或计划采集的运行数据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115"/>
        <w:gridCol w:w="1456"/>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数据来源</w:t>
            </w:r>
          </w:p>
        </w:tc>
        <w:tc>
          <w:tcPr>
            <w:tcW w:w="3118"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采集参数</w:t>
            </w:r>
          </w:p>
        </w:tc>
        <w:tc>
          <w:tcPr>
            <w:tcW w:w="145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2268"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PLC</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环境温度T1</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PLC</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主轴温度T2</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PLC</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主轴轴芯伸长量ΔL</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mm</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模型输出/标定目标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PLC</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运行时间t1</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min</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PLC</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采集频率/间隔时间t2</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CNC软件</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主轴转速S</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r/min</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CNC软件</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主轴电机运行功率KW</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CNC软件</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运行时间t3</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min</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CNC软件</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采集频率/间隔时间t4</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表4 工艺录入项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参数</w:t>
            </w:r>
          </w:p>
        </w:tc>
        <w:tc>
          <w:tcPr>
            <w:tcW w:w="6520"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可选值范围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加工材料</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铝合金、碳钢、不锈钢、黄铜、铸铁等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刀具冷却方式</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水基切削液、乳化液、合成切削液、切削油、加工吹气、吹气关/切削液关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刀具直径</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D1-D12等多档位规格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刀具类型</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端铣刀、圆鼻刀、钻头、攻丝刀等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刀具材料</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高速钢（HSS）、硬质合金、涂层硬质合金、CBN、PCD等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加工类型</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钻孔/攻丝、粗加工、半精加工、精加工</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说明：以上运行数据与工艺录入项共同构成AI模型的输入特征，当前可按12维左右特征组织；主轴轴芯伸长量</w:t>
      </w:r>
      <w:r>
        <w:rPr>
          <w:rFonts w:hint="eastAsia" w:ascii="仿宋_GB2312" w:hAnsi="仿宋_GB2312" w:eastAsia="仿宋_GB2312" w:cs="仿宋_GB2312"/>
          <w:sz w:val="32"/>
          <w:szCs w:val="32"/>
        </w:rPr>
        <w:t>Δ</w:t>
      </w:r>
      <w:r>
        <w:rPr>
          <w:rFonts w:hint="eastAsia" w:ascii="仿宋_GB2312" w:hAnsi="仿宋_GB2312" w:eastAsia="仿宋_GB2312" w:cs="仿宋_GB2312"/>
          <w:sz w:val="32"/>
          <w:szCs w:val="32"/>
          <w:lang w:eastAsia="zh-CN"/>
        </w:rPr>
        <w:t>L为模型输出目标（1维）。现阶段数据量约为数百条，适合开展初始验证、特征有效性分析和小模型原型训练，后续需通过更多工况样本持续提升泛化能力。</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场景建设预期价值</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提升加工精度：降低Z向热误差，提高关键尺寸一致性和批量稳定性。</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减少废品率：降低因热变形导致的尺寸超差、返修和报废。</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缩短辅助时间：减少人工测量、手动校正和反复试切时间，提高设备有效加工时长。</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增强工况适应性：系统可结合不同材料、刀具、冷却方式和运行状态自动调整补偿策略。</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形成可复制示范：沉淀面向机床热误差补偿的采集、建模、推理、补偿和运维闭环方法。</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二、场景困境</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传统经验公式补偿难以覆盖复杂热过程</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当前工业现场常见做法是建立温度与热伸长之间的经验公式，例如采用</w:t>
      </w:r>
      <w:r>
        <w:rPr>
          <w:rFonts w:hint="eastAsia" w:ascii="仿宋_GB2312" w:hAnsi="仿宋_GB2312" w:eastAsia="仿宋_GB2312" w:cs="仿宋_GB2312"/>
          <w:sz w:val="32"/>
          <w:szCs w:val="32"/>
        </w:rPr>
        <w:t>Δ</w:t>
      </w:r>
      <w:r>
        <w:rPr>
          <w:rFonts w:hint="eastAsia" w:ascii="仿宋_GB2312" w:hAnsi="仿宋_GB2312" w:eastAsia="仿宋_GB2312" w:cs="仿宋_GB2312"/>
          <w:sz w:val="32"/>
          <w:szCs w:val="32"/>
          <w:lang w:eastAsia="zh-CN"/>
        </w:rPr>
        <w:t>L=k×</w:t>
      </w:r>
      <w:r>
        <w:rPr>
          <w:rFonts w:hint="eastAsia" w:ascii="仿宋_GB2312" w:hAnsi="仿宋_GB2312" w:eastAsia="仿宋_GB2312" w:cs="仿宋_GB2312"/>
          <w:sz w:val="32"/>
          <w:szCs w:val="32"/>
        </w:rPr>
        <w:t>Δ</w:t>
      </w:r>
      <w:r>
        <w:rPr>
          <w:rFonts w:hint="eastAsia" w:ascii="仿宋_GB2312" w:hAnsi="仿宋_GB2312" w:eastAsia="仿宋_GB2312" w:cs="仿宋_GB2312"/>
          <w:sz w:val="32"/>
          <w:szCs w:val="32"/>
          <w:lang w:eastAsia="zh-CN"/>
        </w:rPr>
        <w:t>T的线性关系，或根据机床型号、主轴类型、加工方式设置固定补偿系数。该方式部署简单，但本质上是对复杂热过程的简化，只能在特定机床、特定工况和特定温升区间内取得有限效果。</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际加工中，主轴热伸长是电机发热、轴承摩擦热、切削热、冷却散热、环境温度波动等因素共同作用的结果。单一温度变量或固定系数难以准确描述多热源、多路径、多阶段的动态平衡过程，导致经验公式在复杂工况下补偿误差明显增大。</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温度-位移线性补偿存在非线性与滞后误差</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非线性特征明显：温升初期、快速升温阶段和热稳定阶段的伸长变化规律不同，固定斜率难以覆盖全区间。</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同温不同位移：相同主轴温度可能对应不同运行路径，例如高转速短时间与低转速长时间的热分布并不相同。</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动态滞后明显：传感器温度变化与结构位移响应存在延迟，启动、停机、换刀和负载突变时尤其突出。</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多工况切换困难：换材料、换刀具或改变冷却方式后，原有补偿系数往往需要重新标定。</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多因素耦合导致建模与维护成本高</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轴热伸长不仅受温度影响，还与转速、功率、运行时间、冷却方式、加工材料、刀具状态、环境温度和采集频率等变量有关。这些变量之间存在耦合关系，例如高转速会改变产热强度，也会影响切削液在切削区的覆盖效果；不同材料在相同切削参数下的切削热差异明显；刀具磨损会改变切削力并引入新的热源变化。</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若完全依赖人工经验或少量离线标定实验，需要为大量工况组合建立系数表，维护成本高、覆盖不完整，且无法随着生产数据积累自动优化。</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数据基础薄弱与现场闭环落地难</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阶段数据量约为数百条，属于初始验证阶段，样本在材料、刀具、转速、功率、冷却方式和环境条件上的覆盖仍有限。若直接训练复杂模型，容易出现过拟合、对新工况适应不足等问题，因此需要结合小模型、特征工程、数据质量控制和增量数据采集策略逐步推进。</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同时，AI预测值要真正作用于机床加工过程，还需要解决 PLC/CNC 数据接入、推理延迟、补偿指令下发、异常工况保护、人工可干预、补偿日志追溯等工程问题。若缺乏稳定闭环，AI预测即使离线精度较高，也难以在现场形成可靠示范效果。</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表5 当前场景主要困境与影响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5"/>
        <w:gridCol w:w="6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54"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困境</w:t>
            </w:r>
          </w:p>
        </w:tc>
        <w:tc>
          <w:tcPr>
            <w:tcW w:w="640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稳态精度不足</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传统线性补偿在稳态下仍可能存在5-15</w:t>
            </w:r>
            <w:r>
              <w:rPr>
                <w:rFonts w:hint="eastAsia" w:ascii="仿宋_GB2312" w:hAnsi="仿宋_GB2312" w:eastAsia="仿宋_GB2312" w:cs="仿宋_GB2312"/>
                <w:sz w:val="32"/>
                <w:szCs w:val="32"/>
              </w:rPr>
              <w:t>μ</w:t>
            </w:r>
            <w:r>
              <w:rPr>
                <w:rFonts w:hint="eastAsia" w:ascii="仿宋_GB2312" w:hAnsi="仿宋_GB2312" w:eastAsia="仿宋_GB2312" w:cs="仿宋_GB2312"/>
                <w:sz w:val="32"/>
                <w:szCs w:val="32"/>
                <w:lang w:eastAsia="zh-CN"/>
              </w:rPr>
              <w:t>m残差，难以满足高精度加工需求。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动态响应慢</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温度与位移存在滞后，传统方案难以处理启动、停机、换刀、负载突变等过渡过程。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工况适应性差</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换材料、换刀具、换冷却方式后需要重新标定系数，维护成本高。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多工况覆盖不全</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实际生产工况组合远超实验标定范围，大量组合缺少有效补偿依据。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难以持续优化</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经验公式无法自动利用新增数据提升补偿精度。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工程闭环风险</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补偿指令若缺少限幅、告警和回退机制，可能引入新的加工风险。</w:t>
            </w:r>
          </w:p>
        </w:tc>
      </w:tr>
    </w:tbl>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三、场景示范需求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示范建设总体目标</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场景示范的目标不是仅完成一个离线预测模型，而是构建“数据采集—AI预测—补偿决策—CNC/PLC 执行—结果评估—持续优化”的闭环系统。AI技术加入后，应能够利用多源工况数据实时识别主轴热伸长状态，输出可执行、可追溯、可限制的Z向补偿量，并在不同加工工况下保持稳定精度。</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示范系统应优先面向单台典型 CNC 机床完成闭环验证，再逐步扩展到同型号或同类机床，实现模型参数迁移、工况库扩展和现场运维规范沉淀。</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AI智能化要求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表6 AI智能化要求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能力项</w:t>
            </w:r>
          </w:p>
        </w:tc>
        <w:tc>
          <w:tcPr>
            <w:tcW w:w="6520"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多源特征融合</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模型应同时利用PLC温度/位移数据、CNC转速/功率数据和工艺录入项，形成统一时间戳对齐后的特征向量。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动态热状态识别</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能够区分冷机启动、升温过程、热稳定、停机冷却、换刀/换工况等阶段，避免使用单一稳态规则。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小样本建模能力</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在初期数百条样本条件下，优先采用轻量化、可解释、低延迟模型，并通过交叉验证和留出工况验证评估泛化能力。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在线推理能力</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模型应部署在边缘工控机或本地服务中，持续接收工况数据并输出当前主轴热伸长预测值。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补偿决策能力</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预测值需转换为 Z 向补偿量，并支持限幅、平滑、变化率约束和补偿开关控制。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持续学习能力</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系统应记录预测值、实际测量值、补偿值、工况特征和加工结果，为后续增量训练与模型迭代提供数据闭环。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异常识别能力</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当温度传感器异常、伸长量跳变、数据丢包或预测残差持续偏大时，应触发告警，并切换到安全补偿或人工确认模式。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可解释与可运维</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系统应输出关键影响因素、模型版本、推理时间、补偿量和告警原因，便于现场人员理解和追溯。</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精度要求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精度要求应同时关注模型预测精度和实际补偿后的加工效果。模型离线指标用于判断AI预测是否可靠，在线补偿指标用于评价系统是否真正降低了机床热误差。</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表7 精度要求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2441"/>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2494"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目标要求</w:t>
            </w:r>
          </w:p>
        </w:tc>
        <w:tc>
          <w:tcPr>
            <w:tcW w:w="4139"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模型预测RMSE</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目标≤1μm（0.001mm）</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补偿预测值与实际伸长量之间的均方根误差，用于衡量整体预测稳定性。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模型预测MAE</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目标≤2μm</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平均绝对误差，用于衡量平均偏差水平；建议后续根据样本噪声进一步校准指标口径。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最大单点误差</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建议≤5μm</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限制少数异常预测值对加工过程造成影响，必要时触发告警或人工确认。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补偿后残余误差</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较传统方案降低50%-80%；精密场景目标进入1-3</w:t>
            </w:r>
            <w:r>
              <w:rPr>
                <w:rFonts w:hint="eastAsia" w:ascii="仿宋_GB2312" w:hAnsi="仿宋_GB2312" w:eastAsia="仿宋_GB2312" w:cs="仿宋_GB2312"/>
                <w:sz w:val="32"/>
                <w:szCs w:val="32"/>
              </w:rPr>
              <w:t>μ</w:t>
            </w:r>
            <w:r>
              <w:rPr>
                <w:rFonts w:hint="eastAsia" w:ascii="仿宋_GB2312" w:hAnsi="仿宋_GB2312" w:eastAsia="仿宋_GB2312" w:cs="仿宋_GB2312"/>
                <w:sz w:val="32"/>
                <w:szCs w:val="32"/>
                <w:lang w:eastAsia="zh-CN"/>
              </w:rPr>
              <w:t>m区间</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以实测加工结果或主轴位移测量结果为依据，评价闭环补偿效果。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跨工况泛化精度</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新增材料、刀具、冷却方式下误差不应显著劣化</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采用留一工况、分组验证或现场试加工验证，避免只在已见样本上表现良好。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重复性要求</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同一工况多次运行补偿结果稳定</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同条件重复实验中，预测曲线和补偿量应保持一致性。</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实时性要求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实时性要求不仅包括模型推理耗时，还包括数据采集、特征处理、补偿量计算、指令下发和日志记录的端到端延迟。系统应保证补偿值能够及时叠加到 Z 轴运动或偏置控制逻辑中，避免补偿滞后引入新的误差。</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表8 实时性要求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1"/>
        <w:gridCol w:w="2457"/>
        <w:gridCol w:w="3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2551"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目标要求</w:t>
            </w:r>
          </w:p>
        </w:tc>
        <w:tc>
          <w:tcPr>
            <w:tcW w:w="3969"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单次模型推理延迟</w:t>
            </w:r>
          </w:p>
        </w:tc>
        <w:tc>
          <w:tcPr>
            <w:tcW w:w="255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≤10ms</w:t>
            </w:r>
          </w:p>
        </w:tc>
        <w:tc>
          <w:tcPr>
            <w:tcW w:w="396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从特征向量输入模型到输出热伸长预测值的耗时。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端到端补偿延迟</w:t>
            </w:r>
          </w:p>
        </w:tc>
        <w:tc>
          <w:tcPr>
            <w:tcW w:w="255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建议≤50ms，最终与CNC/PLC控制周期匹配</w:t>
            </w:r>
          </w:p>
        </w:tc>
        <w:tc>
          <w:tcPr>
            <w:tcW w:w="396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包括采集、清洗、推理、补偿量计算、下发和确认。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2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补偿更新频率</w:t>
            </w:r>
          </w:p>
        </w:tc>
        <w:tc>
          <w:tcPr>
            <w:tcW w:w="255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与采样频率和CNC控制周期匹配</w:t>
            </w:r>
          </w:p>
        </w:tc>
        <w:tc>
          <w:tcPr>
            <w:tcW w:w="396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避免过低频率导致补偿滞后，也避免过高频率造成指令抖动。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补偿平滑机制</w:t>
            </w:r>
          </w:p>
        </w:tc>
        <w:tc>
          <w:tcPr>
            <w:tcW w:w="255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支持滑动平均、限幅、变化率约束</w:t>
            </w:r>
          </w:p>
        </w:tc>
        <w:tc>
          <w:tcPr>
            <w:tcW w:w="396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防止因瞬时数据噪声造成Z向补偿突变。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异常响应时间</w:t>
            </w:r>
          </w:p>
        </w:tc>
        <w:tc>
          <w:tcPr>
            <w:tcW w:w="255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检测到数据异常后应快速告警并进入安全策略</w:t>
            </w:r>
          </w:p>
        </w:tc>
        <w:tc>
          <w:tcPr>
            <w:tcW w:w="396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传感器断线、温度跳变、伸长量异常时，不应继续输出未经校验的补偿值。</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稳定性、安全与工程集成要求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表9 稳定性、安全与工程集成要求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要求项</w:t>
            </w:r>
          </w:p>
        </w:tc>
        <w:tc>
          <w:tcPr>
            <w:tcW w:w="640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连续运行能力</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系统应支持≥24小时连续运行，无补偿服务异常中断。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长期精度一致性</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连续运行过程中，预测误差和补偿后残差不应随时间明显退化。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安全限幅机制</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补偿量应设置最大值、最小值和变化率限制，防止异常输出直接影响加工安全。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人工干预机制</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应支持人工暂停补偿、切换传统补偿、手动确认补偿或恢复默认参数。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数据完整性</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采集数据、模型输入、预测结果、补偿量、告警信息和模型版本应完整记录。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接口兼容性</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应兼容PLC/CNC现有数据接口，支持本地部署，不依赖外网即可完成实时推理。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模型版本管理</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每次模型更新需保留版本号、训练数据范围、验证指标和回退方案。</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数据采集与验证要求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表10 数据采集与验证要求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5"/>
        <w:gridCol w:w="6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要求项</w:t>
            </w:r>
          </w:p>
        </w:tc>
        <w:tc>
          <w:tcPr>
            <w:tcW w:w="640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样本覆盖</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应覆盖不同转速、功率、运行时长、材料、刀具、冷却方式和环境温度组合，避免训练数据集中于单一工况。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时间对齐</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PLC、CNC软件和工艺录入数据需按照统一时间戳或采样周期进行对齐。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数据清洗</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对缺失值、异常跳变、传感器漂移、重复记录和单位不一致进行处理。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验证方式</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采用离线验证、留出工况验证和现场试加工验证相结合的方式评价模型效果。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评价闭环</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对比补偿前、传统补偿后、AI补偿后的残余误差、废品率和辅助校正时间。</w:t>
            </w:r>
          </w:p>
        </w:tc>
      </w:tr>
    </w:tbl>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val="en-US" w:eastAsia="zh-CN"/>
        </w:rPr>
        <w:br w:type="page"/>
      </w:r>
      <w:bookmarkStart w:id="9" w:name="_Toc945439029"/>
      <w:r>
        <w:rPr>
          <w:rFonts w:hint="eastAsia" w:ascii="方正小标宋简体" w:hAnsi="方正小标宋简体" w:cs="方正小标宋简体"/>
          <w:lang w:val="en-US" w:eastAsia="zh-CN"/>
        </w:rPr>
        <w:t>6</w:t>
      </w:r>
      <w:r>
        <w:rPr>
          <w:rFonts w:hint="eastAsia" w:ascii="方正小标宋简体" w:hAnsi="方正小标宋简体" w:eastAsia="方正小标宋简体" w:cs="方正小标宋简体"/>
        </w:rPr>
        <w:t>基于AI热学仿真的电视热学设计研发</w:t>
      </w:r>
      <w:bookmarkEnd w:id="9"/>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b w:val="0"/>
          <w:bCs w:val="0"/>
          <w:szCs w:val="44"/>
        </w:rPr>
      </w:pPr>
      <w:bookmarkStart w:id="10" w:name="_Toc726940699"/>
      <w:bookmarkStart w:id="11" w:name="_Toc991991674"/>
      <w:bookmarkStart w:id="12" w:name="_Toc609278643"/>
      <w:r>
        <w:rPr>
          <w:rFonts w:hint="eastAsia" w:ascii="方正小标宋简体" w:hAnsi="方正小标宋简体" w:eastAsia="方正小标宋简体" w:cs="方正小标宋简体"/>
        </w:rPr>
        <w:t>提质场景</w:t>
      </w:r>
      <w:bookmarkEnd w:id="10"/>
      <w:bookmarkEnd w:id="11"/>
      <w:bookmarkEnd w:id="1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一、场景现状与困境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随着电视行业向大屏化、高配置、轻薄化与高集成化快速发展，产品内部硬件布局愈发紧凑，整机热环境复杂度呈指数级提升，热学仿真已成为电视整机研发设计的核心关键环节。电视整机热学仿真深度融合热辐射、热传导、空气对流三大核心热学传递方式，三大效应相互耦合，是兼具高专业性、高复杂性的系统工程，其仿真精准度直接决定产品运行稳定性、硬件性能、使用寿命与用户体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当前传统电视整机热学仿真全程依赖工程师手动操作，从建模到变量输入均由人工完成，存在三大突出痛点，严重制约研发效率与设计质量：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1.仿真效率低、人力成本高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手动建模与变量输入流程繁琐复杂，面对多物理场耦合的复杂热环境，仿真效率极低，无法匹配行业快速研发与产品迭代需求；且高度依赖资深工程师经验，人力投入成本高，人工操作局限性大，仿真结果优化空间有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2.经验难以沉淀复用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优质仿真与设计经验高度依赖工程师个人积累，多以零散认知形式存在，无法系统化、标准化沉淀与快速复用，新项目需重复摸索，制约热学设计能力整体提升。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3.仿真与设计脱节、缺乏智能方案能力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传统仿真仅能输出基础热数据，无法基于结果快速生成多维度设计方案，也不具备智能挖掘降本点的能力，仿真与整机设计环节脱节，难以从热学角度为研发提供先进、智能、低成本的设计支撑。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解决行业痛点，电视整机AI热学仿真项目应运而生，通过引入AI算法与大模型，结合海量仿真数据与工程师专业经验，打造电视热学仿真垂直领域AI大模型，实现输入研发需求即可快速输出优质热学仿真方案，用智能化仿真反哺整机设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目前项目已明确核心目标与推进路径，分三大阶段落地：先完成AI模型底层架构与核心算法研发，适配电视多物理场耦合特性；再构建多维度仿真数据体系，完成模型训练与能力迭代；最后通过验证验收，实现模型在产业端实际落地。当前AI技术在电视复杂热学仿真领域仍处于起步阶段，本项目落地将突破行业技术瓶颈，推动研发智能化升级，具备里程碑式行业价值。</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二、场景示范需求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针对以上问题及痛点，电视整机AI热学仿真项目需满足以下核心需求：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构建融合三大热学原理的AI热学仿真基础模型：利用先进的AI技术，结合电视整机热学仿真原理，构建融合热辐射、热传导及空气对流三大核心热学效应的AI整机热学仿真基础模型。该模型需适配电视整机的复杂热环境，能够精准识别研发设计的核心要求，同时可基于前期的数据投喂与经验输入持续迭代优化，为打造电视热学仿真垂直领域AI大模型奠定核心技术基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构建基于数据与经验的AI大模型训练体系：通过收集和分析现有热学仿真平台的多维度仿真数据，结合工程师的专业热学知识、仿真实操经验和整机设计降本经验，完成人工经验的标准化输入与系统化沉淀，搭建科学的模型训练体系，实现AI模型对热学仿真关键影响因子的精准识别与分析，为后续输出具备设计指导价值的方案提供坚实的数据与经验支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构建专业的热学仿真知识与智能方案生成体系：构建包含海量电视整机热学仿真案例、设计知识、降本经验的专业数据库，利用AI大模型技术进行深度数据分析与挖掘，能够为研发工作提供丰富的热学仿真资源，包括热学设计思路优化、关键参数调整、降本点挖掘等。结合自然语言交互技术，研发人员仅通过语音或文字提出研发设计要求，模型即可快速输出多套热学设计参考方案，并筛选出更先进、更智能、成本更优的最优方案，实现仿真对整机设计的精准指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val="0"/>
          <w:sz w:val="32"/>
          <w:szCs w:val="32"/>
        </w:rPr>
        <w:t>4.推动AI热学仿真与整机设计深度融合，赋能一流电视产品研发：通过智能化的AI热学仿真手段，推动电视整机研发热学仿真工作的智能化、标准化发展。同时利用AI大模型的数据分析能力，对电视整机热学设计的研发行为进行分析，优化热学仿真与整机设计的衔接流程，将AI热学仿真大模型深度融入电视整机平台技术研发项目，持续为产品研发提供优质的热学解决方案和可落地的降本措施，最终通过仿真环节的智能化升级，从底层优化整机热学设计，提升产品核心竞争力，助力打造一流的电视产品，推动电视行业产品设计与研发水平的整体提升。</w:t>
      </w: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br w:type="page"/>
      </w:r>
      <w:bookmarkStart w:id="13" w:name="_Toc1890342260"/>
      <w:r>
        <w:rPr>
          <w:rFonts w:hint="eastAsia" w:ascii="方正小标宋简体" w:hAnsi="方正小标宋简体" w:cs="方正小标宋简体"/>
          <w:lang w:val="en-US" w:eastAsia="zh-CN"/>
        </w:rPr>
        <w:t>7</w:t>
      </w:r>
      <w:r>
        <w:rPr>
          <w:rFonts w:hint="eastAsia" w:ascii="方正小标宋简体" w:hAnsi="方正小标宋简体" w:eastAsia="方正小标宋简体" w:cs="方正小标宋简体"/>
          <w:lang w:val="en-US" w:eastAsia="zh-CN"/>
        </w:rPr>
        <w:t>基于AI视觉的电子行业PCB智能插装</w:t>
      </w:r>
      <w:bookmarkEnd w:id="13"/>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default" w:ascii="宋体" w:hAnsi="宋体" w:cs="宋体"/>
          <w:szCs w:val="44"/>
          <w:lang w:val="en-US" w:eastAsia="zh-CN"/>
        </w:rPr>
      </w:pPr>
      <w:bookmarkStart w:id="14" w:name="_Toc1844818228"/>
      <w:bookmarkStart w:id="15" w:name="_Toc152222517"/>
      <w:r>
        <w:rPr>
          <w:rFonts w:hint="eastAsia" w:ascii="方正小标宋简体" w:hAnsi="方正小标宋简体" w:eastAsia="方正小标宋简体" w:cs="方正小标宋简体"/>
          <w:lang w:val="en-US" w:eastAsia="zh-CN"/>
        </w:rPr>
        <w:t>场景</w:t>
      </w:r>
      <w:bookmarkEnd w:id="14"/>
      <w:bookmarkEnd w:id="15"/>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44"/>
          <w:szCs w:val="44"/>
          <w:lang w:val="en-US" w:eastAsia="zh-CN"/>
        </w:rPr>
      </w:pP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一、现状场景描述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工智能技术正以全链条渗透的方式重塑电子制造业，从研发设计的智能迭代、生产流程的柔性调度到质量检测的精准管控，全方位推动行业从传统制造向数智化生产范式跃迁，成为破解生产痛点、释放产能价值的核心驱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现代电子制造领域，表面贴装技术（SMT）已成为主流的高精度、自动化组装工艺，广泛应用于消费电子、通信设备及汽车电子等高密度PCB生产中。然而，受限于元器件类型、机械强度需求及成本结构的多样性，通孔插装技术（THT）在功率器件、连接器、大型电容及工业控制模块等应用场景中仍不可替代。目前THT工艺在插件、焊接与检测环节高度依赖人工操作，其生产效率低、一致性差、质量波动大等问题，已成为混合工艺产线中制约自动化水平提升的关键瓶颈。</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二、传统技术困境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目前生产设备中涉及THT生产工艺的PCB电路主要依靠操作人员的经验，受限于人员经验差异，生产面临以下技术困境：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1.人力依赖严重，插件、目检、返修依赖熟练技工，培训周期平均3个月，随着产线工人流动率变化导致品控和产能不稳定。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2.良率一致性差，手工插件易造成器件弯折、错装、反装、漏装等低级失误，同时波峰焊产生虚焊、连焊、空焊等依赖人工目检。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3.质量追溯难，为了对工人生产的质量追溯需要额外增加很多流程上操作，比如扫PCB条码和上线员工的绑定，增加员工培训成本和对应系统开发。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解决这些问题存在诸多挑战，产线需求的变更较快，插装的元器件标准化不足，THT工艺数据较为孤立和SMT工艺系统差异较大，导致了目前THT工艺相关自动化装备成本高、难实现。</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三、场景示范需求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现平台化的PCB智能插装系统，通过机器视觉引导、自适应夹持等技术，装备或者系统能够根据用户定制的工艺档案和供料，完成多品种元器件在PCB上的正确自动插装支持柔性生产。以此解决由于人员经验不足导致的错装、反装、漏装等良率问题。关于错漏反的检出率要求达到98%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现智能视觉质检系统，融合人工智能机器视觉与3D成像等多元技术，精准识别各类PCB板波峰焊后出现的虚焊、空焊、连焊等多类焊点缺陷，彻底规避人工检测因疏忽导致的漏检问题，筑牢产品品质防线。焊接品质问题检出率要求达到98%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扫码系统实现物料条码与质检结果的绑定，在流水线上加工的PCB进入扫码系统后通过用户指定确认对应到某个条码，将此条码与前置质检结果完成对应，然后将绑定结果上报给质量追溯系统。实物与质检对应关系达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现产线装配行为分析系统，可通过‌AI视觉识别+动作序列建模（SOP）‌技术，精准判断人员装配步骤是否符合预设工艺流程，及时发现顺序错乱、漏装、反向操作等异常行为。在标准工位，固定视角、均匀光照下行为识别准确率达到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通过以上装备及系统逐步打造全链路柔性生产系统，实现从客户定制需求到生产交付的无缝衔接，支持多品种产品的快速切换与定制化生产，通过生产流程的智能化重构，全面提升生产效率，提高产品品质，满足市场多元化需求。</w:t>
      </w:r>
    </w:p>
    <w:p>
      <w:pPr>
        <w:pStyle w:val="2"/>
        <w:bidi w:val="0"/>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lang w:val="en-US" w:eastAsia="zh-CN"/>
        </w:rPr>
        <w:br w:type="page"/>
      </w:r>
      <w:bookmarkStart w:id="16" w:name="_Toc1913371600"/>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面向消费级3D打印机的AI复杂排障辅助决策场景</w:t>
      </w:r>
      <w:bookmarkEnd w:id="16"/>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sz w:val="44"/>
          <w:szCs w:val="21"/>
        </w:rPr>
      </w:pP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一、现状场景描述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级与工业级3D打印技术正在快速普及，我国已成为占据全球3D打印机出口体量约90%的国家，在专利数量与硬件制造水平上均处在世界领先地位。然而，3D打印设备要进一步向大众消费市场及高端柔性制造渗透，仍面临极大的用户体验门槛。现代3D打印机是高度复杂的机电一体化设备，随着打印速度和多色、多材料技术的演进，设备故障率与排障难度陡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打印失败或设备报错时，其故障原因往往具备极高的专业性，严重依赖资深工程师的经验介入。海量的售后排障咨询不仅导致了高昂的企业运营成本，也极大影响了消费者的使用体验。因此，3D打印行业急需引入人工智能技术，完成从“被动售后”向“智能感知+自主诊断决策”的跨越，通过精准分析复杂报错，自动化输出高准确率、强逻辑关联的故障排除方案。</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二、场景困境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复杂的3D打印机故障实时诊断与推理领域，目前通用的大语言模型（LLM）与检索增强生成（RAG）技术在落地应用时，面临着严重的知识不足、算法瓶颈与架构局限，导致现阶段智能体技术的深度应用仍处于初级阶段。该场景的核心困境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当前主流RAG技术存在“逻辑断层”，大模型易产生“幻觉”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3D打印故障具有因果链条长、多因素深度耦合的特点。例如，“打印层错位”故障现象可能由“切片参数异常 → 挤出机过热→特定温度下步进电机丢步→同步带张力衰减”等一系列拓扑逻辑引发。目前主流RAG技术主要依赖文本向量化进行语义相似度检索，这种方式直接割裂设备组件之间的物理与逻辑拓扑依赖，导致检索到的碎片化知识在输入给大模型后，大模型易产生“张冠李戴”的幻觉，不仅误报率高，且给出的排障步骤往往前后矛盾，不能解决用户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现有排障模型泛化能力弱，难以应对跨机型/跨材料的动态机电耦合场景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的排障AI模型大多基于静态维修手册和单一特定机型的历史语料进行微调。然而，3D打印机新型号快速发展，同时其运行状态动态变化，不同的机器老化程度、不同的温湿度环境以及不同耗材特性耦合在一起时，故障特征千变万化。缺乏动态图谱推理能力的AI模型，无法理解“新场景下的实体拓扑变化”，导致其泛化能力差，缺乏跨设备、跨场景的复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AI排障决策缺乏可解释性，工程师与用户难以建立信任（“黑盒”痛点）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精密制造与重型设备维保领域，故障排查决策必须具备绝对的确定性与可追溯性。传统深度学习及大语言模型具有“黑盒”特征，即便给出了“更换挤出机齿轮”等具体指令，也难以提供严密的逻辑支撑。这种解释性的缺失，使得前端用户与后端工程师对AI建议心存疑虑，成为AI技术在工业级排障场景深度落地的核心瓶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现存图知识库架构遭遇检索延迟瓶颈，无法满足毫秒级实时决策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raphRAG是解决逻辑推理问题的主要途径，但现有的技术实现极为臃肿和耗时。其标准流程需要先在通用图数据库（如Neo4j）中进行多跳（Multi-hop）遍历，提取出庞大的相关子图后再进行Prompt组装与大模型生成。由于现有通用图数据库在底层存储上存在严重的指针追逐（Pointer Chasing）问题，导致图检索耗时极高。对于需要实时交互、甚至需要立即停机止损的3D打印排障场景而言，动辄数秒甚至数十秒的推理响应延迟难以满足用户要求。</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三、场景示范需求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动AI算法在3D打印机复杂硬件排障场景的应用，本项目聚焦攻克底层毫秒级实时图数据库的“卡脖子”难题，实现3D打印复杂排障GraphRAG（图检索增强生成）核心算法与中间件和辅助决策系统，能精准可靠指导用户或者售后人员完整打印故障的快速高效排除。旨在达到以下场景功能与创新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自研底层毫秒级图数据库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存储层重新构建适合毫秒级图计算的引擎，彻底摒弃传统关系型图存储。创新实现将图的“边（Edge）”以连续内存方式存储，支持内存-磁盘冷热数据换入换出，支持MPP（大规模并行处理）架构。实现存储层O(1)时间复杂度的顶点和边访问，将Cache Missing（缓存未命中）降至最低，支撑百万边/秒的极速遍历，为上层GraphRAG提供实时、毫秒级的硬件拓扑状态上下文。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研发基于3D打印机电逻辑的GraphRAG推理中间件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构建针对复杂排障的动态知识图谱与GraphRAG智能体架构。当用户输入故障现象或设备抛出异常码时，协同底层图数据库瞬间完成多</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rPr>
        <w:t>关键逻辑路径的检索；随后由GraphRAG算法将该“精准子图逻辑”作为强约束上下文注入大语言模型（LLM），有效规避AI幻觉，生成精准、流畅、贴合真实物理逻辑的排障步骤。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达成“高确判率、全可解释、超低延迟”的场景示范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Cs w:val="32"/>
          <w14:ligatures w14:val="none"/>
        </w:rPr>
      </w:pPr>
      <w:r>
        <w:rPr>
          <w:rFonts w:hint="eastAsia" w:ascii="仿宋_GB2312" w:hAnsi="仿宋_GB2312" w:eastAsia="仿宋_GB2312" w:cs="仿宋_GB2312"/>
          <w:sz w:val="32"/>
          <w:szCs w:val="32"/>
        </w:rPr>
        <w:t>通过底层存储结构与上层AI算法的深度协同，将3D打印机复杂故障诊断的确判率提升至90%以上；实现AI推理结果100%具备可解释性（即每一步结论都有明确的图逻辑支撑节点追踪）；实现端到端的排障决策响应时间（从报错到输出带有图逻辑推理的AI报告）控制在秒级范围，显著提升消费者体验与智能制造效率，打造南山区“AI+精密制造”的标杆示范应用。</w:t>
      </w: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val="en-US" w:eastAsia="zh-CN"/>
        </w:rPr>
        <w:br w:type="page"/>
      </w:r>
      <w:bookmarkStart w:id="17" w:name="_Toc1063548727"/>
      <w:r>
        <w:rPr>
          <w:rFonts w:hint="eastAsia" w:ascii="方正小标宋简体" w:hAnsi="方正小标宋简体" w:cs="方正小标宋简体"/>
          <w:lang w:val="en-US" w:eastAsia="zh-CN"/>
        </w:rPr>
        <w:t>9</w:t>
      </w:r>
      <w:r>
        <w:rPr>
          <w:rFonts w:hint="eastAsia" w:ascii="方正小标宋简体" w:hAnsi="方正小标宋简体" w:eastAsia="方正小标宋简体" w:cs="方正小标宋简体"/>
        </w:rPr>
        <w:t>基于API统一网关的AI服务智能化管理</w:t>
      </w:r>
      <w:bookmarkEnd w:id="17"/>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rPr>
      </w:pPr>
      <w:bookmarkStart w:id="18" w:name="_Toc1642126309"/>
      <w:bookmarkStart w:id="19" w:name="_Toc1028359673"/>
      <w:r>
        <w:rPr>
          <w:rFonts w:hint="eastAsia" w:ascii="方正小标宋简体" w:hAnsi="方正小标宋简体" w:eastAsia="方正小标宋简体" w:cs="方正小标宋简体"/>
        </w:rPr>
        <w:t>场景</w:t>
      </w:r>
      <w:bookmarkEnd w:id="18"/>
      <w:bookmarkEnd w:id="19"/>
    </w:p>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一、场景现状描述</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当前企业正全面推进智能化转型，大语言模型（LLM）已成为智能客服、内容生成、智能问答、代码辅助、数据分析等核心业务场景的核心技术支撑。企业已接入Azure OpenAI、Google Gemini、通义千问、智谱AI、Moonshot、文心一言、讯飞星火、百川智能、MiniMax、DeepSeek等多家国内外主流AI大模型服务，各业务团队采用分散式模式独立对接不同AI供应商API，初步实现AI能力在业务端的落地应用。</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随着AI服务接入规模持续扩大，日均调用量已突破千万级，企业尚未建立统一的AI服务技术标准与管理规范，分散接入模式已无法满足企业级超大规模、高并发、高可用的AI服务治理需求，亟需通过AI-API统一网关平台实现AI服务的集中管控与高效调度。</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现阶段的接入状态呈现以下特征：</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接口异构化：各业务线代码库中包含针对不同供应商的定制化SDK与适配逻辑，接口协议、请求格式、错误处理机制各不相同，导致接入成本高昂且维护困难。</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凭证离散化：API Key由各项目组独立申请、保管和充值，缺乏企业级统一视图与权限管控，存在严重的安全隐患与资源浪费。</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b w:val="0"/>
          <w:bCs w:val="0"/>
          <w:sz w:val="32"/>
          <w:szCs w:val="32"/>
        </w:rPr>
      </w:pPr>
      <w:r>
        <w:rPr>
          <w:rFonts w:hint="eastAsia" w:ascii="仿宋_GB2312" w:hAnsi="仿宋_GB2312" w:eastAsia="仿宋_GB2312" w:cs="仿宋_GB2312"/>
          <w:b w:val="0"/>
          <w:bCs w:val="0"/>
          <w:sz w:val="32"/>
          <w:szCs w:val="32"/>
        </w:rPr>
        <w:t>调用黑盒化：缺少对各业务线Token消耗、延迟与错误率的跨供应商统一监控，难以进行成本优化与SLA管理，无法支撑精细化运营决策。</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二、场景困境</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在由分散试点转向企业级超大规模应用的过程中，现有的接入模式暴露出难以克服的管理盲区与技术短板，具体困境归纳如下：</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性能瓶颈困境：现有网关架构为单体部署，无法支撑百万级QPS峰值流量，在业务高峰时段频繁出现请求堆积、响应超时甚至服务雪崩。</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高可用短板：缺乏两地三中心级别的容灾与自动故障转移机制，单一数据中心或单一路由故障即导致业务中断，无法满足核心业务7×24小时不间断运行要求。</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扩展性受限：新增模型供应商或自研模型需要业务方修改代码并重新发布，接入周期长、风险高，无法快速响应市场变化与技术演进。</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成本失控：Token消耗数据分散在各供应商后台，缺乏统一的计量、统计与分账能力，导致AI调用成本呈失控态势，预算管理形同虚设。</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安全合规风险：全链路调用日志不完整，权限审计粒度粗，无法满足等保三级及数据安全法合规要求，存在严重的数据泄露与合规风险。</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三、场景示范需求</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期望通过本项目的实施，解决上述AI服务接入与管理难题，满足企业级AI服务治理需求。围绕统一接入、智能路由、成本管控、安全审计等基础方向进行建设，重点场景如下：</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1.统一接入与协议转换</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封装主流第三方AI供应商API，提供统一RESTful/gRPC/GraphQL接口，完成协议转换、请求/响应标准化，实现接入一次，处处可用。向下屏蔽多厂商差异，支持SSE/WebSocket流式数据透传，支持批量请求合并与响应拆分。</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22"/>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协议兼容性</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支持RESTful、gRPC、GraphQL三协议接入；</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支持OpenAI、Anthropic、Google及国内主流厂商的标准Chat Completion、Embedding、Fine-tuning格式转换；</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支持自定义协议扩展插件。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模型兼容数量</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兼容主流大模型厂商API≥20家（含≥10家商业模型供应商及≥3种开源自部署模型，如Llama、Qwen、ChatGLM系列），支持私有化部署模型无缝接入。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适配成功率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统一接口适配成功率≥99.9%，失败请求自动重试并切换备用通道。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流式响应性能</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SSE/WebSocket流式数据透传首字延迟增加不超过10ms，端到端P99延迟&lt;100ms。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批量处理能力</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支持单请求批量合并≥100个子请求，批量响应拆分准确率100%。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接入效率提升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业务接入开发效率提升≥90%，新业务接入周期从2周缩短至1天。</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2.智能路由与负载均衡</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统一管理API Key，支持基于模型性能、成本、可用性、业务优先级、合规要求等多维度策略的智能调度，实现动态路由、负载均衡、故障转移与流量分发。支持A/B测试、灰度发布、蓝绿部署等高级流量管理场景。</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32"/>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路由策略配置</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路由策略配置响应时间≤100ms；</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支持多维度路由策略≥15种（基于模型优先级、业务优先级、Token成本权重、响应延迟、内容安全等级、数据驻留合规要求等）；</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支持基于LLM意图识别的智能动态路由。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负载均衡准确率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负载均衡调度准确率≥99.9%，支持加权轮询、最小延迟、最小成本、一致性哈希、自适应负载等算法。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故障切换时效</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监测到主模型5xx错误率超过1%或P99延迟超过5s时，1秒内自动切换至备用模型集群，切换过程对业务方透明无感知。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熔断限流精度</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支持按调用方ID（AppID）、用户ID、IP地址、模型类型、业务场景等多维度QPS限制与Token消耗总量限制，误差率≤0.01%，支持秒级滑动窗口统计。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灰度发布能力</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支持基于流量百分比、用户属性、请求特征的多维度灰度发布，灰度切换延迟&lt;500ms。</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3.成本控制</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自动计算输入/输出Token数量，按部门/项目/用户/应用标识统计消耗，生成成本报表、对接财务系统，支持预算告警与分账管理，解决AI调用糊涂账问题。支持实时成本预测与智能降本建议。</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63"/>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Token计量精度</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基于各模型官方Tokenizer算法实时计算输入/输出Token数量，计费精度误差≤0.01%，支持中英文混合文本、多模态内容（图像、音频）的Token等效计量。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多租户分账能力</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支持按≥200个部门/项目/用户组独立分账，基于请求头的多维标签识别，自动生成按小时/日/周/月/季度的成本分账报表，支持自定义分账维度。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成本报表时效</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成本报表生成时间≤30秒，支持实时成本看板与秒级消耗趋势监控。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预算告警响应</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预算告警响应延迟≤10秒，支持自定义多级成本阈值（如单项目日/周/月消耗超限告警），触发后自动降级至低成本模型或限流，支持Webhook、短信、邮件多渠道通知。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成本优化建议</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基于历史消耗数据与模型性能分析，自动生成成本优化建议（如模型替换、批量处理、缓存策略），预期月度降本空间≥20%。</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4.模型降级与高可用保障</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实时监控各AI服务健康状态（HTTP状态码、响应延迟、内容质量、Token产出速率等），故障时自动降级切换备用模型，服务恢复后灰度切回，全流程切换行为归档留存。支持多级降级策略与自定义降级链路。</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48"/>
        <w:gridCol w:w="5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健康检测频率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服务健康状态检测频率≤1秒/次，支持主动探活（HTTP Ping、TCP Ping、深度业务探针）与被动感知（异常响应码、超时检测）双模式。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故障切换时间</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故障自动切换时间≤500ms，支持多级降级（同厂商不同模型→不同厂商同类模型→本地轻量模型→缓存兜底）。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平台可用性</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平台整体服务可用性≥99.9%（全年停机时间&lt;5分钟），核心业务链路可用性≥99.9%。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日志留存</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切换日志留存时间≥3年，所有切换行为记录归档用于事后复盘与合规审计，支持结构化检索与可视化分析。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灰度恢复能力</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故障恢复后支持按1%-100%渐进式灰度切回，切回过程支持实时效果监控与一键回滚。</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5.熔断限流与安全审计</w:t>
      </w:r>
    </w:p>
    <w:p>
      <w:pPr>
        <w:keepNext w:val="0"/>
        <w:keepLines w:val="0"/>
        <w:pageBreakBefore w:val="0"/>
        <w:kinsoku/>
        <w:overflowPunct/>
        <w:topLinePunct w:val="0"/>
        <w:autoSpaceDE/>
        <w:autoSpaceDN/>
        <w:bidi w:val="0"/>
        <w:adjustRightInd/>
        <w:snapToGrid/>
        <w:spacing w:beforeAutospacing="0" w:afterAutospacing="0" w:line="560" w:lineRule="exact"/>
        <w:ind w:firstLine="486" w:firstLineChars="15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多模型熔断、限流、降级等稳定性保障机制，按接入团队设置费用配额与调用阈值；提供全链路调用日志、权限审计与异常监控，实现调用链路的透明化与合规化。满足等保三级、数据安全法、个人信息保护法合规要求。</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17"/>
        <w:gridCol w:w="5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熔断规则配置</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支持自定义熔断规则≥30种，支持基于错误率、延迟、异常码、自定义业务指标的复合熔断策略。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限流精度</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限流精度误差≤0.01%，支持分布式令牌桶、漏桶、滑动窗口、自适应限流等多种算法。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审计日志完整性</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调用审计日志完整率100%，提供不可篡改的区块链存证API调用审计日志，满足等保三级及数据安全法审计要求。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日志检索性能</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日志检索响应时间≤1秒，支持PB级日志存储与秒级全文检索；对请求体（Prompt）与响应体（Completion）进行自动敏感信息识别与脱敏存储。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监控维度</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提供包括QPS、错误率、Token流速、P99/P999延迟、连接数、队列深度、资源利用率在内的多维度实时监控大盘，监控数据采集间隔≤1秒。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权限管控</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支持RBAC+ABAC细粒度权限管控，支持基于模型类型、业务场景、数据敏感度、用户属性的动态授权，权限变更实时生效（&lt;100ms）。</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6.插件化扩展与持续集成</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采用插件化微内核架构，兼容未来新增模型供应商与自研模型，实现插件化热插拔接入。新供应商或模型可通过标准化接口快速接入，无需业务方修改代码，支持CI/CD持续集成部署与GitOps工作流。</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55"/>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扩展时延</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新增模型接入时长≤4小时（含开发、测试、灰度、上线全流程），标准模型插件开发时长≤1小时。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插件兼容率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第三方插件兼容率≥99.9%，支持WASM、Lua、Go等多种插件运行时。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CI/CD支持</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支持自动化CI/CD部署流程，集成GitOps、蓝绿发布、金丝雀发布、自动回滚，发布失败自动回滚时间&lt;30秒。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热加载能力</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路由策略、模型权重、限流规则、熔断阈值等配置变更支持热加载，生效延迟&lt;100ms，无需重启网关服务即可生效。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开放标准</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提供标准化OpenAPI 3.0规范与SDK（Java、Python、Go、Node.js），支持Swagger UI在线调试与自动化代码生成。</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7.高可用高性能高并发部署</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平台基于容器化无状态部署架构与两地三中心灾备体系，通过Kubernetes容器编排与Service Mesh服务网格技术，构建跨地域、跨可用区的高性能网关集群。网关计算层完全无状态化，状态数据外置至分布式存储；采用TiDB/CockroachDB分布式数据库、Redis Cluster缓存集群及消息队列；基于DPDK/eBPF内核优化与多级缓存策略，实现自动弹性伸缩。</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容器化部署：网关核心组件Docker镜像封装，Kubernetes编排调度，完全无状态化设计，状态数据外置至Redis Cluster与分布式数据库，支持跨平台统一部署。</w:t>
      </w:r>
    </w:p>
    <w:p>
      <w:pPr>
        <w:pStyle w:val="15"/>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两地三中心灾备：生产中心（同域A）承载全量业务，同城灾备中心（同域B）实时同步（RPO=0，RTO≤20分钟），异地灾备中心（异地）异步复制（RPO&lt;5秒，RTO≤2小时），GSLB全局负载均衡智能流量调度。</w:t>
      </w:r>
    </w:p>
    <w:p>
      <w:pPr>
        <w:pStyle w:val="15"/>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分布式数据架构：采用TiDB/CockroachDB分布式NewSQL数据库（Raft共识，强一致同步RPO=0），Redis Cluster双活缓存集群（命中率&gt;99.9%，故障切换≤10秒），Kafka/RocketMQ消息队列集群，数据三级分层存储（热数据0-7天、温数据7-90天、冷数据90天-3年）。</w:t>
      </w:r>
    </w:p>
    <w:p>
      <w:pPr>
        <w:pStyle w:val="15"/>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性能优化与弹性伸缩：基于DPDK/eBPF内核旁路优化，连接复用率&gt;95%，本地内存（L1）+Redis Cluster（L2）两级缓存（命中率&gt;99.9%，读取延迟&lt;1ms），支持HTTP/2/HTTP/3/QUIC/gRPC协议；通过Kubernetes HPA/VPA实现多维自动扩缩容，扩容响应&lt;15秒，缩容响应&lt;60秒。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55"/>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峰值QPS</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平台集群峰值并发处理能力≥500万QPS，日常稳态并发≥100万QPS，具备横向扩展至1000万QPS的能力。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响应延迟</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网关层P99延迟&lt;5ms（不含上游模型处理时间），P999延迟&lt;10ms；端到端P99延迟&lt;200ms（含上游模型）。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吞吐量</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单网关实例吞吐量≥10万QPS，集群总吞吐量随节点数线性扩展，扩展效率≥95%。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连接数</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单网关节点并发长连接数≥10万，集群总并发连接数≥1000万，连接建立时间&lt;1ms。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资源利用率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CPU利用率稳定在60%-70%区间，内存利用率&lt;80%，网络带宽利用率&lt;70%，具备充足的突发流量缓冲余量。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弹性伸缩</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支持秒级自动弹性伸缩，从触发扩容到新增实例承载流量&lt;15秒，缩容过程平滑无抖动。</w:t>
            </w:r>
          </w:p>
        </w:tc>
      </w:tr>
    </w:tbl>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 w:val="0"/>
          <w:bCs w:val="0"/>
          <w:sz w:val="32"/>
          <w:szCs w:val="32"/>
          <w14:ligatures w14: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F1115"/>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 w:val="0"/>
          <w:bCs/>
          <w:sz w:val="32"/>
          <w:szCs w:val="32"/>
          <w14:ligatures w14: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b w:val="0"/>
          <w:bCs w:val="0"/>
          <w:kern w:val="2"/>
          <w:sz w:val="32"/>
          <w:szCs w:val="32"/>
          <w:lang w:val="en-US" w:eastAsia="zh-CN" w:bidi="ar-SA"/>
        </w:rPr>
      </w:pP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b w:val="0"/>
          <w:bCs w:val="0"/>
          <w:szCs w:val="44"/>
        </w:rPr>
      </w:pPr>
      <w:r>
        <w:rPr>
          <w:rFonts w:hint="eastAsia" w:ascii="仿宋_GB2312" w:hAnsi="仿宋_GB2312" w:cs="仿宋_GB2312"/>
          <w:b w:val="0"/>
          <w:bCs w:val="0"/>
          <w:kern w:val="2"/>
          <w:szCs w:val="32"/>
          <w:lang w:val="en-US" w:eastAsia="zh-CN" w:bidi="ar-SA"/>
        </w:rPr>
        <w:br w:type="page"/>
      </w:r>
      <w:bookmarkStart w:id="20" w:name="_Toc1984963904"/>
      <w:r>
        <w:rPr>
          <w:rFonts w:hint="eastAsia" w:ascii="方正小标宋简体" w:hAnsi="方正小标宋简体" w:cs="方正小标宋简体"/>
          <w:lang w:val="en-US" w:eastAsia="zh-CN"/>
        </w:rPr>
        <w:t xml:space="preserve">10 </w:t>
      </w:r>
      <w:r>
        <w:rPr>
          <w:rFonts w:hint="eastAsia" w:ascii="方正小标宋简体" w:hAnsi="方正小标宋简体" w:eastAsia="方正小标宋简体" w:cs="方正小标宋简体"/>
        </w:rPr>
        <w:t>DSR平台智能翻译与合规应答助手场景</w:t>
      </w:r>
      <w:bookmarkEnd w:id="20"/>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rPr>
      </w:pP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一、场景现状描述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主体权利行使平台（DSR平台）作为用户反馈数据隐私相关请求的统一入口，能够接收大量来自真实用户对于公司产品（含服务、平台、系统等）及其功能（尤其在数据隐私方面）的反馈，该平台一方面便于用户行使个人信息主体权利，另一方面也能有效洞察和反映用户当前的隐私期待以及最受关注的产品隐私问题，是用户反馈产品功能使用问题及建议的有力辅助渠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此同时，DSR平台还承担着跨地域、多语言、多法域的用户沟通职能。每日接收来自不同国家用户的权利行使请求、投诉建议、咨询问询及其他类型反馈。然而，当前平台并不具备多语言翻译能力，用户提交的多语言内容需由人工复制至第三方翻译软件中处理，流程繁琐、效率低下，且频繁切换工具易造成信息遗漏或处理延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全球各国数据隐私相关法律法规（如GDPR、PIPL、CCPA等）对用户数据的收集、存储、处理、传输等环节均有不同规定，目前仍需人工识别问题并整理相应的回复模板。在缺乏智能辅助的情况下，难以快速判断面向特定国家用户的回复边界及合规口径，整体处理效率较低。为此，急需引入大模型及AI能力，构建智能翻译与AI回复建议能力，全面提升平台全球化能力与合规水平。</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二、场景困境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多语言翻译能力缺失，处理效率低下：DSR后台仅支持单一语言（如中文或英文），用户以母语提交的反馈内容无法被直接理解。需手动复制文本至外部翻译软件进行转换，再返回平台继续处理。对于小语种或混合语种内容，翻译质量参差不齐，且原始格式与上下文信息难以保留，严重影响了整体处理效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国数据隐私法律法规差异大，回复内容缺乏合规建议：由于不同国家对用户数据的处理要求及用户权益存在显著差异，当前缺乏能够依据本地法规自动生成回复建议的智能化工具，仅能依赖人工逐一确认并查阅相关资料，导致处理效率低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工审核与回复工作量大：随着合规要求日益严格，每日用户反馈量持续上升。翻译、法规判断、回复起草等环节仍高度依赖人工，处理周期较长，整体效率低下。急需建立自动化辅助工具，以提升处理效率与回复质量。</w:t>
      </w:r>
    </w:p>
    <w:p>
      <w:pPr>
        <w:ind w:firstLine="640"/>
        <w:jc w:val="left"/>
        <w:rPr>
          <w:rFonts w:hint="eastAsia" w:ascii="黑体" w:hAnsi="黑体" w:eastAsia="黑体" w:cstheme="minorBidi"/>
          <w:b w:val="0"/>
          <w:bCs w:val="0"/>
          <w:sz w:val="32"/>
          <w:lang w:val="en-US" w:eastAsia="zh-CN" w:bidi="ar-SA"/>
          <w14:ligatures w14:val="none"/>
        </w:rPr>
      </w:pPr>
      <w:r>
        <w:rPr>
          <w:rFonts w:hint="eastAsia" w:ascii="黑体" w:hAnsi="黑体" w:eastAsia="黑体" w:cstheme="minorBidi"/>
          <w:b w:val="0"/>
          <w:bCs w:val="0"/>
          <w:sz w:val="32"/>
          <w:lang w:val="en-US" w:eastAsia="zh-CN" w:bidi="ar-SA"/>
          <w14:ligatures w14:val="none"/>
        </w:rPr>
        <w:t>三、场景示范需求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rPr>
        <w:t>多语言智能翻译</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基于大模型能力，实现对用户提交的任意语种（包括中、英、日、韩、法、德等主流语言及各类小语种，总覆盖不少于30种语言）反馈内容的实时、高质量翻译。整体翻译准确率≥90%，专业术语及模糊表达的自动标注遗漏率＜5%，并支持人工复核；翻译响应时间＜2秒/千字符，整个翻译过程无需跳转外部工具，在平台内闭环完成，并可在PC端与各类智能移动终端上提供一致体验，保障会话连续性和翻译上下文完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2.</w:t>
      </w:r>
      <w:r>
        <w:rPr>
          <w:rFonts w:hint="eastAsia" w:ascii="仿宋_GB2312" w:hAnsi="仿宋_GB2312" w:eastAsia="仿宋_GB2312" w:cs="仿宋_GB2312"/>
          <w:sz w:val="32"/>
          <w:szCs w:val="32"/>
        </w:rPr>
        <w:t>用户信息自动提取与法规识别</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基于用户填写的信息，自动识别适用的法律管辖范围（如欧盟GDPR、美国各州法律、中国PIPL、巴西LGPD等），管辖法规匹配准确率≥95%。同时，结合反馈内容中可能涉及的敏感信息（如身份证号、银行账户、健康数据等），自动标注需特别处理的数据类型，敏感信息识别精确率≥90%，召回率≥98%。识别与标注响应时间＜1秒，为后续回复建议提供准确的法规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3.</w:t>
      </w:r>
      <w:r>
        <w:rPr>
          <w:rFonts w:hint="eastAsia" w:ascii="仿宋_GB2312" w:hAnsi="仿宋_GB2312" w:eastAsia="仿宋_GB2312" w:cs="仿宋_GB2312"/>
          <w:sz w:val="32"/>
          <w:szCs w:val="32"/>
        </w:rPr>
        <w:t>合规回复建议生成</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根据用户所在国家/地区及具体反馈内容，大模型可自动生成符合当地隐私法规的回复草稿，一次生成即可直接采纳或仅需微小修改的合规率≥80%。建议内容应包含：数据收集与处理的法律依据、用户权利告知（如访问、更正、删除权）等。同时，对于明显违反当地法律要求的用户请求（例如：要求删除非个人数据），能够准确识别并给出拒绝或调整建议，违规请求识别准确率≥95%。回复建议生成时间＜3秒，并支持多语种回复生成。人工可一键采纳，或修改后发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4.</w:t>
      </w:r>
      <w:r>
        <w:rPr>
          <w:rFonts w:hint="eastAsia" w:ascii="仿宋_GB2312" w:hAnsi="仿宋_GB2312" w:eastAsia="仿宋_GB2312" w:cs="仿宋_GB2312"/>
          <w:sz w:val="32"/>
          <w:szCs w:val="32"/>
        </w:rPr>
        <w:t>支持“一键翻译+回复”工作流</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在DSR平台后台集成智能翻译与回复建议能力。当查看用户原始反馈时，系统自动展示翻译后的内容，并同步呈现合规回复建议，呈现时延＜3秒。处理人员可对建议内容进行灵活调整（如删除、修改），并通过一键采纳完成发送，预计整体单件处理效率提升50%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rPr>
        <w:t>5.</w:t>
      </w:r>
      <w:r>
        <w:rPr>
          <w:rFonts w:hint="eastAsia" w:ascii="仿宋_GB2312" w:hAnsi="仿宋_GB2312" w:eastAsia="仿宋_GB2312" w:cs="仿宋_GB2312"/>
          <w:sz w:val="32"/>
          <w:szCs w:val="32"/>
        </w:rPr>
        <w:t>模型自学习与法律法规更新</w:t>
      </w:r>
      <w:r>
        <w:rPr>
          <w:rFonts w:hint="default" w:ascii="仿宋_GB2312" w:hAnsi="仿宋_GB2312" w:eastAsia="仿宋_GB2312" w:cs="仿宋_GB2312"/>
          <w:sz w:val="32"/>
          <w:szCs w:val="32"/>
          <w:lang w:val="en-US"/>
        </w:rPr>
        <w:t>:</w:t>
      </w:r>
      <w:r>
        <w:rPr>
          <w:rFonts w:hint="eastAsia" w:ascii="仿宋_GB2312" w:hAnsi="仿宋_GB2312" w:eastAsia="仿宋_GB2312" w:cs="仿宋_GB2312"/>
          <w:sz w:val="32"/>
          <w:szCs w:val="32"/>
        </w:rPr>
        <w:t>大模型定期从公开法律数据库中抓取各国最新的隐私法律法规信息，新法规或重大修订纳入知识库的延迟不超过5个工作日，经管理员确认后纳</w:t>
      </w:r>
      <w:bookmarkStart w:id="21" w:name="_GoBack"/>
      <w:bookmarkEnd w:id="21"/>
      <w:r>
        <w:rPr>
          <w:rFonts w:hint="eastAsia" w:ascii="仿宋_GB2312" w:hAnsi="仿宋_GB2312" w:eastAsia="仿宋_GB2312" w:cs="仿宋_GB2312"/>
          <w:sz w:val="32"/>
          <w:szCs w:val="32"/>
        </w:rPr>
        <w:t>入模型知识库。同时，基于对建议回复的采纳、修改行为及人工审核反馈持续优化回复生成的准确性与实用性，每季度至少进行一次模型微调，目标使回复建议直接采纳率年度提升≥10%，并持续优化回复生成的准确性与实用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p>
    <w:sectPr>
      <w:headerReference r:id="rId6" w:type="default"/>
      <w:footerReference r:id="rId7" w:type="default"/>
      <w:pgSz w:w="11905" w:h="16840"/>
      <w:pgMar w:top="1440" w:right="1485" w:bottom="1440" w:left="180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EgdhMXKAQAAnAMAAA4AAAAA&#10;AAAAAQAgAAAANAEAAGRycy9lMm9Eb2MueG1sUEsFBgAAAAAGAAYAWQEAAHA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D1311"/>
    <w:rsid w:val="07B4317A"/>
    <w:rsid w:val="122542D7"/>
    <w:rsid w:val="266F25FA"/>
    <w:rsid w:val="2DFF07B7"/>
    <w:rsid w:val="3267A465"/>
    <w:rsid w:val="3A0421F3"/>
    <w:rsid w:val="4BDFAD15"/>
    <w:rsid w:val="4BEF0412"/>
    <w:rsid w:val="4DC5C6DD"/>
    <w:rsid w:val="51FFED7B"/>
    <w:rsid w:val="6B1154CD"/>
    <w:rsid w:val="6BB3785F"/>
    <w:rsid w:val="76CFCB4A"/>
    <w:rsid w:val="79FBED79"/>
    <w:rsid w:val="7B5FD6BB"/>
    <w:rsid w:val="7FCF483C"/>
    <w:rsid w:val="7FFB0281"/>
    <w:rsid w:val="9BFF4E17"/>
    <w:rsid w:val="A6F7C8ED"/>
    <w:rsid w:val="AD42FFEB"/>
    <w:rsid w:val="CB6B2AB7"/>
    <w:rsid w:val="CCF6D413"/>
    <w:rsid w:val="CDFFB25E"/>
    <w:rsid w:val="DD99E39A"/>
    <w:rsid w:val="EE675C0C"/>
    <w:rsid w:val="F7D5494F"/>
    <w:rsid w:val="FFA0AE6F"/>
    <w:rsid w:val="FFFDE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方正小标宋简体" w:cs="宋体"/>
      <w:bCs/>
      <w:kern w:val="44"/>
      <w:sz w:val="44"/>
      <w:szCs w:val="48"/>
      <w:lang w:val="en-US" w:eastAsia="zh-CN" w:bidi="ar"/>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bCs/>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360" w:lineRule="auto"/>
      <w:ind w:firstLine="0" w:firstLineChars="0"/>
      <w:jc w:val="left"/>
    </w:pPr>
    <w:rPr>
      <w:rFonts w:eastAsia="黑体"/>
      <w:sz w:val="28"/>
    </w:rPr>
  </w:style>
  <w:style w:type="paragraph" w:styleId="5">
    <w:name w:val="footer"/>
    <w:basedOn w:val="1"/>
    <w:unhideWhenUsed/>
    <w:qFormat/>
    <w:uiPriority w:val="99"/>
    <w:pPr>
      <w:tabs>
        <w:tab w:val="center" w:pos="4680"/>
        <w:tab w:val="right" w:pos="9360"/>
      </w:tabs>
      <w:spacing w:after="0" w:line="240" w:lineRule="auto"/>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index 9"/>
    <w:basedOn w:val="1"/>
    <w:next w:val="1"/>
    <w:qFormat/>
    <w:uiPriority w:val="0"/>
    <w:pPr>
      <w:ind w:left="1600" w:leftChars="16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semiHidden/>
    <w:qFormat/>
    <w:uiPriority w:val="0"/>
  </w:style>
  <w:style w:type="paragraph" w:styleId="15">
    <w:name w:val="List Paragraph"/>
    <w:basedOn w:val="1"/>
    <w:qFormat/>
    <w:uiPriority w:val="0"/>
    <w:rPr>
      <w:rFonts w:ascii="宋体" w:hAnsi="宋体" w:eastAsia="宋体" w:cs="宋体"/>
      <w:sz w:val="24"/>
      <w:szCs w:val="24"/>
      <w:lang w:val="en-US" w:eastAsia="zh-CN" w:bidi="ar-SA"/>
    </w:rPr>
  </w:style>
  <w:style w:type="character" w:customStyle="1" w:styleId="16">
    <w:name w:val="ql-author-332174"/>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1030</Words>
  <Characters>1071</Characters>
  <TotalTime>4</TotalTime>
  <ScaleCrop>false</ScaleCrop>
  <LinksUpToDate>false</LinksUpToDate>
  <CharactersWithSpaces>1104</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2026-03-29T11:26:00Z</dcterms:created>
  <dc:creator>Apache POI</dc:creator>
  <cp:lastModifiedBy>向雨秋</cp:lastModifiedBy>
  <dcterms:modified xsi:type="dcterms:W3CDTF">2026-07-02T18:02:40Z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eyJoZGlkIjoiNGRlMTRjMTIyNDM2NzZhYTRhMzNkZTVjOGQzMzc0MTgiLCJ1c2VySWQiOiIxNzY2MjY4NTQ3In0=</vt:lpwstr>
  </property>
  <property fmtid="{D5CDD505-2E9C-101B-9397-08002B2CF9AE}" pid="3" name="KSOProductBuildVer">
    <vt:lpwstr>2052-11.8.2.1131</vt:lpwstr>
  </property>
  <property fmtid="{D5CDD505-2E9C-101B-9397-08002B2CF9AE}" pid="4" name="ICV">
    <vt:lpwstr>43BD187302C8ADC54037466AB3FD031E</vt:lpwstr>
  </property>
  <property fmtid="{D5CDD505-2E9C-101B-9397-08002B2CF9AE}" pid="5" name="workspaceId">
    <vt:lpwstr>2c6d9dc0</vt:lpwstr>
  </property>
  <property fmtid="{D5CDD505-2E9C-101B-9397-08002B2CF9AE}" pid="6" name="panelId">
    <vt:i4>21</vt:i4>
  </property>
</Properties>
</file>