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13216"/>
      <w:bookmarkStart w:id="1" w:name="_Toc5810"/>
      <w:bookmarkStart w:id="2" w:name="_Toc32562"/>
      <w:bookmarkStart w:id="3" w:name="_Toc125127182"/>
      <w:r>
        <w:rPr>
          <w:rFonts w:hint="eastAsia" w:ascii="黑体" w:hAnsi="黑体" w:eastAsia="黑体" w:cs="黑体"/>
          <w:color w:val="auto"/>
          <w:sz w:val="32"/>
          <w:szCs w:val="32"/>
          <w:highlight w:val="none"/>
          <w:lang w:val="en-US" w:eastAsia="zh-CN"/>
        </w:rPr>
        <w:t>附件</w:t>
      </w:r>
      <w:r>
        <w:rPr>
          <w:rFonts w:hint="default" w:ascii="黑体" w:hAnsi="黑体" w:eastAsia="黑体" w:cs="黑体"/>
          <w:color w:val="auto"/>
          <w:sz w:val="32"/>
          <w:szCs w:val="32"/>
          <w:highlight w:val="none"/>
          <w:lang w:val="en-US" w:eastAsia="zh-CN"/>
        </w:rPr>
        <w:t>7</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深圳市2026年中央资金消费新业态新模式新场景试点（支持创新多元化服务消费场景—打造中医药入境消费新增长点资助项目）申报指南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4194"/>
      <w:bookmarkStart w:id="5"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支持培育中医药入境消费等服务消费新增长点，</w:t>
      </w:r>
      <w:r>
        <w:rPr>
          <w:rStyle w:val="19"/>
          <w:rFonts w:hint="eastAsia" w:ascii="仿宋_GB2312" w:hAnsi="仿宋_GB2312" w:cs="仿宋_GB2312"/>
          <w:color w:val="auto"/>
          <w:sz w:val="32"/>
          <w:szCs w:val="32"/>
          <w:highlight w:val="none"/>
          <w:lang w:val="en-US" w:eastAsia="zh-CN"/>
        </w:rPr>
        <w:t>支持发展中医药旅游线路开发、中医药康养服务、中医药食养药膳服务等消费场景</w:t>
      </w:r>
      <w:r>
        <w:rPr>
          <w:rFonts w:hint="eastAsia"/>
          <w:color w:val="auto"/>
          <w:highlight w:val="none"/>
          <w:lang w:val="en-US" w:eastAsia="zh-CN"/>
        </w:rPr>
        <w:t>。</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8852"/>
      <w:bookmarkStart w:id="7"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18411"/>
      <w:bookmarkStart w:id="9" w:name="_Toc21755"/>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431"/>
      <w:bookmarkStart w:id="11" w:name="_Toc15307"/>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申报项目须同时满足以下条件：</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1.申报单位具备相关合法经营资质，拥有固定经营场所（面积≥2000㎡），且具备国际化服务能力；</w:t>
      </w:r>
    </w:p>
    <w:p>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2.申报项目为中医药旅游线路开发、中医药康养服务、中医药食养药膳服务等重点消费场景。</w:t>
      </w:r>
    </w:p>
    <w:p>
      <w:pPr>
        <w:bidi w:val="0"/>
        <w:rPr>
          <w:rStyle w:val="19"/>
          <w:rFonts w:hint="eastAsia" w:ascii="仿宋_GB2312" w:hAnsi="仿宋" w:eastAsia="仿宋_GB2312" w:cs="宋体"/>
          <w:bCs/>
          <w:color w:val="auto"/>
          <w:kern w:val="36"/>
          <w:sz w:val="32"/>
          <w:szCs w:val="32"/>
          <w:highlight w:val="none"/>
          <w:lang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w:t>
      </w:r>
      <w:r>
        <w:rPr>
          <w:rStyle w:val="19"/>
          <w:rFonts w:hint="eastAsia" w:cs="仿宋_GB2312"/>
          <w:color w:val="auto"/>
          <w:sz w:val="32"/>
          <w:szCs w:val="32"/>
          <w:highlight w:val="none"/>
          <w:lang w:val="en-US" w:eastAsia="zh-CN"/>
        </w:rPr>
        <w:t>需</w:t>
      </w:r>
      <w:r>
        <w:rPr>
          <w:rStyle w:val="19"/>
          <w:rFonts w:hint="eastAsia" w:ascii="仿宋_GB2312" w:hAnsi="仿宋_GB2312" w:cs="仿宋_GB2312"/>
          <w:color w:val="auto"/>
          <w:sz w:val="32"/>
          <w:szCs w:val="32"/>
          <w:highlight w:val="none"/>
          <w:lang w:val="en-US" w:eastAsia="zh-CN"/>
        </w:rPr>
        <w:t>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cs="仿宋_GB2312"/>
          <w:color w:val="auto"/>
          <w:sz w:val="32"/>
          <w:szCs w:val="32"/>
          <w:highlight w:val="none"/>
          <w:lang w:val="en-US" w:eastAsia="zh-CN"/>
        </w:rPr>
        <w:t>，</w:t>
      </w:r>
      <w:r>
        <w:rPr>
          <w:rFonts w:hint="eastAsia"/>
          <w:color w:val="auto"/>
          <w:highlight w:val="none"/>
          <w:lang w:val="en-US" w:eastAsia="zh-CN"/>
        </w:rPr>
        <w:t>不包括医疗就诊部分固定支出，不包括人员工资、药品采购、基础建设、日常运营费用及不符合规定的其他支出。</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bidi w:val="0"/>
        <w:rPr>
          <w:rStyle w:val="19"/>
          <w:rFonts w:hint="eastAsia" w:ascii="仿宋_GB2312" w:hAnsi="仿宋" w:eastAsia="仿宋_GB2312" w:cs="宋体"/>
          <w:bCs/>
          <w:color w:val="auto"/>
          <w:kern w:val="36"/>
          <w:sz w:val="32"/>
          <w:szCs w:val="32"/>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pPr>
        <w:keepNext w:val="0"/>
        <w:keepLines w:val="0"/>
        <w:widowControl w:val="0"/>
        <w:numPr>
          <w:ilvl w:val="-1"/>
          <w:numId w:val="0"/>
        </w:numPr>
        <w:bidi w:val="0"/>
        <w:spacing w:before="0" w:beforeLines="-2147483648" w:beforeAutospacing="0" w:after="0" w:afterLines="-2147483648" w:afterAutospacing="0" w:line="560" w:lineRule="exact"/>
        <w:ind w:left="0" w:leftChars="0" w:firstLine="640" w:firstLineChars="200"/>
        <w:jc w:val="left"/>
        <w:outlineLvl w:val="9"/>
        <w:rPr>
          <w:rFonts w:hint="eastAsia" w:ascii="仿宋_GB2312" w:hAnsi="仿宋_GB2312" w:eastAsia="黑体" w:cs="Times New Roman"/>
          <w:b w:val="0"/>
          <w:bCs/>
          <w:color w:val="auto"/>
          <w:kern w:val="36"/>
          <w:sz w:val="32"/>
          <w:szCs w:val="48"/>
          <w:highlight w:val="none"/>
          <w:lang w:val="en-US" w:eastAsia="zh-CN" w:bidi="ar-SA"/>
        </w:rPr>
      </w:pPr>
      <w:bookmarkStart w:id="12" w:name="_Toc7095"/>
      <w:bookmarkStart w:id="13" w:name="_Toc31102"/>
      <w:r>
        <w:rPr>
          <w:rFonts w:hint="eastAsia" w:eastAsia="黑体" w:cs="Times New Roman"/>
          <w:b w:val="0"/>
          <w:bCs/>
          <w:color w:val="auto"/>
          <w:kern w:val="36"/>
          <w:sz w:val="32"/>
          <w:szCs w:val="48"/>
          <w:highlight w:val="none"/>
          <w:lang w:val="en-US" w:eastAsia="zh-CN" w:bidi="ar-SA"/>
        </w:rPr>
        <w:t>五、</w:t>
      </w:r>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支持打造中医药入境消费等服务消费新增长点，按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25%给予资助，试点期间最高不超过300万元。</w:t>
      </w:r>
    </w:p>
    <w:p>
      <w:pPr>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w:t>
      </w:r>
      <w:r>
        <w:rPr>
          <w:rFonts w:hint="eastAsia"/>
          <w:color w:val="000000" w:themeColor="text1"/>
          <w:highlight w:val="none"/>
          <w:lang w:val="en-US" w:eastAsia="zh-CN"/>
          <w14:textFill>
            <w14:solidFill>
              <w14:schemeClr w14:val="tx1"/>
            </w14:solidFill>
          </w14:textFill>
        </w:rPr>
        <w:t>打造中医药入境消费新增长点项目，已完成或阶段性完成部分相关投入，不包含各级财政投资部分</w:t>
      </w:r>
      <w:r>
        <w:rPr>
          <w:rFonts w:hint="eastAsia"/>
          <w:color w:val="auto"/>
          <w:highlight w:val="none"/>
          <w:lang w:val="en-US" w:eastAsia="zh-CN"/>
        </w:rPr>
        <w:t>及日常诊疗服务相关投入</w:t>
      </w:r>
      <w:r>
        <w:rPr>
          <w:rFonts w:hint="eastAsia"/>
          <w:color w:val="000000" w:themeColor="text1"/>
          <w:highlight w:val="none"/>
          <w:lang w:val="en-US" w:eastAsia="zh-CN"/>
          <w14:textFill>
            <w14:solidFill>
              <w14:schemeClr w14:val="tx1"/>
            </w14:solidFill>
          </w14:textFill>
        </w:rPr>
        <w:t>，以及第四点第（二）条专项条件中明确不予支持部分。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27028"/>
      <w:bookmarkStart w:id="15" w:name="_Toc7147"/>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spacing w:line="560" w:lineRule="exact"/>
        <w:rPr>
          <w:rFonts w:hint="default" w:ascii="楷体" w:hAnsi="楷体" w:eastAsia="楷体_GB2312" w:cs="Times New Roman"/>
          <w:bCs/>
          <w:color w:val="auto"/>
          <w:kern w:val="2"/>
          <w:szCs w:val="32"/>
          <w:highlight w:val="none"/>
          <w:lang w:val="en-US" w:eastAsia="zh-CN" w:bidi="ar-SA"/>
        </w:rPr>
      </w:pPr>
      <w:r>
        <w:rPr>
          <w:rFonts w:hint="eastAsia"/>
          <w:color w:val="000000" w:themeColor="text1"/>
          <w:highlight w:val="none"/>
          <w:lang w:val="en-US" w:eastAsia="zh-CN"/>
          <w14:textFill>
            <w14:solidFill>
              <w14:schemeClr w14:val="tx1"/>
            </w14:solidFill>
          </w14:textFill>
        </w:rPr>
        <w:t>请各项目申报单位</w:t>
      </w:r>
      <w:r>
        <w:rPr>
          <w:rFonts w:hint="eastAsia"/>
          <w:color w:val="auto"/>
          <w:highlight w:val="none"/>
          <w:lang w:val="en-US" w:eastAsia="zh-CN"/>
        </w:rPr>
        <w:t>于线上</w:t>
      </w:r>
      <w:r>
        <w:rPr>
          <w:rFonts w:hint="eastAsia"/>
          <w:color w:val="000000" w:themeColor="text1"/>
          <w:highlight w:val="none"/>
          <w:lang w:val="en-US" w:eastAsia="zh-CN"/>
          <w14:textFill>
            <w14:solidFill>
              <w14:schemeClr w14:val="tx1"/>
            </w14:solidFill>
          </w14:textFill>
        </w:rPr>
        <w:t>填写并提交《项目申报书》，</w:t>
      </w:r>
      <w:r>
        <w:rPr>
          <w:rFonts w:hint="eastAsia"/>
          <w:color w:val="auto"/>
          <w:highlight w:val="none"/>
          <w:lang w:val="en-US" w:eastAsia="zh-CN"/>
        </w:rPr>
        <w:t>网址：https://www.gdzwfw.gov.cn/（广东政务服务网），搜索“消费新业态新场景新模式试点”——选择深圳-大鹏新区后，按照相关事项提示流程和要求进行线上申报（特别提醒该事项办理需申报主体以法人账号登录提交，不接受个人账号提交），并按办理指南提交相关材料（包括但不限于）如下：</w:t>
      </w:r>
    </w:p>
    <w:p>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w:t>
      </w:r>
      <w:r>
        <w:rPr>
          <w:rFonts w:hint="eastAsia"/>
          <w:color w:val="auto"/>
          <w:highlight w:val="none"/>
          <w:lang w:val="en-US" w:eastAsia="zh-CN"/>
        </w:rPr>
        <w:t>递交（大鹏新区政务服务中心综合窗口）</w:t>
      </w:r>
      <w:r>
        <w:rPr>
          <w:rFonts w:hint="default"/>
          <w:color w:val="auto"/>
          <w:highlight w:val="none"/>
          <w:lang w:val="en-US" w:eastAsia="zh-CN"/>
        </w:rPr>
        <w:t>，线下</w:t>
      </w:r>
      <w:r>
        <w:rPr>
          <w:rFonts w:hint="eastAsia"/>
          <w:color w:val="auto"/>
          <w:highlight w:val="none"/>
          <w:lang w:val="en-US" w:eastAsia="zh-CN"/>
        </w:rPr>
        <w:t>材料递交地址：</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深圳市大鹏新区葵涌街道金业大道140号生命科学产业园B13栋大鹏新区政务服务中心一楼综合窗口</w:t>
      </w:r>
      <w:r>
        <w:rPr>
          <w:rFonts w:hint="default"/>
          <w:color w:val="auto"/>
          <w:highlight w:val="none"/>
          <w:lang w:val="en-US" w:eastAsia="zh-CN"/>
        </w:rPr>
        <w:t>。</w:t>
      </w:r>
      <w:r>
        <w:rPr>
          <w:rFonts w:hint="eastAsia"/>
          <w:color w:val="auto"/>
          <w:highlight w:val="none"/>
          <w:lang w:val="en-US" w:eastAsia="zh-CN"/>
        </w:rPr>
        <w:t>办公电</w:t>
      </w:r>
      <w:r>
        <w:rPr>
          <w:rFonts w:hint="default"/>
          <w:color w:val="auto"/>
          <w:highlight w:val="none"/>
          <w:lang w:val="en-US" w:eastAsia="zh-CN" w:bidi="ar"/>
        </w:rPr>
        <w:t>话：</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0755-28333100</w:t>
      </w:r>
      <w:r>
        <w:rPr>
          <w:rFonts w:hint="default"/>
          <w:color w:val="auto"/>
          <w:highlight w:val="none"/>
          <w:lang w:val="en-US" w:eastAsia="zh-CN" w:bidi="ar"/>
        </w:rPr>
        <w:t>。服</w:t>
      </w:r>
      <w:r>
        <w:rPr>
          <w:rFonts w:hint="eastAsia"/>
          <w:color w:val="auto"/>
          <w:highlight w:val="none"/>
          <w:lang w:val="en-US" w:eastAsia="zh-CN"/>
        </w:rPr>
        <w:t>务时间：</w:t>
      </w:r>
      <w:r>
        <w:rPr>
          <w:rFonts w:hint="default"/>
          <w:color w:val="auto"/>
          <w:highlight w:val="none"/>
          <w:lang w:val="en-US" w:eastAsia="zh-CN"/>
        </w:rPr>
        <w:t>周一至周五9:00-17:</w:t>
      </w:r>
      <w:r>
        <w:rPr>
          <w:rFonts w:hint="eastAsia"/>
          <w:color w:val="auto"/>
          <w:highlight w:val="none"/>
          <w:lang w:val="en-US" w:eastAsia="zh-CN"/>
        </w:rPr>
        <w:t>3</w:t>
      </w:r>
      <w:r>
        <w:rPr>
          <w:rFonts w:hint="default"/>
          <w:color w:val="auto"/>
          <w:highlight w:val="none"/>
          <w:lang w:val="en-US" w:eastAsia="zh-CN"/>
        </w:rPr>
        <w:t>0</w:t>
      </w:r>
      <w:r>
        <w:rPr>
          <w:rFonts w:hint="eastAsia"/>
          <w:color w:val="auto"/>
          <w:highlight w:val="none"/>
          <w:lang w:val="en-US" w:eastAsia="zh-CN"/>
        </w:rPr>
        <w:t>，</w:t>
      </w:r>
      <w:r>
        <w:rPr>
          <w:rFonts w:hint="default"/>
          <w:color w:val="auto"/>
          <w:highlight w:val="none"/>
          <w:lang w:val="en-US" w:eastAsia="zh-CN"/>
        </w:rPr>
        <w:t>周六9:00-12:00（</w:t>
      </w:r>
      <w:r>
        <w:rPr>
          <w:rFonts w:hint="eastAsia"/>
          <w:color w:val="auto"/>
          <w:highlight w:val="none"/>
          <w:lang w:val="en-US" w:eastAsia="zh-CN"/>
        </w:rPr>
        <w:t>法定</w:t>
      </w:r>
      <w:r>
        <w:rPr>
          <w:rFonts w:hint="default"/>
          <w:color w:val="auto"/>
          <w:highlight w:val="none"/>
          <w:lang w:val="en-US" w:eastAsia="zh-CN"/>
        </w:rPr>
        <w:t>节假日除外）</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default"/>
          <w:color w:val="auto"/>
          <w:highlight w:val="none"/>
          <w:lang w:val="en-US" w:eastAsia="zh-CN"/>
        </w:rPr>
      </w:pPr>
      <w:r>
        <w:rPr>
          <w:rFonts w:hint="default"/>
          <w:color w:val="auto"/>
          <w:highlight w:val="none"/>
          <w:lang w:val="en-US" w:eastAsia="zh-CN"/>
        </w:rPr>
        <w:t>1.</w:t>
      </w:r>
      <w:r>
        <w:rPr>
          <w:rFonts w:hint="eastAsia"/>
          <w:color w:val="auto"/>
          <w:highlight w:val="none"/>
          <w:lang w:val="en-US" w:eastAsia="zh-CN"/>
        </w:rPr>
        <w:t>专项条件</w:t>
      </w:r>
      <w:r>
        <w:rPr>
          <w:rFonts w:hint="default"/>
          <w:color w:val="auto"/>
          <w:highlight w:val="none"/>
          <w:lang w:val="en-US" w:eastAsia="zh-CN"/>
        </w:rPr>
        <w:t>佐证材料</w:t>
      </w:r>
      <w:r>
        <w:rPr>
          <w:rFonts w:hint="eastAsia"/>
          <w:color w:val="auto"/>
          <w:highlight w:val="none"/>
          <w:lang w:val="en-US" w:eastAsia="zh-CN"/>
        </w:rPr>
        <w:t>：</w:t>
      </w:r>
    </w:p>
    <w:tbl>
      <w:tblPr>
        <w:tblStyle w:val="18"/>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29"/>
        <w:gridCol w:w="4398"/>
        <w:gridCol w:w="35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6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snapToGrid w:val="0"/>
              <w:spacing w:line="500" w:lineRule="exact"/>
              <w:ind w:left="0" w:leftChars="0" w:right="0" w:rightChars="0" w:firstLine="0" w:firstLineChars="0"/>
              <w:jc w:val="center"/>
              <w:rPr>
                <w:rFonts w:hint="default"/>
                <w:b/>
                <w:color w:val="auto"/>
                <w:sz w:val="28"/>
                <w:szCs w:val="28"/>
                <w:highlight w:val="none"/>
                <w:lang w:val="en-US" w:eastAsia="zh-CN"/>
              </w:rPr>
            </w:pPr>
            <w:r>
              <w:rPr>
                <w:rFonts w:hint="default"/>
                <w:b/>
                <w:color w:val="auto"/>
                <w:sz w:val="28"/>
                <w:szCs w:val="28"/>
                <w:highlight w:val="none"/>
                <w:lang w:val="en-US" w:eastAsia="zh-CN"/>
              </w:rPr>
              <w:t>维度</w:t>
            </w:r>
          </w:p>
        </w:tc>
        <w:tc>
          <w:tcPr>
            <w:tcW w:w="23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snapToGrid w:val="0"/>
              <w:spacing w:line="500" w:lineRule="exact"/>
              <w:ind w:left="0" w:leftChars="0" w:right="0" w:rightChars="0" w:firstLine="0" w:firstLineChars="0"/>
              <w:jc w:val="center"/>
              <w:rPr>
                <w:rFonts w:hint="default"/>
                <w:b/>
                <w:color w:val="auto"/>
                <w:sz w:val="28"/>
                <w:szCs w:val="28"/>
                <w:highlight w:val="none"/>
                <w:lang w:val="en-US" w:eastAsia="zh-CN"/>
              </w:rPr>
            </w:pPr>
            <w:r>
              <w:rPr>
                <w:rFonts w:hint="default"/>
                <w:b/>
                <w:color w:val="auto"/>
                <w:sz w:val="28"/>
                <w:szCs w:val="28"/>
                <w:highlight w:val="none"/>
                <w:lang w:val="en-US" w:eastAsia="zh-CN"/>
              </w:rPr>
              <w:t>内容</w:t>
            </w:r>
          </w:p>
        </w:tc>
        <w:tc>
          <w:tcPr>
            <w:tcW w:w="19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bidi w:val="0"/>
              <w:snapToGrid w:val="0"/>
              <w:spacing w:line="500" w:lineRule="exact"/>
              <w:ind w:left="0" w:leftChars="0" w:right="0" w:rightChars="0" w:firstLine="0" w:firstLineChars="0"/>
              <w:jc w:val="center"/>
              <w:rPr>
                <w:rFonts w:hint="default"/>
                <w:b/>
                <w:color w:val="auto"/>
                <w:sz w:val="28"/>
                <w:szCs w:val="28"/>
                <w:highlight w:val="none"/>
                <w:lang w:val="en-US" w:eastAsia="zh-CN"/>
              </w:rPr>
            </w:pPr>
            <w:r>
              <w:rPr>
                <w:rFonts w:hint="default"/>
                <w:b/>
                <w:color w:val="auto"/>
                <w:sz w:val="28"/>
                <w:szCs w:val="28"/>
                <w:highlight w:val="none"/>
                <w:lang w:val="en-US" w:eastAsia="zh-CN"/>
              </w:rPr>
              <w:t>佐证材料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7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center"/>
              <w:rPr>
                <w:rFonts w:hint="default"/>
                <w:color w:val="auto"/>
                <w:sz w:val="28"/>
                <w:szCs w:val="28"/>
                <w:highlight w:val="none"/>
                <w:lang w:val="en-US" w:eastAsia="zh-CN"/>
              </w:rPr>
            </w:pPr>
            <w:r>
              <w:rPr>
                <w:rFonts w:hint="default"/>
                <w:color w:val="auto"/>
                <w:sz w:val="28"/>
                <w:szCs w:val="28"/>
                <w:highlight w:val="none"/>
                <w:lang w:val="en-US" w:eastAsia="zh-CN"/>
              </w:rPr>
              <w:t>1.实体消费空间</w:t>
            </w:r>
          </w:p>
        </w:tc>
        <w:tc>
          <w:tcPr>
            <w:tcW w:w="2398"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left"/>
              <w:rPr>
                <w:rFonts w:hint="default"/>
                <w:color w:val="auto"/>
                <w:sz w:val="28"/>
                <w:szCs w:val="28"/>
                <w:highlight w:val="none"/>
                <w:lang w:val="en-US" w:eastAsia="zh-CN"/>
              </w:rPr>
            </w:pPr>
            <w:r>
              <w:rPr>
                <w:rFonts w:hint="default"/>
                <w:color w:val="auto"/>
                <w:sz w:val="28"/>
                <w:szCs w:val="28"/>
                <w:highlight w:val="none"/>
                <w:lang w:val="en-US" w:eastAsia="zh-CN"/>
              </w:rPr>
              <w:t>具有合法的中医药服务或相关经营资质，有固定的线下经营场所</w:t>
            </w:r>
            <w:r>
              <w:rPr>
                <w:rFonts w:hint="eastAsia"/>
                <w:color w:val="auto"/>
                <w:sz w:val="28"/>
                <w:szCs w:val="28"/>
                <w:highlight w:val="none"/>
                <w:lang w:val="en-US" w:eastAsia="zh-CN"/>
              </w:rPr>
              <w:t>，</w:t>
            </w:r>
            <w:r>
              <w:rPr>
                <w:rFonts w:hint="default"/>
                <w:color w:val="auto"/>
                <w:sz w:val="28"/>
                <w:szCs w:val="28"/>
                <w:highlight w:val="none"/>
                <w:lang w:val="en-US" w:eastAsia="zh-CN"/>
              </w:rPr>
              <w:t>项目总面积</w:t>
            </w:r>
            <w:r>
              <w:rPr>
                <w:rFonts w:hint="eastAsia"/>
                <w:color w:val="auto"/>
                <w:sz w:val="28"/>
                <w:szCs w:val="28"/>
                <w:highlight w:val="none"/>
                <w:lang w:val="en-US" w:eastAsia="zh-CN"/>
              </w:rPr>
              <w:t>≥2000㎡</w:t>
            </w:r>
          </w:p>
        </w:tc>
        <w:tc>
          <w:tcPr>
            <w:tcW w:w="19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both"/>
              <w:rPr>
                <w:rFonts w:hint="default"/>
                <w:color w:val="auto"/>
                <w:sz w:val="28"/>
                <w:szCs w:val="28"/>
                <w:highlight w:val="none"/>
                <w:lang w:val="en-US" w:eastAsia="zh-CN"/>
              </w:rPr>
            </w:pPr>
            <w:r>
              <w:rPr>
                <w:rFonts w:hint="default"/>
                <w:color w:val="auto"/>
                <w:sz w:val="28"/>
                <w:szCs w:val="28"/>
                <w:highlight w:val="none"/>
                <w:lang w:val="en-US" w:eastAsia="zh-CN"/>
              </w:rPr>
              <w:t>医疗机构执业许可证（如涉及诊疗）等资质文件，场地租赁合同/产权证明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7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center"/>
              <w:rPr>
                <w:rFonts w:hint="eastAsia"/>
                <w:color w:val="auto"/>
                <w:sz w:val="28"/>
                <w:szCs w:val="28"/>
                <w:highlight w:val="none"/>
                <w:lang w:val="en-US" w:eastAsia="zh-CN"/>
              </w:rPr>
            </w:pPr>
            <w:r>
              <w:rPr>
                <w:rFonts w:hint="eastAsia"/>
                <w:color w:val="auto"/>
                <w:sz w:val="28"/>
                <w:szCs w:val="28"/>
                <w:highlight w:val="none"/>
                <w:lang w:val="en-US" w:eastAsia="zh-CN"/>
              </w:rPr>
              <w:t>2</w:t>
            </w:r>
            <w:r>
              <w:rPr>
                <w:rFonts w:hint="default"/>
                <w:color w:val="auto"/>
                <w:sz w:val="28"/>
                <w:szCs w:val="28"/>
                <w:highlight w:val="none"/>
                <w:lang w:val="en-US" w:eastAsia="zh-CN"/>
              </w:rPr>
              <w:t>.</w:t>
            </w:r>
            <w:r>
              <w:rPr>
                <w:rFonts w:hint="eastAsia"/>
                <w:color w:val="auto"/>
                <w:sz w:val="28"/>
                <w:szCs w:val="28"/>
                <w:highlight w:val="none"/>
                <w:lang w:val="en-US" w:eastAsia="zh-CN"/>
              </w:rPr>
              <w:t>服务能力</w:t>
            </w:r>
          </w:p>
        </w:tc>
        <w:tc>
          <w:tcPr>
            <w:tcW w:w="2398"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left"/>
              <w:rPr>
                <w:rFonts w:hint="default"/>
                <w:color w:val="auto"/>
                <w:sz w:val="28"/>
                <w:szCs w:val="28"/>
                <w:highlight w:val="none"/>
                <w:lang w:val="en-US" w:eastAsia="zh-CN"/>
              </w:rPr>
            </w:pPr>
            <w:r>
              <w:rPr>
                <w:rFonts w:hint="default"/>
                <w:color w:val="auto"/>
                <w:sz w:val="28"/>
                <w:szCs w:val="28"/>
                <w:highlight w:val="none"/>
                <w:lang w:val="en-US" w:eastAsia="zh-CN"/>
              </w:rPr>
              <w:t>具备国际化服务能力</w:t>
            </w:r>
            <w:r>
              <w:rPr>
                <w:rFonts w:hint="eastAsia"/>
                <w:color w:val="auto"/>
                <w:sz w:val="28"/>
                <w:szCs w:val="28"/>
                <w:highlight w:val="none"/>
                <w:lang w:val="en-US" w:eastAsia="zh-CN"/>
              </w:rPr>
              <w:t>（如拥有双语服务人员、双语服务手册、双语标识等）</w:t>
            </w:r>
          </w:p>
        </w:tc>
        <w:tc>
          <w:tcPr>
            <w:tcW w:w="19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both"/>
              <w:rPr>
                <w:rFonts w:hint="default"/>
                <w:color w:val="auto"/>
                <w:sz w:val="28"/>
                <w:szCs w:val="28"/>
                <w:highlight w:val="none"/>
                <w:lang w:val="en-US" w:eastAsia="zh-CN"/>
              </w:rPr>
            </w:pPr>
            <w:r>
              <w:rPr>
                <w:rFonts w:hint="eastAsia"/>
                <w:color w:val="auto"/>
                <w:sz w:val="28"/>
                <w:szCs w:val="28"/>
                <w:highlight w:val="none"/>
                <w:lang w:val="en-US" w:eastAsia="zh-CN"/>
              </w:rPr>
              <w:t>劳务合同、手册文件、照片等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7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center"/>
              <w:rPr>
                <w:rFonts w:hint="default"/>
                <w:color w:val="auto"/>
                <w:sz w:val="28"/>
                <w:szCs w:val="28"/>
                <w:highlight w:val="none"/>
                <w:lang w:val="en-US" w:eastAsia="zh-CN"/>
              </w:rPr>
            </w:pPr>
            <w:r>
              <w:rPr>
                <w:rFonts w:hint="eastAsia"/>
                <w:color w:val="auto"/>
                <w:sz w:val="28"/>
                <w:szCs w:val="28"/>
                <w:highlight w:val="none"/>
                <w:lang w:val="en-US" w:eastAsia="zh-CN"/>
              </w:rPr>
              <w:t>3</w:t>
            </w:r>
            <w:r>
              <w:rPr>
                <w:rFonts w:hint="default"/>
                <w:color w:val="auto"/>
                <w:sz w:val="28"/>
                <w:szCs w:val="28"/>
                <w:highlight w:val="none"/>
                <w:lang w:val="en-US" w:eastAsia="zh-CN"/>
              </w:rPr>
              <w:t>.业态融合内容</w:t>
            </w:r>
          </w:p>
        </w:tc>
        <w:tc>
          <w:tcPr>
            <w:tcW w:w="2398"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left"/>
              <w:rPr>
                <w:rFonts w:hint="default"/>
                <w:color w:val="auto"/>
                <w:sz w:val="28"/>
                <w:szCs w:val="28"/>
                <w:highlight w:val="none"/>
                <w:lang w:val="en-US" w:eastAsia="zh-CN"/>
              </w:rPr>
            </w:pPr>
            <w:r>
              <w:rPr>
                <w:rFonts w:hint="default"/>
                <w:color w:val="auto"/>
                <w:sz w:val="28"/>
                <w:szCs w:val="28"/>
                <w:highlight w:val="none"/>
                <w:lang w:val="en-US" w:eastAsia="zh-CN"/>
              </w:rPr>
              <w:t>中医药旅游线路开发、中医药康养服务、中医药食养药膳服务等重点消费场景</w:t>
            </w:r>
          </w:p>
        </w:tc>
        <w:tc>
          <w:tcPr>
            <w:tcW w:w="19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bidi w:val="0"/>
              <w:snapToGrid w:val="0"/>
              <w:spacing w:line="500" w:lineRule="exact"/>
              <w:ind w:left="0" w:leftChars="0" w:right="0" w:rightChars="0" w:firstLine="0" w:firstLineChars="0"/>
              <w:jc w:val="both"/>
              <w:rPr>
                <w:rFonts w:hint="default"/>
                <w:color w:val="auto"/>
                <w:sz w:val="28"/>
                <w:szCs w:val="28"/>
                <w:highlight w:val="none"/>
                <w:lang w:val="en-US" w:eastAsia="zh-CN"/>
              </w:rPr>
            </w:pPr>
            <w:r>
              <w:rPr>
                <w:rFonts w:hint="default"/>
                <w:color w:val="auto"/>
                <w:sz w:val="28"/>
                <w:szCs w:val="28"/>
                <w:highlight w:val="none"/>
                <w:lang w:val="en-US" w:eastAsia="zh-CN"/>
              </w:rPr>
              <w:t>产品手册/服务套餐清单、活动方案、合作协议</w:t>
            </w:r>
            <w:r>
              <w:rPr>
                <w:rFonts w:hint="eastAsia"/>
                <w:color w:val="auto"/>
                <w:sz w:val="28"/>
                <w:szCs w:val="28"/>
                <w:highlight w:val="none"/>
                <w:lang w:val="en-US" w:eastAsia="zh-CN"/>
              </w:rPr>
              <w:t>等</w:t>
            </w:r>
          </w:p>
        </w:tc>
      </w:tr>
    </w:tbl>
    <w:p>
      <w:pPr>
        <w:bidi w:val="0"/>
        <w:rPr>
          <w:rFonts w:hint="eastAsia"/>
          <w:color w:val="auto"/>
          <w:highlight w:val="none"/>
          <w:lang w:val="en-US" w:eastAsia="zh-CN"/>
        </w:rPr>
      </w:pPr>
      <w:r>
        <w:rPr>
          <w:rFonts w:hint="eastAsia"/>
          <w:color w:val="auto"/>
          <w:highlight w:val="none"/>
          <w:lang w:val="en-US" w:eastAsia="zh-CN"/>
        </w:rPr>
        <w:t>2.项目成效总结（模板详见项目申报书）。</w:t>
      </w:r>
    </w:p>
    <w:p>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5711"/>
      <w:bookmarkStart w:id="17" w:name="_Toc19526"/>
      <w:r>
        <w:rPr>
          <w:rFonts w:hint="eastAsia" w:ascii="黑体" w:hAnsi="黑体" w:eastAsia="黑体" w:cs="仿宋"/>
          <w:color w:val="auto"/>
          <w:kern w:val="2"/>
          <w:sz w:val="32"/>
          <w:szCs w:val="22"/>
          <w:highlight w:val="none"/>
          <w:lang w:val="en-US" w:eastAsia="zh-CN" w:bidi="ar-SA"/>
        </w:rPr>
        <w:t>七、申请表格</w:t>
      </w:r>
      <w:bookmarkEnd w:id="16"/>
      <w:bookmarkEnd w:id="17"/>
    </w:p>
    <w:p>
      <w:pPr>
        <w:bidi w:val="0"/>
        <w:spacing w:line="560" w:lineRule="exact"/>
        <w:rPr>
          <w:rFonts w:hint="default"/>
          <w:color w:val="auto"/>
          <w:highlight w:val="none"/>
          <w:lang w:val="en-US" w:eastAsia="zh-CN"/>
        </w:rPr>
      </w:pPr>
      <w:r>
        <w:rPr>
          <w:rFonts w:hint="eastAsia"/>
          <w:color w:val="auto"/>
          <w:highlight w:val="none"/>
          <w:lang w:val="en-US" w:eastAsia="zh-CN"/>
        </w:rPr>
        <w:t>请线上下载并填写《</w:t>
      </w:r>
      <w:r>
        <w:rPr>
          <w:rFonts w:hint="default"/>
          <w:color w:val="auto"/>
          <w:highlight w:val="none"/>
          <w:lang w:val="en-US" w:eastAsia="zh-CN"/>
        </w:rPr>
        <w:t>深圳市2026年中央资金消费新业态新模式新场景试点项目申报书</w:t>
      </w:r>
      <w:r>
        <w:rPr>
          <w:rFonts w:hint="eastAsia"/>
          <w:color w:val="auto"/>
          <w:highlight w:val="none"/>
          <w:lang w:val="en-US" w:eastAsia="zh-CN"/>
        </w:rPr>
        <w:t>》</w:t>
      </w:r>
      <w:r>
        <w:rPr>
          <w:rFonts w:hint="default"/>
          <w:color w:val="auto"/>
          <w:highlight w:val="none"/>
          <w:lang w:val="en-US" w:eastAsia="zh-CN"/>
        </w:rPr>
        <w:t>。</w:t>
      </w:r>
    </w:p>
    <w:p>
      <w:pPr>
        <w:keepNext w:val="0"/>
        <w:keepLines w:val="0"/>
        <w:widowControl/>
        <w:bidi w:val="0"/>
        <w:spacing w:before="0" w:beforeLines="-2147483648" w:beforeAutospacing="0" w:after="0" w:afterLines="-2147483648" w:afterAutospacing="0" w:line="240" w:lineRule="auto"/>
        <w:ind w:firstLine="640" w:firstLineChars="200"/>
        <w:jc w:val="left"/>
        <w:outlineLvl w:val="9"/>
        <w:rPr>
          <w:rFonts w:hint="eastAsia" w:ascii="黑体" w:hAnsi="黑体" w:eastAsia="黑体" w:cs="仿宋"/>
          <w:color w:val="auto"/>
          <w:kern w:val="2"/>
          <w:sz w:val="32"/>
          <w:szCs w:val="22"/>
          <w:highlight w:val="none"/>
          <w:lang w:val="en-US" w:eastAsia="zh-CN" w:bidi="ar-SA"/>
        </w:rPr>
      </w:pPr>
      <w:bookmarkStart w:id="18" w:name="_Toc13760"/>
      <w:bookmarkStart w:id="19" w:name="_Toc20121"/>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keepNext/>
        <w:keepLines/>
        <w:widowControl w:val="0"/>
        <w:bidi w:val="0"/>
        <w:spacing w:before="0" w:after="0" w:line="560" w:lineRule="exact"/>
        <w:ind w:firstLine="640" w:firstLineChars="200"/>
        <w:jc w:val="both"/>
        <w:outlineLvl w:val="1"/>
        <w:rPr>
          <w:rFonts w:hint="eastAsia" w:cs="仿宋_GB2312"/>
          <w:color w:val="auto"/>
          <w:sz w:val="32"/>
          <w:szCs w:val="32"/>
          <w:highlight w:val="none"/>
          <w:u w:val="none"/>
          <w:lang w:eastAsia="zh-CN"/>
        </w:rPr>
      </w:pPr>
      <w:r>
        <w:rPr>
          <w:rFonts w:hint="eastAsia" w:cs="仿宋_GB2312"/>
          <w:color w:val="auto"/>
          <w:sz w:val="32"/>
          <w:szCs w:val="32"/>
          <w:highlight w:val="none"/>
          <w:u w:val="none"/>
          <w:lang w:eastAsia="zh-CN"/>
        </w:rPr>
        <w:t>深圳市大鹏新区商务局</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u w:val="none"/>
          <w:lang w:val="en-US" w:eastAsia="zh-CN" w:bidi="ar-SA"/>
        </w:rPr>
      </w:pPr>
      <w:r>
        <w:rPr>
          <w:rFonts w:hint="eastAsia" w:ascii="楷体" w:hAnsi="楷体" w:eastAsia="楷体" w:cstheme="majorBidi"/>
          <w:bCs/>
          <w:color w:val="auto"/>
          <w:kern w:val="2"/>
          <w:sz w:val="32"/>
          <w:szCs w:val="32"/>
          <w:highlight w:val="none"/>
          <w:u w:val="none"/>
          <w:lang w:val="en-US" w:eastAsia="zh-CN" w:bidi="ar-SA"/>
        </w:rPr>
        <w:t>（二）受理时间</w:t>
      </w:r>
    </w:p>
    <w:p>
      <w:pPr>
        <w:bidi w:val="0"/>
        <w:rPr>
          <w:rFonts w:hint="default"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1.网络填报时间：202</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年</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26</w:t>
      </w:r>
      <w:r>
        <w:rPr>
          <w:rFonts w:hint="eastAsia" w:ascii="仿宋_GB2312" w:hAnsi="宋体" w:eastAsia="仿宋_GB2312" w:cs="宋体"/>
          <w:color w:val="auto"/>
          <w:kern w:val="0"/>
          <w:sz w:val="32"/>
          <w:szCs w:val="32"/>
          <w:highlight w:val="none"/>
          <w:u w:val="none"/>
          <w:lang w:val="en-US" w:eastAsia="zh-CN"/>
        </w:rPr>
        <w:t>日-202</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17</w:t>
      </w:r>
      <w:r>
        <w:rPr>
          <w:rFonts w:hint="eastAsia" w:ascii="仿宋_GB2312" w:hAnsi="宋体" w:eastAsia="仿宋_GB2312" w:cs="宋体"/>
          <w:color w:val="auto"/>
          <w:kern w:val="0"/>
          <w:sz w:val="32"/>
          <w:szCs w:val="32"/>
          <w:highlight w:val="none"/>
          <w:u w:val="none"/>
          <w:lang w:val="en-US" w:eastAsia="zh-CN"/>
        </w:rPr>
        <w:t>日</w:t>
      </w:r>
      <w:r>
        <w:rPr>
          <w:rFonts w:hint="eastAsia" w:hAnsi="宋体" w:cs="宋体"/>
          <w:color w:val="auto"/>
          <w:kern w:val="0"/>
          <w:sz w:val="32"/>
          <w:szCs w:val="32"/>
          <w:highlight w:val="none"/>
          <w:u w:val="none"/>
          <w:lang w:val="en-US" w:eastAsia="zh-CN"/>
        </w:rPr>
        <w:t>。</w:t>
      </w:r>
    </w:p>
    <w:p>
      <w:pPr>
        <w:bidi w:val="0"/>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2.材料提交时间：2026年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日-2026年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17</w:t>
      </w:r>
      <w:r>
        <w:rPr>
          <w:rFonts w:hint="eastAsia" w:ascii="仿宋_GB2312" w:hAnsi="宋体" w:eastAsia="仿宋_GB2312" w:cs="宋体"/>
          <w:color w:val="auto"/>
          <w:kern w:val="0"/>
          <w:sz w:val="32"/>
          <w:szCs w:val="32"/>
          <w:highlight w:val="none"/>
          <w:u w:val="none"/>
          <w:lang w:val="en-US" w:eastAsia="zh-CN"/>
        </w:rPr>
        <w:t>日。</w:t>
      </w:r>
    </w:p>
    <w:p>
      <w:pPr>
        <w:bidi w:val="0"/>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（三）受理地点</w:t>
      </w:r>
    </w:p>
    <w:p>
      <w:pPr>
        <w:keepNext w:val="0"/>
        <w:keepLines w:val="0"/>
        <w:widowControl/>
        <w:suppressLineNumbers w:val="0"/>
        <w:spacing w:line="560" w:lineRule="exact"/>
        <w:jc w:val="left"/>
        <w:rPr>
          <w:rFonts w:hint="eastAsia"/>
          <w:color w:val="auto"/>
          <w:highlight w:val="none"/>
          <w:u w:val="none"/>
          <w:lang w:val="en-US" w:eastAsia="zh-CN"/>
        </w:rPr>
      </w:pPr>
      <w:r>
        <w:rPr>
          <w:rFonts w:hint="eastAsia" w:cs="仿宋_GB2312"/>
          <w:color w:val="auto"/>
          <w:sz w:val="32"/>
          <w:szCs w:val="32"/>
          <w:highlight w:val="none"/>
          <w:u w:val="none"/>
          <w:lang w:eastAsia="zh-CN"/>
        </w:rPr>
        <w:t>线上受理：</w:t>
      </w:r>
      <w:r>
        <w:rPr>
          <w:rFonts w:hint="eastAsia"/>
          <w:color w:val="auto"/>
          <w:highlight w:val="none"/>
          <w:u w:val="none"/>
          <w:lang w:val="en-US" w:eastAsia="zh-CN"/>
        </w:rPr>
        <w:fldChar w:fldCharType="begin"/>
      </w:r>
      <w:r>
        <w:rPr>
          <w:rFonts w:hint="eastAsia"/>
          <w:color w:val="auto"/>
          <w:highlight w:val="none"/>
          <w:u w:val="none"/>
          <w:lang w:val="en-US" w:eastAsia="zh-CN"/>
        </w:rPr>
        <w:instrText xml:space="preserve"> HYPERLINK "https://www.gdzwfw.gov.cn/（广东政务服务网）。" </w:instrText>
      </w:r>
      <w:r>
        <w:rPr>
          <w:rFonts w:hint="eastAsia"/>
          <w:color w:val="auto"/>
          <w:highlight w:val="none"/>
          <w:u w:val="none"/>
          <w:lang w:val="en-US" w:eastAsia="zh-CN"/>
        </w:rPr>
        <w:fldChar w:fldCharType="separate"/>
      </w:r>
      <w:r>
        <w:rPr>
          <w:rStyle w:val="21"/>
          <w:rFonts w:hint="eastAsia"/>
          <w:color w:val="auto"/>
          <w:highlight w:val="none"/>
          <w:u w:val="none"/>
          <w:lang w:val="en-US" w:eastAsia="zh-CN"/>
        </w:rPr>
        <w:t>https://www.gdzwfw.gov.cn/（广东政务服务网）。</w:t>
      </w:r>
      <w:r>
        <w:rPr>
          <w:rFonts w:hint="eastAsia"/>
          <w:color w:val="auto"/>
          <w:highlight w:val="none"/>
          <w:u w:val="none"/>
          <w:lang w:val="en-US" w:eastAsia="zh-CN"/>
        </w:rPr>
        <w:fldChar w:fldCharType="end"/>
      </w:r>
    </w:p>
    <w:p>
      <w:pPr>
        <w:keepNext w:val="0"/>
        <w:keepLines w:val="0"/>
        <w:widowControl/>
        <w:suppressLineNumbers w:val="0"/>
        <w:spacing w:line="560" w:lineRule="exact"/>
        <w:jc w:val="left"/>
        <w:rPr>
          <w:rFonts w:hint="eastAsia" w:cs="仿宋_GB2312"/>
          <w:color w:val="auto"/>
          <w:szCs w:val="32"/>
          <w:highlight w:val="none"/>
          <w:u w:val="none"/>
          <w:lang w:val="en-US" w:eastAsia="zh-CN"/>
        </w:rPr>
      </w:pPr>
      <w:r>
        <w:rPr>
          <w:rFonts w:hint="eastAsia" w:cs="仿宋_GB2312"/>
          <w:color w:val="auto"/>
          <w:sz w:val="32"/>
          <w:szCs w:val="32"/>
          <w:highlight w:val="none"/>
          <w:u w:val="none"/>
          <w:lang w:eastAsia="zh-CN"/>
        </w:rPr>
        <w:t>线下材料递交地址：</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深圳市大鹏新区葵涌街道金业大道140号生命科学产业园B13栋大鹏新区政务服务中心一楼综合窗口</w:t>
      </w:r>
      <w:r>
        <w:rPr>
          <w:rFonts w:hint="eastAsia" w:cs="仿宋_GB2312"/>
          <w:color w:val="auto"/>
          <w:szCs w:val="32"/>
          <w:highlight w:val="none"/>
          <w:u w:val="none"/>
          <w:lang w:val="en-US" w:eastAsia="zh-CN"/>
        </w:rPr>
        <w:t>。办公电</w:t>
      </w:r>
      <w:r>
        <w:rPr>
          <w:rFonts w:hint="eastAsia" w:cs="仿宋_GB2312"/>
          <w:color w:val="auto"/>
          <w:szCs w:val="32"/>
          <w:highlight w:val="none"/>
          <w:u w:val="none"/>
          <w:lang w:val="en-US" w:eastAsia="zh-CN" w:bidi="ar"/>
        </w:rPr>
        <w:t>话：</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0755-28333100</w:t>
      </w:r>
      <w:r>
        <w:rPr>
          <w:rFonts w:hint="eastAsia" w:cs="仿宋_GB2312"/>
          <w:color w:val="auto"/>
          <w:szCs w:val="32"/>
          <w:highlight w:val="none"/>
          <w:u w:val="none"/>
          <w:lang w:val="en-US" w:eastAsia="zh-CN" w:bidi="ar"/>
        </w:rPr>
        <w:t>。服</w:t>
      </w:r>
      <w:r>
        <w:rPr>
          <w:rFonts w:hint="eastAsia" w:cs="仿宋_GB2312"/>
          <w:color w:val="auto"/>
          <w:szCs w:val="32"/>
          <w:highlight w:val="none"/>
          <w:u w:val="none"/>
          <w:lang w:val="en-US" w:eastAsia="zh-CN"/>
        </w:rPr>
        <w:t>务时间：周一至周五9:00-17:30，周六9:00-12:00（法定节假日除外）。</w:t>
      </w:r>
    </w:p>
    <w:p>
      <w:pPr>
        <w:bidi w:val="0"/>
        <w:spacing w:before="0" w:after="0" w:line="560" w:lineRule="exact"/>
        <w:ind w:left="645" w:firstLine="0" w:firstLineChars="0"/>
        <w:rPr>
          <w:rFonts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（四）咨询电话</w:t>
      </w:r>
    </w:p>
    <w:p>
      <w:pPr>
        <w:bidi w:val="0"/>
        <w:spacing w:line="560" w:lineRule="exact"/>
        <w:rPr>
          <w:rFonts w:hint="eastAsia" w:ascii="仿宋_GB2312" w:hAnsi="仿宋_GB2312" w:eastAsia="仿宋_GB2312" w:cs="仿宋_GB2312"/>
          <w:color w:val="auto"/>
          <w:sz w:val="32"/>
          <w:szCs w:val="32"/>
          <w:highlight w:val="none"/>
          <w:u w:val="none"/>
        </w:rPr>
      </w:pPr>
      <w:r>
        <w:rPr>
          <w:rFonts w:hint="eastAsia" w:cs="仿宋_GB2312"/>
          <w:color w:val="auto"/>
          <w:sz w:val="32"/>
          <w:szCs w:val="32"/>
          <w:highlight w:val="none"/>
          <w:u w:val="none"/>
          <w:lang w:val="en-US" w:eastAsia="zh-CN"/>
        </w:rPr>
        <w:t>0755-28333810</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0" w:name="_Toc1376"/>
      <w:bookmarkStart w:id="21" w:name="_Toc9722"/>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125127183"/>
      <w:bookmarkStart w:id="23" w:name="_Toc161850809"/>
      <w:bookmarkStart w:id="24" w:name="_Toc2137"/>
      <w:bookmarkStart w:id="25" w:name="_Toc10305"/>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6198"/>
      <w:bookmarkStart w:id="27" w:name="_Toc11274"/>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28790"/>
      <w:bookmarkStart w:id="29" w:name="_Toc3693"/>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29872"/>
      <w:bookmarkStart w:id="31" w:name="_Toc32254"/>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9920"/>
      <w:bookmarkStart w:id="33" w:name="_Toc17239"/>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7505"/>
      <w:bookmarkStart w:id="35" w:name="_Toc6842"/>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475"/>
      <w:bookmarkStart w:id="37" w:name="_Toc3014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0677"/>
      <w:bookmarkStart w:id="39" w:name="_Toc28762"/>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r>
        <w:rPr>
          <w:rFonts w:hint="eastAsia"/>
          <w:color w:val="000000"/>
          <w:highlight w:val="none"/>
          <w:lang w:val="en-US" w:eastAsia="zh-CN"/>
        </w:rPr>
        <w:t>申报指南未尽事宜或特殊情形，以发布机构负责解释为准。</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r>
        <w:rPr>
          <w:rFonts w:hint="eastAsia"/>
          <w:color w:val="000000" w:themeColor="text1"/>
          <w:highlight w:val="none"/>
          <w:lang w:val="en-US" w:eastAsia="zh-CN"/>
          <w14:textFill>
            <w14:solidFill>
              <w14:schemeClr w14:val="tx1"/>
            </w14:solidFill>
          </w14:textFill>
        </w:rPr>
        <w:t>（</w:t>
      </w:r>
      <w:r>
        <w:rPr>
          <w:rFonts w:hint="eastAsia" w:ascii="仿宋_GB2312" w:hAnsi="仿宋_GB2312" w:eastAsia="仿宋_GB2312" w:cs="仿宋"/>
          <w:i w:val="0"/>
          <w:iCs w:val="0"/>
          <w:caps w:val="0"/>
          <w:color w:val="000000" w:themeColor="text1"/>
          <w:spacing w:val="0"/>
          <w:kern w:val="2"/>
          <w:sz w:val="32"/>
          <w:szCs w:val="22"/>
          <w:highlight w:val="none"/>
          <w:shd w:val="clear" w:fill="auto"/>
          <w:lang w:val="en-US" w:eastAsia="zh-CN" w:bidi="ar"/>
          <w14:textFill>
            <w14:solidFill>
              <w14:schemeClr w14:val="tx1"/>
            </w14:solidFill>
          </w14:textFill>
        </w:rPr>
        <w:t>0755-88159722</w:t>
      </w:r>
      <w:r>
        <w:rPr>
          <w:rFonts w:hint="eastAsia"/>
          <w:color w:val="000000" w:themeColor="text1"/>
          <w:highlight w:val="none"/>
          <w:lang w:val="en-US" w:eastAsia="zh-CN"/>
          <w14:textFill>
            <w14:solidFill>
              <w14:schemeClr w14:val="tx1"/>
            </w14:solidFill>
          </w14:textFill>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八</w:t>
      </w:r>
      <w:r>
        <w:rPr>
          <w:rFonts w:hint="eastAsia"/>
          <w:color w:val="auto"/>
          <w:highlight w:val="none"/>
          <w:lang w:eastAsia="zh-CN"/>
        </w:rPr>
        <w:t>）</w:t>
      </w:r>
      <w:r>
        <w:rPr>
          <w:rFonts w:hint="eastAsia"/>
          <w:color w:val="auto"/>
          <w:highlight w:val="none"/>
          <w:lang w:val="en-US" w:eastAsia="zh-CN"/>
        </w:rPr>
        <w:t>若项目服务资质被吊销或出现重大医疗纠纷，需立即退回资助资金并终止支持。</w:t>
      </w:r>
    </w:p>
    <w:p>
      <w:pPr>
        <w:bidi w:val="0"/>
        <w:rPr>
          <w:rFonts w:hint="eastAsia"/>
          <w:color w:val="auto"/>
          <w:highlight w:val="none"/>
          <w:lang w:val="en-US" w:eastAsia="zh-CN"/>
        </w:rPr>
      </w:pPr>
      <w:r>
        <w:rPr>
          <w:rFonts w:hint="eastAsia"/>
          <w:color w:val="auto"/>
          <w:highlight w:val="none"/>
          <w:lang w:eastAsia="zh-CN"/>
        </w:rPr>
        <w:t>（九）</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bidi w:val="0"/>
        <w:rPr>
          <w:rFonts w:hint="eastAsia"/>
          <w:color w:val="auto"/>
          <w:highlight w:val="none"/>
          <w:lang w:val="en-US" w:eastAsia="zh-CN"/>
        </w:rPr>
      </w:pPr>
    </w:p>
    <w:p>
      <w:pPr>
        <w:bidi w:val="0"/>
        <w:rPr>
          <w:rFonts w:hint="eastAsia" w:eastAsia="仿宋_GB2312"/>
          <w:color w:val="auto"/>
          <w:highlight w:val="none"/>
          <w:lang w:eastAsia="zh-CN"/>
        </w:rPr>
      </w:pPr>
      <w:bookmarkStart w:id="40" w:name="_GoBack"/>
      <w:bookmarkEnd w:id="40"/>
    </w:p>
    <w:p>
      <w:pPr>
        <w:bidi w:val="0"/>
        <w:rPr>
          <w:rFonts w:hint="eastAsia"/>
          <w:color w:val="auto"/>
          <w:highlight w:val="none"/>
        </w:rPr>
      </w:pPr>
    </w:p>
    <w:bookmarkEnd w:id="22"/>
    <w:bookmarkEnd w:id="23"/>
    <w:bookmarkEnd w:id="24"/>
    <w:bookmarkEnd w:id="25"/>
    <w:p>
      <w:pPr>
        <w:pStyle w:val="17"/>
        <w:rPr>
          <w:rFonts w:ascii="仿宋_GB2312" w:hAnsi="仿宋_GB2312"/>
          <w:color w:val="auto"/>
          <w:highlight w:val="none"/>
        </w:rPr>
      </w:pPr>
    </w:p>
    <w:sectPr>
      <w:footerReference r:id="rId5"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1"/>
    <w:family w:val="swiss"/>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2"/>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2627A1C"/>
    <w:rsid w:val="02803A46"/>
    <w:rsid w:val="02CB1CF7"/>
    <w:rsid w:val="02DA63DE"/>
    <w:rsid w:val="02E93786"/>
    <w:rsid w:val="032C6A46"/>
    <w:rsid w:val="03B55433"/>
    <w:rsid w:val="04E2E7FF"/>
    <w:rsid w:val="06426774"/>
    <w:rsid w:val="070F7027"/>
    <w:rsid w:val="082C1BA1"/>
    <w:rsid w:val="08461CA3"/>
    <w:rsid w:val="099B1C43"/>
    <w:rsid w:val="0A2D6324"/>
    <w:rsid w:val="0A6C5760"/>
    <w:rsid w:val="0B35692F"/>
    <w:rsid w:val="0B4456D1"/>
    <w:rsid w:val="0BAD1FAB"/>
    <w:rsid w:val="0BE1742C"/>
    <w:rsid w:val="0D1F0CED"/>
    <w:rsid w:val="0F605C7A"/>
    <w:rsid w:val="0F95719B"/>
    <w:rsid w:val="0FE131A1"/>
    <w:rsid w:val="10BF0BFF"/>
    <w:rsid w:val="11A73770"/>
    <w:rsid w:val="124226AB"/>
    <w:rsid w:val="126D73E5"/>
    <w:rsid w:val="12B144B1"/>
    <w:rsid w:val="13404115"/>
    <w:rsid w:val="13A40095"/>
    <w:rsid w:val="14053C83"/>
    <w:rsid w:val="15C958A9"/>
    <w:rsid w:val="163D2AB4"/>
    <w:rsid w:val="172A2DF8"/>
    <w:rsid w:val="17391889"/>
    <w:rsid w:val="17645F1C"/>
    <w:rsid w:val="176D401C"/>
    <w:rsid w:val="17B005EC"/>
    <w:rsid w:val="183C74C7"/>
    <w:rsid w:val="185533C0"/>
    <w:rsid w:val="187E0EC3"/>
    <w:rsid w:val="18AB1F57"/>
    <w:rsid w:val="190653E0"/>
    <w:rsid w:val="197B53D3"/>
    <w:rsid w:val="19B65CFF"/>
    <w:rsid w:val="1B137764"/>
    <w:rsid w:val="1C210334"/>
    <w:rsid w:val="1C964CCC"/>
    <w:rsid w:val="1CFC17D2"/>
    <w:rsid w:val="1EBE0883"/>
    <w:rsid w:val="205A510F"/>
    <w:rsid w:val="21127D99"/>
    <w:rsid w:val="21A5207B"/>
    <w:rsid w:val="22C22819"/>
    <w:rsid w:val="22E8050C"/>
    <w:rsid w:val="24004A92"/>
    <w:rsid w:val="246A3FA3"/>
    <w:rsid w:val="25BF43FD"/>
    <w:rsid w:val="26E72CF4"/>
    <w:rsid w:val="2976170C"/>
    <w:rsid w:val="2A104310"/>
    <w:rsid w:val="2A1A1904"/>
    <w:rsid w:val="2A4B3E74"/>
    <w:rsid w:val="2AE65214"/>
    <w:rsid w:val="2B3E8AD3"/>
    <w:rsid w:val="2BA068F1"/>
    <w:rsid w:val="2C2A1457"/>
    <w:rsid w:val="2CAE0A32"/>
    <w:rsid w:val="2D65712B"/>
    <w:rsid w:val="2EEE88B7"/>
    <w:rsid w:val="2F0A3862"/>
    <w:rsid w:val="2FFC0AFB"/>
    <w:rsid w:val="302C0287"/>
    <w:rsid w:val="31A95387"/>
    <w:rsid w:val="31B31F93"/>
    <w:rsid w:val="321653A8"/>
    <w:rsid w:val="322E20A6"/>
    <w:rsid w:val="329C19A3"/>
    <w:rsid w:val="32F52701"/>
    <w:rsid w:val="341A4C22"/>
    <w:rsid w:val="347B2CCE"/>
    <w:rsid w:val="352B3694"/>
    <w:rsid w:val="363C0287"/>
    <w:rsid w:val="3654545B"/>
    <w:rsid w:val="36565190"/>
    <w:rsid w:val="366C2500"/>
    <w:rsid w:val="37FF7933"/>
    <w:rsid w:val="382C7B34"/>
    <w:rsid w:val="387303F9"/>
    <w:rsid w:val="3B0E3D0E"/>
    <w:rsid w:val="3B2F70A2"/>
    <w:rsid w:val="3BFC17F2"/>
    <w:rsid w:val="3CFD6976"/>
    <w:rsid w:val="3D5D42F6"/>
    <w:rsid w:val="3D68552C"/>
    <w:rsid w:val="3DB808BA"/>
    <w:rsid w:val="3DFE7BCE"/>
    <w:rsid w:val="407A2ECB"/>
    <w:rsid w:val="418D6C3A"/>
    <w:rsid w:val="423806ED"/>
    <w:rsid w:val="428230B1"/>
    <w:rsid w:val="437A5877"/>
    <w:rsid w:val="43BB3CEC"/>
    <w:rsid w:val="44A91A1A"/>
    <w:rsid w:val="44D052C5"/>
    <w:rsid w:val="46AE1F3D"/>
    <w:rsid w:val="473C23B2"/>
    <w:rsid w:val="474450E0"/>
    <w:rsid w:val="475B3A97"/>
    <w:rsid w:val="47781E40"/>
    <w:rsid w:val="48541414"/>
    <w:rsid w:val="486936D2"/>
    <w:rsid w:val="48E05859"/>
    <w:rsid w:val="4900762E"/>
    <w:rsid w:val="4A6B0082"/>
    <w:rsid w:val="4AB56AE2"/>
    <w:rsid w:val="4B0038EE"/>
    <w:rsid w:val="4B6E7935"/>
    <w:rsid w:val="4BE372DC"/>
    <w:rsid w:val="4C7B0D4E"/>
    <w:rsid w:val="4C7DD7DC"/>
    <w:rsid w:val="4DDB2728"/>
    <w:rsid w:val="4DF787A7"/>
    <w:rsid w:val="4E7E74BD"/>
    <w:rsid w:val="4E805B64"/>
    <w:rsid w:val="4FC2745B"/>
    <w:rsid w:val="509A0D5C"/>
    <w:rsid w:val="52252BFC"/>
    <w:rsid w:val="54D06548"/>
    <w:rsid w:val="54E753F5"/>
    <w:rsid w:val="563F7F48"/>
    <w:rsid w:val="56F7427F"/>
    <w:rsid w:val="5779221D"/>
    <w:rsid w:val="589B5008"/>
    <w:rsid w:val="58A326D8"/>
    <w:rsid w:val="59413C36"/>
    <w:rsid w:val="59466376"/>
    <w:rsid w:val="59F033A8"/>
    <w:rsid w:val="5BB7815E"/>
    <w:rsid w:val="5BF51433"/>
    <w:rsid w:val="5BFEFAA9"/>
    <w:rsid w:val="5E992A9C"/>
    <w:rsid w:val="5EEFFC80"/>
    <w:rsid w:val="5F28482B"/>
    <w:rsid w:val="5FFF8D5C"/>
    <w:rsid w:val="60C802BC"/>
    <w:rsid w:val="623151CA"/>
    <w:rsid w:val="64312FEF"/>
    <w:rsid w:val="64DB7056"/>
    <w:rsid w:val="66982F4F"/>
    <w:rsid w:val="66F04EFF"/>
    <w:rsid w:val="6780529D"/>
    <w:rsid w:val="6888651F"/>
    <w:rsid w:val="6894168D"/>
    <w:rsid w:val="69B52798"/>
    <w:rsid w:val="6A7451AD"/>
    <w:rsid w:val="6AC14C27"/>
    <w:rsid w:val="6B180981"/>
    <w:rsid w:val="6BC41409"/>
    <w:rsid w:val="6C030E4B"/>
    <w:rsid w:val="6C5C62E3"/>
    <w:rsid w:val="6CAB30BC"/>
    <w:rsid w:val="6CED51AD"/>
    <w:rsid w:val="6DE96D78"/>
    <w:rsid w:val="6DEC85AE"/>
    <w:rsid w:val="6FCC3E6E"/>
    <w:rsid w:val="6FEF791D"/>
    <w:rsid w:val="6FEFB7EB"/>
    <w:rsid w:val="701C78E1"/>
    <w:rsid w:val="71D6011D"/>
    <w:rsid w:val="71E7B62A"/>
    <w:rsid w:val="72694444"/>
    <w:rsid w:val="72AF14FA"/>
    <w:rsid w:val="73A0155B"/>
    <w:rsid w:val="74F90479"/>
    <w:rsid w:val="75FD716A"/>
    <w:rsid w:val="7625601A"/>
    <w:rsid w:val="77BF249E"/>
    <w:rsid w:val="77DE7E15"/>
    <w:rsid w:val="78D33F7B"/>
    <w:rsid w:val="798E36E0"/>
    <w:rsid w:val="7995233F"/>
    <w:rsid w:val="79B756FB"/>
    <w:rsid w:val="79F8EE65"/>
    <w:rsid w:val="7BA7127F"/>
    <w:rsid w:val="7BFFEAC2"/>
    <w:rsid w:val="7C1A6A34"/>
    <w:rsid w:val="7CBE4AD3"/>
    <w:rsid w:val="7D1C7CE5"/>
    <w:rsid w:val="7D9DAF96"/>
    <w:rsid w:val="7DFEDB60"/>
    <w:rsid w:val="7EFF7B60"/>
    <w:rsid w:val="7F363046"/>
    <w:rsid w:val="7FDA7B43"/>
    <w:rsid w:val="7FE63C34"/>
    <w:rsid w:val="7FEF9ED4"/>
    <w:rsid w:val="8EFFBC18"/>
    <w:rsid w:val="A6F7FB93"/>
    <w:rsid w:val="B11BCFB9"/>
    <w:rsid w:val="B7FD6DEF"/>
    <w:rsid w:val="BD737366"/>
    <w:rsid w:val="BD7C774F"/>
    <w:rsid w:val="BFEA2FCE"/>
    <w:rsid w:val="CAD9C8C3"/>
    <w:rsid w:val="CFCFBB90"/>
    <w:rsid w:val="D5BAC5CF"/>
    <w:rsid w:val="D6EF5D56"/>
    <w:rsid w:val="D9D2F7FD"/>
    <w:rsid w:val="DFFF2255"/>
    <w:rsid w:val="EF7F522E"/>
    <w:rsid w:val="EFF77BA1"/>
    <w:rsid w:val="F19A24D3"/>
    <w:rsid w:val="F46D532E"/>
    <w:rsid w:val="F9FF92FE"/>
    <w:rsid w:val="FBA52FD5"/>
    <w:rsid w:val="FD9F4605"/>
    <w:rsid w:val="FDE87A96"/>
    <w:rsid w:val="FF1A0A57"/>
    <w:rsid w:val="FF6BAA87"/>
    <w:rsid w:val="FFFEE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4836</Words>
  <Characters>4990</Characters>
  <Lines>0</Lines>
  <Paragraphs>0</Paragraphs>
  <TotalTime>0</TotalTime>
  <ScaleCrop>false</ScaleCrop>
  <LinksUpToDate>false</LinksUpToDate>
  <CharactersWithSpaces>4996</CharactersWithSpaces>
  <Application>WPS Office_11.8.2.11806_F1E327BC-269C-435d-A152-05C5408002CA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2025-07-10T02:47:00Z</dcterms:created>
  <dc:creator>黄佩琳</dc:creator>
  <cp:lastModifiedBy>黎恩</cp:lastModifiedBy>
  <cp:lastPrinted>2026-03-20T06:46:00Z</cp:lastPrinted>
  <dcterms:modified xsi:type="dcterms:W3CDTF">2026-06-26T09:26:26Z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2052-11.8.2.11806</vt:lpwstr>
  </property>
  <property fmtid="{D5CDD505-2E9C-101B-9397-08002B2CF9AE}" pid="3" name="ICV">
    <vt:lpwstr>B6770887BB9B4A20983323186E0BC1E7_13</vt:lpwstr>
  </property>
  <property fmtid="{D5CDD505-2E9C-101B-9397-08002B2CF9AE}" pid="4" name="KSOTemplateDocerSaveRecord">
    <vt:lpwstr>eyJoZGlkIjoiY2NiNzc0ZWE4MzBjY2JmMGYyMmY4NjkxNmNhZGJlNDUiLCJ1c2VySWQiOiI4NzUyMjIyNTQifQ==</vt:lpwstr>
  </property>
</Properties>
</file>