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default" w:ascii="黑体" w:hAnsi="黑体" w:eastAsia="黑体" w:cs="黑体"/>
          <w:color w:val="000000" w:themeColor="text1"/>
          <w:sz w:val="32"/>
          <w:szCs w:val="32"/>
          <w:highlight w:val="none"/>
          <w:lang w:val="en-US" w:eastAsia="zh-CN"/>
          <w14:textFill>
            <w14:solidFill>
              <w14:schemeClr w14:val="tx1"/>
            </w14:solidFill>
          </w14:textFill>
        </w:rPr>
      </w:pPr>
      <w:bookmarkStart w:id="0" w:name="_Toc5810"/>
      <w:bookmarkStart w:id="1" w:name="_Toc32562"/>
      <w:bookmarkStart w:id="2" w:name="_Toc125127182"/>
      <w:bookmarkStart w:id="3" w:name="_Toc13216"/>
      <w:r>
        <w:rPr>
          <w:rFonts w:hint="eastAsia" w:ascii="黑体" w:hAnsi="黑体" w:eastAsia="黑体" w:cs="黑体"/>
          <w:color w:val="000000" w:themeColor="text1"/>
          <w:sz w:val="32"/>
          <w:szCs w:val="32"/>
          <w:highlight w:val="none"/>
          <w:lang w:val="en-US" w:eastAsia="zh-CN"/>
          <w14:textFill>
            <w14:solidFill>
              <w14:schemeClr w14:val="tx1"/>
            </w14:solidFill>
          </w14:textFill>
        </w:rPr>
        <w:t>附件</w:t>
      </w:r>
      <w:r>
        <w:rPr>
          <w:rFonts w:hint="default" w:ascii="黑体" w:hAnsi="黑体" w:eastAsia="黑体" w:cs="黑体"/>
          <w:color w:val="000000" w:themeColor="text1"/>
          <w:sz w:val="32"/>
          <w:szCs w:val="32"/>
          <w:highlight w:val="none"/>
          <w:lang w:val="en-US" w:eastAsia="zh-CN"/>
          <w14:textFill>
            <w14:solidFill>
              <w14:schemeClr w14:val="tx1"/>
            </w14:solidFill>
          </w14:textFill>
        </w:rPr>
        <w:t>5</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eastAsia" w:ascii="黑体" w:hAnsi="黑体" w:eastAsia="黑体" w:cs="黑体"/>
          <w:color w:val="000000" w:themeColor="text1"/>
          <w:sz w:val="32"/>
          <w:szCs w:val="32"/>
          <w:highlight w:val="none"/>
          <w:lang w:val="en-US" w:eastAsia="zh-CN"/>
          <w14:textFill>
            <w14:solidFill>
              <w14:schemeClr w14:val="tx1"/>
            </w14:solidFill>
          </w14:textFill>
        </w:rPr>
      </w:pPr>
    </w:p>
    <w:bookmarkEnd w:id="0"/>
    <w:bookmarkEnd w:id="1"/>
    <w:bookmarkEnd w:id="2"/>
    <w:bookmarkEnd w:id="3"/>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pPr>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深圳市2026年中央资金消费新业态新模式新场景试点（支持创新多元化服务消费场景</w:t>
      </w:r>
      <w:r>
        <w:rPr>
          <w:rFonts w:hint="default"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w:t>
      </w:r>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重点赛事活动“进商圈、进街区、进景区”资助</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ascii="方正小标宋简体" w:hAnsi="宋体" w:eastAsia="方正小标宋简体" w:cs="宋体"/>
          <w:color w:val="000000" w:themeColor="text1"/>
          <w:kern w:val="0"/>
          <w:sz w:val="44"/>
          <w:szCs w:val="44"/>
          <w:highlight w:val="none"/>
          <w:lang w:val="en-US" w:eastAsia="zh-CN" w:bidi="ar-SA"/>
          <w14:textFill>
            <w14:solidFill>
              <w14:schemeClr w14:val="tx1"/>
            </w14:solidFill>
          </w14:textFill>
        </w:rPr>
      </w:pPr>
      <w:r>
        <w:rPr>
          <w:rFonts w:hint="default"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项目</w:t>
      </w:r>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）申报指南</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000000" w:themeColor="text1"/>
          <w:kern w:val="2"/>
          <w:sz w:val="36"/>
          <w:szCs w:val="36"/>
          <w:highlight w:val="none"/>
          <w:lang w:val="en-US" w:eastAsia="zh-CN" w:bidi="ar-SA"/>
          <w14:textFill>
            <w14:solidFill>
              <w14:schemeClr w14:val="tx1"/>
            </w14:solidFill>
          </w14:textFill>
        </w:rPr>
      </w:pPr>
    </w:p>
    <w:p>
      <w:pPr>
        <w:keepNext w:val="0"/>
        <w:keepLines w:val="0"/>
        <w:widowControl/>
        <w:numPr>
          <w:ilvl w:val="0"/>
          <w:numId w:val="1"/>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GB" w:eastAsia="zh-CN" w:bidi="ar-SA"/>
          <w14:textFill>
            <w14:solidFill>
              <w14:schemeClr w14:val="tx1"/>
            </w14:solidFill>
          </w14:textFill>
        </w:rPr>
      </w:pPr>
      <w:bookmarkStart w:id="4" w:name="_Toc20798"/>
      <w:bookmarkStart w:id="5" w:name="_Toc24194"/>
      <w:r>
        <w:rPr>
          <w:rFonts w:hint="eastAsia" w:ascii="仿宋_GB2312" w:hAnsi="仿宋_GB2312" w:eastAsia="黑体" w:cs="Times New Roman"/>
          <w:b w:val="0"/>
          <w:bCs/>
          <w:color w:val="000000" w:themeColor="text1"/>
          <w:kern w:val="36"/>
          <w:sz w:val="32"/>
          <w:szCs w:val="48"/>
          <w:highlight w:val="none"/>
          <w:lang w:val="en-GB" w:eastAsia="zh-CN" w:bidi="ar-SA"/>
          <w14:textFill>
            <w14:solidFill>
              <w14:schemeClr w14:val="tx1"/>
            </w14:solidFill>
          </w14:textFill>
        </w:rPr>
        <w:t>支持领域</w:t>
      </w:r>
      <w:bookmarkEnd w:id="4"/>
      <w:bookmarkEnd w:id="5"/>
    </w:p>
    <w:p>
      <w:pPr>
        <w:bidi w:val="0"/>
        <w:spacing w:before="0" w:after="0" w:line="560" w:lineRule="exact"/>
        <w:ind w:firstLine="640"/>
        <w:rPr>
          <w:rFonts w:hint="eastAsia"/>
          <w:color w:val="auto"/>
          <w:highlight w:val="none"/>
          <w:lang w:val="en-US" w:eastAsia="zh-CN"/>
        </w:rPr>
      </w:pPr>
      <w:r>
        <w:rPr>
          <w:rStyle w:val="6"/>
          <w:rFonts w:hint="eastAsia" w:ascii="仿宋_GB2312" w:hAnsi="仿宋_GB2312" w:eastAsia="仿宋_GB2312" w:cs="仿宋_GB2312"/>
          <w:color w:val="auto"/>
          <w:sz w:val="32"/>
          <w:szCs w:val="32"/>
          <w:highlight w:val="none"/>
          <w:lang w:val="en-US" w:eastAsia="zh-CN"/>
        </w:rPr>
        <w:t>支持重点赛事活动“进商圈、进街区、进景区”。</w:t>
      </w:r>
    </w:p>
    <w:p>
      <w:pPr>
        <w:keepNext w:val="0"/>
        <w:keepLines w:val="0"/>
        <w:widowControl/>
        <w:numPr>
          <w:ilvl w:val="0"/>
          <w:numId w:val="1"/>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6" w:name="_Toc15437"/>
      <w:bookmarkStart w:id="7" w:name="_Toc8852"/>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设定依据</w:t>
      </w:r>
      <w:bookmarkEnd w:id="6"/>
      <w:bookmarkEnd w:id="7"/>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（一）资金政策依据</w:t>
      </w:r>
    </w:p>
    <w:p>
      <w:pPr>
        <w:widowControl/>
        <w:bidi w:val="0"/>
        <w:spacing w:before="0" w:after="0" w:line="560" w:lineRule="exact"/>
        <w:ind w:firstLine="640" w:firstLineChars="200"/>
        <w:rPr>
          <w:rFonts w:hint="eastAsia" w:ascii="仿宋_GB2312" w:hAnsi="仿宋_GB2312" w:eastAsia="仿宋_GB2312" w:cs="Times New Roman"/>
          <w:color w:val="000000" w:themeColor="text1"/>
          <w:sz w:val="32"/>
          <w:szCs w:val="32"/>
          <w:highlight w:val="none"/>
          <w:lang w:val="en-US" w:eastAsia="zh-CN"/>
          <w14:textFill>
            <w14:solidFill>
              <w14:schemeClr w14:val="tx1"/>
            </w14:solidFill>
          </w14:textFill>
        </w:rPr>
      </w:pPr>
      <w:r>
        <w:rPr>
          <w:rFonts w:hint="eastAsia" w:cs="Times New Roman"/>
          <w:color w:val="000000" w:themeColor="text1"/>
          <w:sz w:val="32"/>
          <w:szCs w:val="32"/>
          <w:highlight w:val="none"/>
          <w:lang w:eastAsia="zh-CN"/>
          <w14:textFill>
            <w14:solidFill>
              <w14:schemeClr w14:val="tx1"/>
            </w14:solidFill>
          </w14:textFill>
        </w:rPr>
        <w:t>《财政部 商务部关于开展消费新业态新模式新场景试点工作的通知》（</w:t>
      </w:r>
      <w:r>
        <w:rPr>
          <w:rFonts w:hint="eastAsia" w:cs="Times New Roman"/>
          <w:color w:val="000000" w:themeColor="text1"/>
          <w:sz w:val="32"/>
          <w:szCs w:val="32"/>
          <w:highlight w:val="none"/>
          <w:lang w:val="en-US" w:eastAsia="zh-CN"/>
          <w14:textFill>
            <w14:solidFill>
              <w14:schemeClr w14:val="tx1"/>
            </w14:solidFill>
          </w14:textFill>
        </w:rPr>
        <w:t>财建〔2025〕341号</w:t>
      </w:r>
      <w:r>
        <w:rPr>
          <w:rFonts w:hint="eastAsia" w:cs="Times New Roman"/>
          <w:color w:val="000000" w:themeColor="text1"/>
          <w:sz w:val="32"/>
          <w:szCs w:val="32"/>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（二）资金管理依据</w:t>
      </w:r>
    </w:p>
    <w:p>
      <w:pPr>
        <w:bidi w:val="0"/>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hAnsi="仿宋_GB2312" w:eastAsia="仿宋_GB2312" w:cs="Times New Roman"/>
          <w:color w:val="000000" w:themeColor="text1"/>
          <w:sz w:val="32"/>
          <w:szCs w:val="32"/>
          <w:highlight w:val="none"/>
          <w:lang w:val="en-US" w:eastAsia="zh-CN"/>
          <w14:textFill>
            <w14:solidFill>
              <w14:schemeClr w14:val="tx1"/>
            </w14:solidFill>
          </w14:textFill>
        </w:rPr>
        <w:t>1.</w:t>
      </w:r>
      <w:r>
        <w:rPr>
          <w:rFonts w:hint="eastAsia" w:ascii="仿宋_GB2312" w:eastAsia="仿宋_GB2312"/>
          <w:color w:val="000000" w:themeColor="text1"/>
          <w:highlight w:val="none"/>
          <w:lang w:val="en-US" w:eastAsia="zh-CN"/>
          <w14:textFill>
            <w14:solidFill>
              <w14:schemeClr w14:val="tx1"/>
            </w14:solidFill>
          </w14:textFill>
        </w:rPr>
        <w:t>《深圳市消费新业态新模式新场景试点城市建设资金管理办法》</w:t>
      </w:r>
    </w:p>
    <w:p>
      <w:pPr>
        <w:bidi w:val="0"/>
        <w:rPr>
          <w:rFonts w:hint="eastAsia"/>
          <w:color w:val="000000" w:themeColor="text1"/>
          <w:highlight w:val="none"/>
          <w:u w:val="singl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2.</w:t>
      </w:r>
      <w:r>
        <w:rPr>
          <w:rFonts w:hint="eastAsia" w:ascii="仿宋_GB2312" w:hAnsi="仿宋_GB2312" w:eastAsia="仿宋_GB2312" w:cs="仿宋_GB2312"/>
          <w:color w:val="auto"/>
          <w:sz w:val="32"/>
          <w:szCs w:val="32"/>
          <w:highlight w:val="none"/>
          <w:lang w:val="en-US" w:eastAsia="zh-CN"/>
        </w:rPr>
        <w:t>《深圳市商务高质量发展专项资金管理办法》（深商务规〔2025〕4号）</w:t>
      </w:r>
    </w:p>
    <w:p>
      <w:pPr>
        <w:keepNext w:val="0"/>
        <w:keepLines w:val="0"/>
        <w:widowControl/>
        <w:numPr>
          <w:ilvl w:val="0"/>
          <w:numId w:val="1"/>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8" w:name="_Toc18411"/>
      <w:bookmarkStart w:id="9" w:name="_Toc21755"/>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支持数量和支持方式</w:t>
      </w:r>
      <w:bookmarkEnd w:id="8"/>
      <w:bookmarkEnd w:id="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（一）支持数量</w:t>
      </w:r>
    </w:p>
    <w:p>
      <w:pPr>
        <w:bidi w:val="0"/>
        <w:rPr>
          <w:rFonts w:hint="eastAsia"/>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有数量限制，受财政下达年度资金预算控制，视申报情况，我局据以对</w:t>
      </w:r>
      <w:r>
        <w:rPr>
          <w:rFonts w:hint="eastAsia"/>
          <w:color w:val="000000" w:themeColor="text1"/>
          <w:highlight w:val="none"/>
          <w:lang w:val="en-US" w:eastAsia="zh-CN"/>
          <w14:textFill>
            <w14:solidFill>
              <w14:schemeClr w14:val="tx1"/>
            </w14:solidFill>
          </w14:textFill>
        </w:rPr>
        <w:t>资助</w:t>
      </w:r>
      <w:r>
        <w:rPr>
          <w:rFonts w:hint="eastAsia" w:ascii="仿宋_GB2312" w:eastAsia="仿宋_GB2312"/>
          <w:color w:val="000000" w:themeColor="text1"/>
          <w:highlight w:val="none"/>
          <w:lang w:val="en-US" w:eastAsia="zh-CN"/>
          <w14:textFill>
            <w14:solidFill>
              <w14:schemeClr w14:val="tx1"/>
            </w14:solidFill>
          </w14:textFill>
        </w:rPr>
        <w:t>金额和拨付进度等进行统一调整，申报单位应无条件同意调整结果。</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（二）支持方式</w:t>
      </w:r>
    </w:p>
    <w:p>
      <w:pPr>
        <w:bidi w:val="0"/>
        <w:rPr>
          <w:rFonts w:hint="eastAsia"/>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事后资助，自愿申报。</w:t>
      </w:r>
    </w:p>
    <w:p>
      <w:pPr>
        <w:keepNext w:val="0"/>
        <w:keepLines w:val="0"/>
        <w:widowControl/>
        <w:numPr>
          <w:ilvl w:val="0"/>
          <w:numId w:val="1"/>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10" w:name="_Toc431"/>
      <w:bookmarkStart w:id="11" w:name="_Toc15307"/>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申报条件</w:t>
      </w:r>
      <w:bookmarkEnd w:id="10"/>
      <w:bookmarkEnd w:id="11"/>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（一）基础条件</w:t>
      </w:r>
    </w:p>
    <w:p>
      <w:pPr>
        <w:keepNext/>
        <w:keepLines/>
        <w:widowControl w:val="0"/>
        <w:bidi w:val="0"/>
        <w:spacing w:before="0" w:after="0" w:line="560" w:lineRule="exact"/>
        <w:ind w:firstLine="640" w:firstLineChars="200"/>
        <w:jc w:val="both"/>
        <w:outlineLvl w:val="1"/>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1.申报单位为在深圳市实际从事经营活动的企业、事业单位。</w:t>
      </w:r>
    </w:p>
    <w:p>
      <w:pPr>
        <w:keepNext/>
        <w:keepLines/>
        <w:widowControl w:val="0"/>
        <w:bidi w:val="0"/>
        <w:spacing w:before="0" w:after="0" w:line="560" w:lineRule="exact"/>
        <w:ind w:firstLine="640" w:firstLineChars="200"/>
        <w:jc w:val="both"/>
        <w:outlineLvl w:val="1"/>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2.申报单位应为消费新业态新模式新场景试点项目（即申报项目）的实际建设或运营主体，项目所在地应在深圳市（含深汕特别合作区，下同）。</w:t>
      </w:r>
    </w:p>
    <w:p>
      <w:pPr>
        <w:keepNext/>
        <w:keepLines/>
        <w:widowControl w:val="0"/>
        <w:bidi w:val="0"/>
        <w:spacing w:before="0" w:after="0" w:line="560" w:lineRule="exact"/>
        <w:ind w:firstLine="640" w:firstLineChars="200"/>
        <w:jc w:val="both"/>
        <w:outlineLvl w:val="1"/>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3.申报单位未被国家、省、市有关部门列入严重失信主体名单实施失信惩戒，未被明确限制申请财政性资金项目且在限制期内；未拖欠应缴还的财政性资金。</w:t>
      </w:r>
    </w:p>
    <w:p>
      <w:pPr>
        <w:bidi w:val="0"/>
        <w:rPr>
          <w:rFonts w:hint="eastAsia"/>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4</w:t>
      </w:r>
      <w:r>
        <w:rPr>
          <w:rFonts w:hint="eastAsia"/>
          <w:color w:val="000000" w:themeColor="text1"/>
          <w:highlight w:val="none"/>
          <w:lang w:val="en-US" w:eastAsia="zh-CN"/>
          <w14:textFill>
            <w14:solidFill>
              <w14:schemeClr w14:val="tx1"/>
            </w14:solidFill>
          </w14:textFill>
        </w:rPr>
        <w:t>.申报单位应保证资金真实申报、合规使用和有效管理；应对申报材料的真实性、合法性、完整性负责，应如实提供本单位信用状况，承担违约责任并作出承诺，不得弄虚作假、套取、骗取财政资金。</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5.申报单位不存在以同一项目或同一费用重复或多头申报的情形，已从其他渠道获得中央财政资金支持的项目，不得重复申请本资金支持，包括但不限于中央基建投资、现代商贸流通试点、国际化消费环境建设试点等。</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6.申报单位不存在将本属于同一性质内涵与建设内容的资助项目刻意分拆成两个项目的情形。同一项目不得重复申请多个支持</w:t>
      </w:r>
      <w:r>
        <w:rPr>
          <w:rFonts w:hint="default"/>
          <w:color w:val="000000" w:themeColor="text1"/>
          <w:highlight w:val="none"/>
          <w:lang w:eastAsia="zh-CN"/>
          <w14:textFill>
            <w14:solidFill>
              <w14:schemeClr w14:val="tx1"/>
            </w14:solidFill>
          </w14:textFill>
        </w:rPr>
        <w:t>内容</w:t>
      </w:r>
      <w:r>
        <w:rPr>
          <w:rFonts w:hint="eastAsia"/>
          <w:color w:val="000000" w:themeColor="text1"/>
          <w:highlight w:val="none"/>
          <w:lang w:val="en-US" w:eastAsia="zh-CN"/>
          <w14:textFill>
            <w14:solidFill>
              <w14:schemeClr w14:val="tx1"/>
            </w14:solidFill>
          </w14:textFill>
        </w:rPr>
        <w:t>。</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7.申报单位须配合开展消费新业态新模式新场景试点工作，报送工作进展及相关数据。</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8.项目资助金额不得超过项目实际有效总投入的50%，同一项目中央、省、市、区资助合计不超过项目实际投入。</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9.申报项目管理机制健全，绩效目标清晰、合理、可考核，预期成效显著。</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（二）专项条件</w:t>
      </w:r>
    </w:p>
    <w:p>
      <w:pPr>
        <w:keepNext w:val="0"/>
        <w:keepLines w:val="0"/>
        <w:pageBreakBefore w:val="0"/>
        <w:widowControl w:val="0"/>
        <w:kinsoku/>
        <w:wordWrap/>
        <w:overflowPunct/>
        <w:topLinePunct w:val="0"/>
        <w:autoSpaceDE/>
        <w:autoSpaceDN/>
        <w:bidi w:val="0"/>
        <w:adjustRightInd/>
        <w:snapToGrid/>
        <w:spacing w:before="0" w:after="0"/>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申报项目须同时满足以下条件：</w:t>
      </w:r>
    </w:p>
    <w:p>
      <w:pPr>
        <w:keepNext w:val="0"/>
        <w:keepLines w:val="0"/>
        <w:pageBreakBefore w:val="0"/>
        <w:widowControl w:val="0"/>
        <w:kinsoku/>
        <w:wordWrap/>
        <w:overflowPunct/>
        <w:topLinePunct w:val="0"/>
        <w:autoSpaceDE/>
        <w:autoSpaceDN/>
        <w:bidi w:val="0"/>
        <w:adjustRightInd/>
        <w:snapToGrid/>
        <w:spacing w:before="0" w:after="0"/>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1.赛事活动周期持续1个月以上；</w:t>
      </w:r>
    </w:p>
    <w:p>
      <w:pPr>
        <w:keepNext w:val="0"/>
        <w:keepLines w:val="0"/>
        <w:pageBreakBefore w:val="0"/>
        <w:widowControl w:val="0"/>
        <w:kinsoku/>
        <w:wordWrap/>
        <w:overflowPunct/>
        <w:topLinePunct w:val="0"/>
        <w:autoSpaceDE/>
        <w:autoSpaceDN/>
        <w:bidi w:val="0"/>
        <w:adjustRightInd/>
        <w:snapToGrid/>
        <w:spacing w:before="0" w:after="0"/>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2.在深举办场次不少于6场；</w:t>
      </w:r>
    </w:p>
    <w:p>
      <w:pPr>
        <w:pStyle w:val="8"/>
        <w:bidi w:val="0"/>
        <w:ind w:firstLine="640" w:firstLineChars="20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3.进场观众人数1万人次以上。</w:t>
      </w:r>
    </w:p>
    <w:p>
      <w:pPr>
        <w:pStyle w:val="8"/>
        <w:bidi w:val="0"/>
        <w:ind w:firstLine="640" w:firstLineChars="200"/>
        <w:rPr>
          <w:rStyle w:val="6"/>
          <w:rFonts w:hint="eastAsia" w:ascii="仿宋_GB2312" w:hAnsi="仿宋" w:eastAsia="仿宋_GB2312" w:cs="宋体"/>
          <w:bCs/>
          <w:color w:val="auto"/>
          <w:kern w:val="36"/>
          <w:sz w:val="32"/>
          <w:szCs w:val="32"/>
          <w:highlight w:val="none"/>
          <w:lang w:eastAsia="zh-CN"/>
        </w:rPr>
      </w:pPr>
      <w:r>
        <w:rPr>
          <w:rStyle w:val="6"/>
          <w:rFonts w:hint="eastAsia" w:ascii="仿宋_GB2312" w:hAnsi="仿宋_GB2312"/>
          <w:color w:val="auto"/>
          <w:sz w:val="32"/>
          <w:szCs w:val="32"/>
          <w:highlight w:val="none"/>
          <w:lang w:eastAsia="zh-CN"/>
        </w:rPr>
        <w:t>项目支持时间范围为</w:t>
      </w:r>
      <w:r>
        <w:rPr>
          <w:rStyle w:val="6"/>
          <w:rFonts w:hint="eastAsia" w:ascii="仿宋_GB2312" w:hAnsi="仿宋_GB2312"/>
          <w:color w:val="auto"/>
          <w:sz w:val="32"/>
          <w:szCs w:val="32"/>
          <w:highlight w:val="none"/>
          <w:lang w:val="en-US" w:eastAsia="zh-CN"/>
        </w:rPr>
        <w:t>2025年9月30日至2027年6月30日，所支持投入部分应在上述时间内。</w:t>
      </w:r>
      <w:r>
        <w:rPr>
          <w:rStyle w:val="6"/>
          <w:rFonts w:hint="eastAsia" w:ascii="仿宋_GB2312" w:hAnsi="仿宋" w:cs="宋体"/>
          <w:bCs/>
          <w:color w:val="auto"/>
          <w:kern w:val="36"/>
          <w:sz w:val="32"/>
          <w:szCs w:val="32"/>
          <w:highlight w:val="none"/>
          <w:lang w:eastAsia="zh-CN"/>
        </w:rPr>
        <w:t>原则上限于支持</w:t>
      </w:r>
      <w:r>
        <w:rPr>
          <w:rStyle w:val="6"/>
          <w:rFonts w:hint="eastAsia" w:ascii="仿宋_GB2312" w:hAnsi="仿宋" w:eastAsia="仿宋_GB2312" w:cs="宋体"/>
          <w:bCs/>
          <w:color w:val="auto"/>
          <w:kern w:val="36"/>
          <w:sz w:val="32"/>
          <w:szCs w:val="32"/>
          <w:highlight w:val="none"/>
          <w:lang w:eastAsia="zh-CN"/>
        </w:rPr>
        <w:t>市场化商业</w:t>
      </w:r>
      <w:r>
        <w:rPr>
          <w:rStyle w:val="6"/>
          <w:rFonts w:hint="eastAsia" w:ascii="仿宋_GB2312" w:hAnsi="仿宋" w:cs="宋体"/>
          <w:bCs/>
          <w:color w:val="auto"/>
          <w:kern w:val="36"/>
          <w:sz w:val="32"/>
          <w:szCs w:val="32"/>
          <w:highlight w:val="none"/>
          <w:lang w:eastAsia="zh-CN"/>
        </w:rPr>
        <w:t>化</w:t>
      </w:r>
      <w:r>
        <w:rPr>
          <w:rStyle w:val="6"/>
          <w:rFonts w:hint="eastAsia" w:ascii="仿宋_GB2312" w:hAnsi="仿宋" w:eastAsia="仿宋_GB2312" w:cs="宋体"/>
          <w:bCs/>
          <w:color w:val="auto"/>
          <w:kern w:val="36"/>
          <w:sz w:val="32"/>
          <w:szCs w:val="32"/>
          <w:highlight w:val="none"/>
          <w:lang w:eastAsia="zh-CN"/>
        </w:rPr>
        <w:t>项目，</w:t>
      </w:r>
      <w:r>
        <w:rPr>
          <w:rStyle w:val="6"/>
          <w:rFonts w:hint="eastAsia" w:ascii="仿宋_GB2312" w:hAnsi="仿宋" w:cs="宋体"/>
          <w:bCs/>
          <w:color w:val="auto"/>
          <w:kern w:val="36"/>
          <w:sz w:val="32"/>
          <w:szCs w:val="32"/>
          <w:highlight w:val="none"/>
          <w:lang w:eastAsia="zh-CN"/>
        </w:rPr>
        <w:t>不支持</w:t>
      </w:r>
      <w:r>
        <w:rPr>
          <w:rStyle w:val="6"/>
          <w:rFonts w:hint="eastAsia" w:ascii="仿宋_GB2312" w:hAnsi="仿宋" w:eastAsia="仿宋_GB2312" w:cs="宋体"/>
          <w:bCs/>
          <w:color w:val="auto"/>
          <w:kern w:val="36"/>
          <w:sz w:val="32"/>
          <w:szCs w:val="32"/>
          <w:highlight w:val="none"/>
          <w:lang w:eastAsia="zh-CN"/>
        </w:rPr>
        <w:t>免费的纯公益项目</w:t>
      </w:r>
      <w:r>
        <w:rPr>
          <w:rStyle w:val="6"/>
          <w:rFonts w:hint="eastAsia" w:ascii="仿宋_GB2312" w:hAnsi="仿宋" w:cs="宋体"/>
          <w:bCs/>
          <w:color w:val="auto"/>
          <w:kern w:val="36"/>
          <w:sz w:val="32"/>
          <w:szCs w:val="32"/>
          <w:highlight w:val="none"/>
          <w:lang w:eastAsia="zh-CN"/>
        </w:rPr>
        <w:t>，</w:t>
      </w:r>
      <w:r>
        <w:rPr>
          <w:rStyle w:val="6"/>
          <w:rFonts w:hint="eastAsia" w:ascii="仿宋_GB2312" w:hAnsi="仿宋_GB2312" w:eastAsia="仿宋_GB2312" w:cs="仿宋_GB2312"/>
          <w:color w:val="auto"/>
          <w:sz w:val="32"/>
          <w:szCs w:val="32"/>
          <w:highlight w:val="none"/>
          <w:lang w:val="en-US" w:eastAsia="zh-CN"/>
        </w:rPr>
        <w:t>不支持事业单位信息系统建设维护、养老院和病房建设等与支持方向无关的领域。</w:t>
      </w:r>
      <w:r>
        <w:rPr>
          <w:rStyle w:val="6"/>
          <w:rFonts w:hint="eastAsia" w:ascii="仿宋_GB2312" w:hAnsi="仿宋" w:cs="宋体"/>
          <w:bCs/>
          <w:color w:val="auto"/>
          <w:kern w:val="36"/>
          <w:sz w:val="32"/>
          <w:szCs w:val="32"/>
          <w:highlight w:val="none"/>
          <w:lang w:eastAsia="zh-CN"/>
        </w:rPr>
        <w:t>支持内容不包括新建、扩建</w:t>
      </w:r>
      <w:r>
        <w:rPr>
          <w:rStyle w:val="6"/>
          <w:rFonts w:hint="eastAsia" w:ascii="仿宋_GB2312" w:hAnsi="仿宋_GB2312" w:eastAsia="仿宋_GB2312" w:cs="仿宋_GB2312"/>
          <w:color w:val="auto"/>
          <w:sz w:val="32"/>
          <w:szCs w:val="32"/>
          <w:highlight w:val="none"/>
          <w:lang w:val="en-US" w:eastAsia="zh-CN"/>
        </w:rPr>
        <w:t>商业综合体</w:t>
      </w:r>
      <w:r>
        <w:rPr>
          <w:rStyle w:val="6"/>
          <w:rFonts w:hint="eastAsia" w:ascii="仿宋_GB2312" w:hAnsi="仿宋_GB2312" w:cs="仿宋_GB2312"/>
          <w:color w:val="auto"/>
          <w:sz w:val="32"/>
          <w:szCs w:val="32"/>
          <w:highlight w:val="none"/>
          <w:lang w:val="en-US" w:eastAsia="zh-CN"/>
        </w:rPr>
        <w:t>，以及</w:t>
      </w:r>
      <w:r>
        <w:rPr>
          <w:rStyle w:val="6"/>
          <w:rFonts w:hint="eastAsia" w:ascii="仿宋_GB2312" w:hAnsi="仿宋" w:cs="宋体"/>
          <w:bCs/>
          <w:color w:val="auto"/>
          <w:kern w:val="36"/>
          <w:sz w:val="32"/>
          <w:szCs w:val="32"/>
          <w:highlight w:val="none"/>
          <w:lang w:eastAsia="zh-CN"/>
        </w:rPr>
        <w:t>各类古镇、纪念馆、博物馆等设施，不包括</w:t>
      </w:r>
      <w:r>
        <w:rPr>
          <w:rStyle w:val="6"/>
          <w:rFonts w:hint="eastAsia" w:ascii="仿宋_GB2312" w:hAnsi="仿宋_GB2312" w:eastAsia="仿宋_GB2312" w:cs="仿宋_GB2312"/>
          <w:color w:val="auto"/>
          <w:sz w:val="32"/>
          <w:szCs w:val="32"/>
          <w:highlight w:val="none"/>
          <w:lang w:val="en-US" w:eastAsia="zh-CN"/>
        </w:rPr>
        <w:t>办公</w:t>
      </w:r>
      <w:r>
        <w:rPr>
          <w:rStyle w:val="6"/>
          <w:rFonts w:hint="eastAsia" w:ascii="仿宋_GB2312" w:hAnsi="仿宋_GB2312" w:cs="仿宋_GB2312"/>
          <w:color w:val="auto"/>
          <w:sz w:val="32"/>
          <w:szCs w:val="32"/>
          <w:highlight w:val="none"/>
          <w:lang w:val="en-US" w:eastAsia="zh-CN"/>
        </w:rPr>
        <w:t>场所</w:t>
      </w:r>
      <w:r>
        <w:rPr>
          <w:rStyle w:val="6"/>
          <w:rFonts w:hint="eastAsia" w:ascii="仿宋_GB2312" w:hAnsi="仿宋_GB2312" w:eastAsia="仿宋_GB2312" w:cs="仿宋_GB2312"/>
          <w:color w:val="auto"/>
          <w:sz w:val="32"/>
          <w:szCs w:val="32"/>
          <w:highlight w:val="none"/>
          <w:lang w:val="en-US" w:eastAsia="zh-CN"/>
        </w:rPr>
        <w:t>及</w:t>
      </w:r>
      <w:r>
        <w:rPr>
          <w:rStyle w:val="6"/>
          <w:rFonts w:hint="eastAsia" w:ascii="仿宋_GB2312" w:hAnsi="仿宋_GB2312" w:cs="仿宋_GB2312"/>
          <w:color w:val="auto"/>
          <w:sz w:val="32"/>
          <w:szCs w:val="32"/>
          <w:highlight w:val="none"/>
          <w:lang w:val="en-US" w:eastAsia="zh-CN"/>
        </w:rPr>
        <w:t>必</w:t>
      </w:r>
      <w:r>
        <w:rPr>
          <w:rStyle w:val="6"/>
          <w:rFonts w:hint="eastAsia" w:cs="仿宋_GB2312"/>
          <w:color w:val="auto"/>
          <w:sz w:val="32"/>
          <w:szCs w:val="32"/>
          <w:highlight w:val="none"/>
          <w:lang w:val="en-US" w:eastAsia="zh-CN"/>
        </w:rPr>
        <w:t>需</w:t>
      </w:r>
      <w:r>
        <w:rPr>
          <w:rStyle w:val="6"/>
          <w:rFonts w:hint="eastAsia" w:ascii="仿宋_GB2312" w:hAnsi="仿宋_GB2312" w:cs="仿宋_GB2312"/>
          <w:color w:val="auto"/>
          <w:sz w:val="32"/>
          <w:szCs w:val="32"/>
          <w:highlight w:val="none"/>
          <w:lang w:val="en-US" w:eastAsia="zh-CN"/>
        </w:rPr>
        <w:t>的</w:t>
      </w:r>
      <w:r>
        <w:rPr>
          <w:rStyle w:val="6"/>
          <w:rFonts w:hint="eastAsia" w:ascii="仿宋_GB2312" w:hAnsi="仿宋_GB2312" w:eastAsia="仿宋_GB2312" w:cs="仿宋_GB2312"/>
          <w:color w:val="auto"/>
          <w:sz w:val="32"/>
          <w:szCs w:val="32"/>
          <w:highlight w:val="none"/>
          <w:lang w:val="en-US" w:eastAsia="zh-CN"/>
        </w:rPr>
        <w:t>公共服务基础设施</w:t>
      </w:r>
      <w:r>
        <w:rPr>
          <w:rStyle w:val="6"/>
          <w:rFonts w:hint="eastAsia" w:ascii="仿宋_GB2312" w:hAnsi="仿宋_GB2312" w:cs="仿宋_GB2312"/>
          <w:color w:val="auto"/>
          <w:sz w:val="32"/>
          <w:szCs w:val="32"/>
          <w:highlight w:val="none"/>
          <w:lang w:val="en-US" w:eastAsia="zh-CN"/>
        </w:rPr>
        <w:t>建设</w:t>
      </w:r>
      <w:r>
        <w:rPr>
          <w:rStyle w:val="6"/>
          <w:rFonts w:hint="eastAsia" w:ascii="仿宋_GB2312" w:hAnsi="仿宋" w:cs="宋体"/>
          <w:bCs/>
          <w:color w:val="auto"/>
          <w:kern w:val="36"/>
          <w:sz w:val="32"/>
          <w:szCs w:val="32"/>
          <w:highlight w:val="none"/>
          <w:lang w:eastAsia="zh-CN"/>
        </w:rPr>
        <w:t>，不包括</w:t>
      </w:r>
      <w:r>
        <w:rPr>
          <w:rStyle w:val="6"/>
          <w:rFonts w:hint="eastAsia" w:ascii="仿宋_GB2312" w:hAnsi="仿宋_GB2312" w:eastAsia="仿宋_GB2312" w:cs="仿宋_GB2312"/>
          <w:color w:val="auto"/>
          <w:sz w:val="32"/>
          <w:szCs w:val="32"/>
          <w:highlight w:val="none"/>
          <w:lang w:val="en-US" w:eastAsia="zh-CN"/>
        </w:rPr>
        <w:t>为了满足最基本经营条件、消防验收等需求，基础水电改造</w:t>
      </w:r>
      <w:r>
        <w:rPr>
          <w:rStyle w:val="6"/>
          <w:rFonts w:hint="eastAsia" w:ascii="仿宋_GB2312" w:hAnsi="仿宋_GB2312" w:cs="仿宋_GB2312"/>
          <w:color w:val="auto"/>
          <w:sz w:val="32"/>
          <w:szCs w:val="32"/>
          <w:highlight w:val="none"/>
          <w:lang w:val="en-US" w:eastAsia="zh-CN"/>
        </w:rPr>
        <w:t>、防水处理、</w:t>
      </w:r>
      <w:r>
        <w:rPr>
          <w:rStyle w:val="6"/>
          <w:rFonts w:hint="eastAsia" w:ascii="仿宋_GB2312" w:hAnsi="仿宋_GB2312" w:eastAsia="仿宋_GB2312" w:cs="仿宋_GB2312"/>
          <w:color w:val="auto"/>
          <w:sz w:val="32"/>
          <w:szCs w:val="32"/>
          <w:highlight w:val="none"/>
          <w:lang w:val="en-US" w:eastAsia="zh-CN"/>
        </w:rPr>
        <w:t>消防</w:t>
      </w:r>
      <w:r>
        <w:rPr>
          <w:rStyle w:val="6"/>
          <w:rFonts w:hint="eastAsia" w:ascii="仿宋_GB2312" w:hAnsi="仿宋_GB2312" w:cs="仿宋_GB2312"/>
          <w:color w:val="auto"/>
          <w:sz w:val="32"/>
          <w:szCs w:val="32"/>
          <w:highlight w:val="none"/>
          <w:lang w:val="en-US" w:eastAsia="zh-CN"/>
        </w:rPr>
        <w:t>改造及</w:t>
      </w:r>
      <w:r>
        <w:rPr>
          <w:rStyle w:val="6"/>
          <w:rFonts w:hint="eastAsia" w:ascii="仿宋_GB2312" w:hAnsi="仿宋_GB2312" w:eastAsia="仿宋_GB2312" w:cs="仿宋_GB2312"/>
          <w:color w:val="auto"/>
          <w:sz w:val="32"/>
          <w:szCs w:val="32"/>
          <w:highlight w:val="none"/>
          <w:lang w:val="en-US" w:eastAsia="zh-CN"/>
        </w:rPr>
        <w:t>设施购置等一般性装修项目</w:t>
      </w:r>
      <w:r>
        <w:rPr>
          <w:rStyle w:val="6"/>
          <w:rFonts w:hint="eastAsia" w:ascii="仿宋_GB2312" w:hAnsi="仿宋" w:cs="宋体"/>
          <w:bCs/>
          <w:color w:val="auto"/>
          <w:kern w:val="36"/>
          <w:sz w:val="32"/>
          <w:szCs w:val="32"/>
          <w:highlight w:val="none"/>
          <w:lang w:eastAsia="zh-CN"/>
        </w:rPr>
        <w:t>。</w:t>
      </w:r>
      <w:r>
        <w:rPr>
          <w:rStyle w:val="6"/>
          <w:rFonts w:hint="eastAsia" w:ascii="仿宋_GB2312" w:hAnsi="仿宋" w:eastAsia="仿宋_GB2312" w:cs="宋体"/>
          <w:bCs/>
          <w:color w:val="auto"/>
          <w:kern w:val="36"/>
          <w:sz w:val="32"/>
          <w:szCs w:val="32"/>
          <w:highlight w:val="none"/>
          <w:lang w:eastAsia="zh-CN"/>
        </w:rPr>
        <w:t>不支持党政机关主办、承办或承担部分活动费用的展会、节庆、论坛活动。</w:t>
      </w:r>
    </w:p>
    <w:p>
      <w:pPr>
        <w:keepNext w:val="0"/>
        <w:keepLines w:val="0"/>
        <w:pageBreakBefore w:val="0"/>
        <w:widowControl w:val="0"/>
        <w:kinsoku/>
        <w:wordWrap/>
        <w:overflowPunct/>
        <w:topLinePunct w:val="0"/>
        <w:autoSpaceDE/>
        <w:autoSpaceDN/>
        <w:bidi w:val="0"/>
        <w:adjustRightInd/>
        <w:snapToGrid/>
        <w:spacing w:before="0" w:after="0"/>
        <w:textAlignment w:val="auto"/>
        <w:rPr>
          <w:rFonts w:hint="eastAsia"/>
          <w:color w:val="000000" w:themeColor="text1"/>
          <w:highlight w:val="none"/>
          <w:lang w:val="en-US" w:eastAsia="zh-CN"/>
          <w14:textFill>
            <w14:solidFill>
              <w14:schemeClr w14:val="tx1"/>
            </w14:solidFill>
          </w14:textFill>
        </w:rPr>
      </w:pPr>
      <w:r>
        <w:rPr>
          <w:rStyle w:val="6"/>
          <w:rFonts w:hint="default" w:ascii="仿宋_GB2312" w:hAnsi="仿宋_GB2312" w:eastAsia="仿宋_GB2312" w:cs="仿宋_GB2312"/>
          <w:color w:val="auto"/>
          <w:sz w:val="32"/>
          <w:szCs w:val="32"/>
          <w:highlight w:val="none"/>
          <w:lang w:val="en-US" w:eastAsia="zh-CN"/>
        </w:rPr>
        <w:t>不支持发放消费券、优惠补贴、宣传推广等</w:t>
      </w:r>
      <w:r>
        <w:rPr>
          <w:rStyle w:val="6"/>
          <w:rFonts w:hint="eastAsia" w:ascii="仿宋_GB2312" w:hAnsi="仿宋_GB2312" w:eastAsia="仿宋_GB2312" w:cs="仿宋_GB2312"/>
          <w:color w:val="auto"/>
          <w:sz w:val="32"/>
          <w:szCs w:val="32"/>
          <w:highlight w:val="none"/>
          <w:lang w:val="en-US" w:eastAsia="zh-CN"/>
        </w:rPr>
        <w:t>投入</w:t>
      </w:r>
      <w:r>
        <w:rPr>
          <w:rStyle w:val="6"/>
          <w:rFonts w:hint="default" w:ascii="仿宋_GB2312" w:hAnsi="仿宋_GB2312" w:eastAsia="仿宋_GB2312" w:cs="仿宋_GB2312"/>
          <w:color w:val="auto"/>
          <w:sz w:val="32"/>
          <w:szCs w:val="32"/>
          <w:highlight w:val="none"/>
          <w:lang w:val="en-US" w:eastAsia="zh-CN"/>
        </w:rPr>
        <w:t>；不支持政府举办的促消费活动，不支持企业举办的促销推广活动；不支持短期开展的活动或临时搭建的消费场景，不支持存续时间少于一个月的消费场景；不支持单纯的商品消费、单一传统业态的消费场景以及无消费内容的项目。</w:t>
      </w:r>
    </w:p>
    <w:p>
      <w:pPr>
        <w:keepNext w:val="0"/>
        <w:keepLines w:val="0"/>
        <w:widowControl/>
        <w:numPr>
          <w:ilvl w:val="0"/>
          <w:numId w:val="1"/>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12" w:name="_Toc31102"/>
      <w:bookmarkStart w:id="13" w:name="_Toc7095"/>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支持标准</w:t>
      </w:r>
      <w:bookmarkEnd w:id="12"/>
      <w:bookmarkEnd w:id="13"/>
    </w:p>
    <w:p>
      <w:pPr>
        <w:bidi w:val="0"/>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支持重点赛事活动“进商圈、进街区、进景区”</w:t>
      </w:r>
      <w:r>
        <w:rPr>
          <w:rFonts w:hint="eastAsia"/>
          <w:color w:val="000000" w:themeColor="text1"/>
          <w:highlight w:val="none"/>
          <w:lang w:val="en-US" w:eastAsia="zh-CN"/>
          <w14:textFill>
            <w14:solidFill>
              <w14:schemeClr w14:val="tx1"/>
            </w14:solidFill>
          </w14:textFill>
        </w:rPr>
        <w:t>，按项目相关的实际有效投入的2</w:t>
      </w:r>
      <w:r>
        <w:rPr>
          <w:rFonts w:hint="eastAsia" w:ascii="仿宋_GB2312" w:eastAsia="仿宋_GB2312"/>
          <w:color w:val="000000" w:themeColor="text1"/>
          <w:highlight w:val="none"/>
          <w:lang w:val="en-US" w:eastAsia="zh-CN"/>
          <w14:textFill>
            <w14:solidFill>
              <w14:schemeClr w14:val="tx1"/>
            </w14:solidFill>
          </w14:textFill>
        </w:rPr>
        <w:t>0%给予主办单位资助，试点期间最高不超过200万元。</w:t>
      </w:r>
    </w:p>
    <w:p>
      <w:pPr>
        <w:pStyle w:val="8"/>
        <w:bidi w:val="0"/>
        <w:ind w:firstLine="640" w:firstLineChars="200"/>
        <w:jc w:val="both"/>
        <w:rPr>
          <w:rStyle w:val="6"/>
          <w:rFonts w:hint="eastAsia" w:ascii="仿宋_GB2312" w:hAnsi="仿宋" w:eastAsia="仿宋_GB2312" w:cs="宋体"/>
          <w:bCs/>
          <w:color w:val="auto"/>
          <w:kern w:val="36"/>
          <w:sz w:val="32"/>
          <w:szCs w:val="32"/>
          <w:highlight w:val="none"/>
          <w:lang w:val="en-US" w:eastAsia="zh-CN"/>
        </w:rPr>
      </w:pPr>
      <w:r>
        <w:rPr>
          <w:rStyle w:val="6"/>
          <w:rFonts w:hint="eastAsia"/>
          <w:color w:val="auto"/>
          <w:sz w:val="32"/>
          <w:szCs w:val="32"/>
          <w:highlight w:val="none"/>
          <w:lang w:eastAsia="zh-CN"/>
        </w:rPr>
        <w:t>实际有效投入是指2025年9月30日以来至申报日，赛事活动主办单位在深举办的赛事活动已完成或阶段性完成赛事有关投入，不包含</w:t>
      </w:r>
      <w:r>
        <w:rPr>
          <w:rFonts w:hint="eastAsia"/>
          <w:color w:val="000000" w:themeColor="text1"/>
          <w:highlight w:val="none"/>
          <w:lang w:val="en-US" w:eastAsia="zh-CN"/>
          <w14:textFill>
            <w14:solidFill>
              <w14:schemeClr w14:val="tx1"/>
            </w14:solidFill>
          </w14:textFill>
        </w:rPr>
        <w:t>各级财政投资部分，以及</w:t>
      </w:r>
      <w:r>
        <w:rPr>
          <w:rStyle w:val="6"/>
          <w:rFonts w:hint="eastAsia"/>
          <w:color w:val="auto"/>
          <w:sz w:val="32"/>
          <w:szCs w:val="32"/>
          <w:highlight w:val="none"/>
          <w:lang w:eastAsia="zh-CN"/>
        </w:rPr>
        <w:t>第四</w:t>
      </w:r>
      <w:r>
        <w:rPr>
          <w:rFonts w:hint="eastAsia"/>
          <w:color w:val="000000" w:themeColor="text1"/>
          <w:highlight w:val="none"/>
          <w:lang w:val="en-US" w:eastAsia="zh-CN"/>
          <w14:textFill>
            <w14:solidFill>
              <w14:schemeClr w14:val="tx1"/>
            </w14:solidFill>
          </w14:textFill>
        </w:rPr>
        <w:t>点第（二）条</w:t>
      </w:r>
      <w:r>
        <w:rPr>
          <w:rStyle w:val="6"/>
          <w:rFonts w:hint="eastAsia"/>
          <w:color w:val="auto"/>
          <w:sz w:val="32"/>
          <w:szCs w:val="32"/>
          <w:highlight w:val="none"/>
          <w:lang w:eastAsia="zh-CN"/>
        </w:rPr>
        <w:t>专项条件中不予支持部分。符合条件的项目，可将已落地或有阶段性成果相关投入部分申请资助，后续另有符合条件投入可再次以该项目申报，同一项目不受项目数限制。</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14" w:name="_Toc27028"/>
      <w:bookmarkStart w:id="15" w:name="_Toc7147"/>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六、申报材料</w:t>
      </w:r>
      <w:bookmarkEnd w:id="14"/>
      <w:bookmarkEnd w:id="15"/>
    </w:p>
    <w:p>
      <w:pPr>
        <w:keepNext/>
        <w:keepLines/>
        <w:widowControl w:val="0"/>
        <w:bidi w:val="0"/>
        <w:spacing w:before="0" w:after="0" w:line="560" w:lineRule="exact"/>
        <w:ind w:firstLine="640" w:firstLineChars="200"/>
        <w:jc w:val="both"/>
        <w:outlineLvl w:val="1"/>
        <w:rPr>
          <w:rFonts w:hint="eastAsia"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pPr>
      <w:r>
        <w:rPr>
          <w:rFonts w:hint="default"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t>（一）</w:t>
      </w:r>
      <w:r>
        <w:rPr>
          <w:rFonts w:hint="eastAsia"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t>基本材料清单</w:t>
      </w:r>
    </w:p>
    <w:p>
      <w:pPr>
        <w:bidi w:val="0"/>
        <w:spacing w:line="560" w:lineRule="exact"/>
        <w:rPr>
          <w:rFonts w:hint="default" w:ascii="楷体" w:hAnsi="楷体" w:eastAsia="楷体_GB2312" w:cs="Times New Roman"/>
          <w:bCs/>
          <w:color w:val="auto"/>
          <w:kern w:val="2"/>
          <w:szCs w:val="32"/>
          <w:highlight w:val="none"/>
          <w:lang w:val="en-US" w:eastAsia="zh-CN" w:bidi="ar-SA"/>
        </w:rPr>
      </w:pPr>
      <w:r>
        <w:rPr>
          <w:rFonts w:hint="eastAsia"/>
          <w:color w:val="000000" w:themeColor="text1"/>
          <w:highlight w:val="none"/>
          <w:lang w:val="en-US" w:eastAsia="zh-CN"/>
          <w14:textFill>
            <w14:solidFill>
              <w14:schemeClr w14:val="tx1"/>
            </w14:solidFill>
          </w14:textFill>
        </w:rPr>
        <w:t>请各项目申报单位</w:t>
      </w:r>
      <w:r>
        <w:rPr>
          <w:rFonts w:hint="eastAsia"/>
          <w:color w:val="auto"/>
          <w:highlight w:val="none"/>
          <w:lang w:val="en-US" w:eastAsia="zh-CN"/>
        </w:rPr>
        <w:t>于线上</w:t>
      </w:r>
      <w:r>
        <w:rPr>
          <w:rFonts w:hint="eastAsia"/>
          <w:color w:val="000000" w:themeColor="text1"/>
          <w:highlight w:val="none"/>
          <w:lang w:val="en-US" w:eastAsia="zh-CN"/>
          <w14:textFill>
            <w14:solidFill>
              <w14:schemeClr w14:val="tx1"/>
            </w14:solidFill>
          </w14:textFill>
        </w:rPr>
        <w:t>填写并提交《项目申报书》，</w:t>
      </w:r>
      <w:r>
        <w:rPr>
          <w:rFonts w:hint="eastAsia"/>
          <w:color w:val="auto"/>
          <w:highlight w:val="none"/>
          <w:lang w:val="en-US" w:eastAsia="zh-CN"/>
        </w:rPr>
        <w:t>网址：https://www.gdzwfw.gov.cn/（广东政务服务网），搜索“消费新业态新场景新模式试点”——选择深圳-大鹏新区后，按照相关事项提示流程和要求进行线上申报（特别提醒该事项办理需申报主体以法人账号登录提交，不接受个人账号提交），并按办理指南提交相关材料（包括但不限于）如下：</w:t>
      </w:r>
    </w:p>
    <w:p>
      <w:pPr>
        <w:bidi w:val="0"/>
        <w:rPr>
          <w:rFonts w:hint="default"/>
          <w:color w:val="000000" w:themeColor="text1"/>
          <w:highlight w:val="none"/>
          <w:lang w:val="en-US" w:eastAsia="zh-CN"/>
          <w14:textFill>
            <w14:solidFill>
              <w14:schemeClr w14:val="tx1"/>
            </w14:solidFill>
          </w14:textFill>
        </w:rPr>
      </w:pPr>
      <w:r>
        <w:rPr>
          <w:rFonts w:hint="default"/>
          <w:color w:val="auto"/>
          <w:highlight w:val="none"/>
          <w:lang w:val="en-US" w:eastAsia="zh-CN"/>
        </w:rPr>
        <w:t>1.资金项目申请书</w:t>
      </w:r>
      <w:r>
        <w:rPr>
          <w:rFonts w:hint="eastAsia"/>
          <w:color w:val="auto"/>
          <w:highlight w:val="none"/>
          <w:lang w:val="en-US" w:eastAsia="zh-CN"/>
        </w:rPr>
        <w:t>：</w:t>
      </w:r>
      <w:r>
        <w:rPr>
          <w:rFonts w:hint="default"/>
          <w:color w:val="auto"/>
          <w:highlight w:val="none"/>
          <w:lang w:val="en-US" w:eastAsia="zh-CN"/>
        </w:rPr>
        <w:t>申报单位按照申报材料要求编写项目申请书并提供相关证明材料</w:t>
      </w:r>
      <w:r>
        <w:rPr>
          <w:rFonts w:hint="eastAsia"/>
          <w:color w:val="auto"/>
          <w:highlight w:val="none"/>
          <w:lang w:val="en-US" w:eastAsia="zh-CN"/>
        </w:rPr>
        <w:t>（温馨提示：材料要求齐备，缺漏无法受理，请务必认真研读相关指南，切实准备资料，确认符合申请条件和材料齐备后再行提交，避免资料补缺导致办理时间过长或条件不符合退回）</w:t>
      </w:r>
      <w:r>
        <w:rPr>
          <w:rFonts w:hint="default"/>
          <w:color w:val="auto"/>
          <w:highlight w:val="none"/>
          <w:lang w:val="en-US" w:eastAsia="zh-CN"/>
        </w:rPr>
        <w:t>，初审通过后提供申请书纸质文件原件并将本指南第六条要求的项目申报材料</w:t>
      </w:r>
      <w:r>
        <w:rPr>
          <w:rFonts w:hint="eastAsia"/>
          <w:color w:val="auto"/>
          <w:highlight w:val="none"/>
          <w:lang w:val="en-US" w:eastAsia="zh-CN"/>
        </w:rPr>
        <w:t>（一式四份）</w:t>
      </w:r>
      <w:r>
        <w:rPr>
          <w:rFonts w:hint="default"/>
          <w:color w:val="auto"/>
          <w:highlight w:val="none"/>
          <w:lang w:val="en-US" w:eastAsia="zh-CN"/>
        </w:rPr>
        <w:t>一并线下</w:t>
      </w:r>
      <w:r>
        <w:rPr>
          <w:rFonts w:hint="eastAsia"/>
          <w:color w:val="auto"/>
          <w:highlight w:val="none"/>
          <w:lang w:val="en-US" w:eastAsia="zh-CN"/>
        </w:rPr>
        <w:t>递交（大鹏新区政务服务中心综合窗口）</w:t>
      </w:r>
      <w:r>
        <w:rPr>
          <w:rFonts w:hint="default"/>
          <w:color w:val="auto"/>
          <w:highlight w:val="none"/>
          <w:lang w:val="en-US" w:eastAsia="zh-CN"/>
        </w:rPr>
        <w:t>，线下</w:t>
      </w:r>
      <w:r>
        <w:rPr>
          <w:rFonts w:hint="eastAsia"/>
          <w:color w:val="auto"/>
          <w:highlight w:val="none"/>
          <w:lang w:val="en-US" w:eastAsia="zh-CN"/>
        </w:rPr>
        <w:t>材料递交地址：</w:t>
      </w:r>
      <w:r>
        <w:rPr>
          <w:rFonts w:ascii="仿宋_GB2312" w:hAnsi="仿宋_GB2312" w:eastAsia="仿宋_GB2312" w:cs="仿宋"/>
          <w:i w:val="0"/>
          <w:iCs w:val="0"/>
          <w:caps w:val="0"/>
          <w:color w:val="auto"/>
          <w:spacing w:val="0"/>
          <w:kern w:val="2"/>
          <w:sz w:val="32"/>
          <w:szCs w:val="22"/>
          <w:highlight w:val="none"/>
          <w:shd w:val="clear" w:fill="auto"/>
          <w:lang w:val="en-US" w:eastAsia="zh-CN" w:bidi="ar"/>
        </w:rPr>
        <w:t>深圳市大鹏新区葵涌街道金业大道140号生命科学产业园B13栋大鹏新区政务服务中心一楼综合窗口</w:t>
      </w:r>
      <w:r>
        <w:rPr>
          <w:rFonts w:hint="default"/>
          <w:color w:val="auto"/>
          <w:highlight w:val="none"/>
          <w:lang w:val="en-US" w:eastAsia="zh-CN"/>
        </w:rPr>
        <w:t>。</w:t>
      </w:r>
      <w:r>
        <w:rPr>
          <w:rFonts w:hint="eastAsia"/>
          <w:color w:val="auto"/>
          <w:highlight w:val="none"/>
          <w:lang w:val="en-US" w:eastAsia="zh-CN"/>
        </w:rPr>
        <w:t>办公电</w:t>
      </w:r>
      <w:r>
        <w:rPr>
          <w:rFonts w:hint="default"/>
          <w:color w:val="auto"/>
          <w:highlight w:val="none"/>
          <w:lang w:val="en-US" w:eastAsia="zh-CN" w:bidi="ar"/>
        </w:rPr>
        <w:t>话：</w:t>
      </w:r>
      <w:r>
        <w:rPr>
          <w:rFonts w:ascii="仿宋_GB2312" w:hAnsi="仿宋_GB2312" w:eastAsia="仿宋_GB2312" w:cs="仿宋"/>
          <w:i w:val="0"/>
          <w:iCs w:val="0"/>
          <w:caps w:val="0"/>
          <w:color w:val="auto"/>
          <w:spacing w:val="0"/>
          <w:kern w:val="2"/>
          <w:sz w:val="32"/>
          <w:szCs w:val="22"/>
          <w:highlight w:val="none"/>
          <w:shd w:val="clear" w:fill="auto"/>
          <w:lang w:val="en-US" w:eastAsia="zh-CN" w:bidi="ar"/>
        </w:rPr>
        <w:t>0755-28333100</w:t>
      </w:r>
      <w:r>
        <w:rPr>
          <w:rFonts w:hint="default"/>
          <w:color w:val="auto"/>
          <w:highlight w:val="none"/>
          <w:lang w:val="en-US" w:eastAsia="zh-CN" w:bidi="ar"/>
        </w:rPr>
        <w:t>。服</w:t>
      </w:r>
      <w:r>
        <w:rPr>
          <w:rFonts w:hint="eastAsia"/>
          <w:color w:val="auto"/>
          <w:highlight w:val="none"/>
          <w:lang w:val="en-US" w:eastAsia="zh-CN"/>
        </w:rPr>
        <w:t>务时间：</w:t>
      </w:r>
      <w:r>
        <w:rPr>
          <w:rFonts w:hint="default"/>
          <w:color w:val="auto"/>
          <w:highlight w:val="none"/>
          <w:lang w:val="en-US" w:eastAsia="zh-CN"/>
        </w:rPr>
        <w:t>周一至周五9:00-17:</w:t>
      </w:r>
      <w:r>
        <w:rPr>
          <w:rFonts w:hint="eastAsia"/>
          <w:color w:val="auto"/>
          <w:highlight w:val="none"/>
          <w:lang w:val="en-US" w:eastAsia="zh-CN"/>
        </w:rPr>
        <w:t>3</w:t>
      </w:r>
      <w:r>
        <w:rPr>
          <w:rFonts w:hint="default"/>
          <w:color w:val="auto"/>
          <w:highlight w:val="none"/>
          <w:lang w:val="en-US" w:eastAsia="zh-CN"/>
        </w:rPr>
        <w:t>0</w:t>
      </w:r>
      <w:r>
        <w:rPr>
          <w:rFonts w:hint="eastAsia"/>
          <w:color w:val="auto"/>
          <w:highlight w:val="none"/>
          <w:lang w:val="en-US" w:eastAsia="zh-CN"/>
        </w:rPr>
        <w:t>，</w:t>
      </w:r>
      <w:r>
        <w:rPr>
          <w:rFonts w:hint="default"/>
          <w:color w:val="auto"/>
          <w:highlight w:val="none"/>
          <w:lang w:val="en-US" w:eastAsia="zh-CN"/>
        </w:rPr>
        <w:t>周六9:00-12:00（</w:t>
      </w:r>
      <w:r>
        <w:rPr>
          <w:rFonts w:hint="eastAsia"/>
          <w:color w:val="auto"/>
          <w:highlight w:val="none"/>
          <w:lang w:val="en-US" w:eastAsia="zh-CN"/>
        </w:rPr>
        <w:t>法定</w:t>
      </w:r>
      <w:r>
        <w:rPr>
          <w:rFonts w:hint="default"/>
          <w:color w:val="auto"/>
          <w:highlight w:val="none"/>
          <w:lang w:val="en-US" w:eastAsia="zh-CN"/>
        </w:rPr>
        <w:t>节假日除外）</w:t>
      </w:r>
      <w:r>
        <w:rPr>
          <w:rFonts w:hint="eastAsia"/>
          <w:color w:val="auto"/>
          <w:highlight w:val="none"/>
          <w:lang w:val="en-US" w:eastAsia="zh-CN"/>
        </w:rPr>
        <w:t>。</w:t>
      </w:r>
    </w:p>
    <w:p>
      <w:pPr>
        <w:bidi w:val="0"/>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2.申报单位营业执照或统一社会信用代码证书复印件</w:t>
      </w:r>
      <w:r>
        <w:rPr>
          <w:rFonts w:hint="eastAsia"/>
          <w:color w:val="000000" w:themeColor="text1"/>
          <w:highlight w:val="none"/>
          <w:lang w:val="en-US" w:eastAsia="zh-CN"/>
          <w14:textFill>
            <w14:solidFill>
              <w14:schemeClr w14:val="tx1"/>
            </w14:solidFill>
          </w14:textFill>
        </w:rPr>
        <w:t>。</w:t>
      </w:r>
      <w:bookmarkStart w:id="40" w:name="_GoBack"/>
      <w:bookmarkEnd w:id="40"/>
    </w:p>
    <w:p>
      <w:pPr>
        <w:bidi w:val="0"/>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3.单位信用报告</w:t>
      </w:r>
      <w:r>
        <w:rPr>
          <w:rFonts w:hint="eastAsia"/>
          <w:color w:val="000000" w:themeColor="text1"/>
          <w:highlight w:val="none"/>
          <w:lang w:val="en-US" w:eastAsia="zh-CN"/>
          <w14:textFill>
            <w14:solidFill>
              <w14:schemeClr w14:val="tx1"/>
            </w14:solidFill>
          </w14:textFill>
        </w:rPr>
        <w:t>：</w:t>
      </w:r>
      <w:r>
        <w:rPr>
          <w:rFonts w:hint="default"/>
          <w:color w:val="000000" w:themeColor="text1"/>
          <w:highlight w:val="none"/>
          <w:lang w:val="en-US" w:eastAsia="zh-CN"/>
          <w14:textFill>
            <w14:solidFill>
              <w14:schemeClr w14:val="tx1"/>
            </w14:solidFill>
          </w14:textFill>
        </w:rPr>
        <w:t>“信用中国”查询截图、国家企业信用信息公示系统下载的企业信用报告</w:t>
      </w:r>
      <w:r>
        <w:rPr>
          <w:rFonts w:hint="eastAsia"/>
          <w:color w:val="000000" w:themeColor="text1"/>
          <w:highlight w:val="none"/>
          <w:lang w:val="en-US" w:eastAsia="zh-CN"/>
          <w14:textFill>
            <w14:solidFill>
              <w14:schemeClr w14:val="tx1"/>
            </w14:solidFill>
          </w14:textFill>
        </w:rPr>
        <w:t>。</w:t>
      </w:r>
    </w:p>
    <w:p>
      <w:pPr>
        <w:keepNext/>
        <w:keepLines/>
        <w:widowControl w:val="0"/>
        <w:bidi w:val="0"/>
        <w:spacing w:before="0" w:after="0" w:line="560" w:lineRule="exact"/>
        <w:ind w:firstLine="640" w:firstLineChars="200"/>
        <w:jc w:val="both"/>
        <w:outlineLvl w:val="1"/>
        <w:rPr>
          <w:rFonts w:hint="default"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t>（二）专项材料清单</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1.各申报单位应按照下表要求完整提交对应佐证材料：</w:t>
      </w:r>
    </w:p>
    <w:tbl>
      <w:tblPr>
        <w:tblStyle w:val="5"/>
        <w:tblW w:w="916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33"/>
        <w:gridCol w:w="2472"/>
        <w:gridCol w:w="51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trPr>
        <w:tc>
          <w:tcPr>
            <w:tcW w:w="1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ind w:firstLine="0" w:firstLineChars="0"/>
              <w:jc w:val="center"/>
              <w:textAlignment w:val="center"/>
              <w:rPr>
                <w:rFonts w:ascii="仿宋_GB2312" w:hAnsi="宋体" w:eastAsia="仿宋_GB2312" w:cs="仿宋_GB2312"/>
                <w:b/>
                <w:bCs/>
                <w:i w:val="0"/>
                <w:iCs w:val="0"/>
                <w:color w:val="000000"/>
                <w:sz w:val="24"/>
                <w:szCs w:val="24"/>
                <w:highlight w:val="none"/>
                <w:u w:val="none"/>
              </w:rPr>
            </w:pPr>
            <w:r>
              <w:rPr>
                <w:rFonts w:hint="eastAsia" w:ascii="仿宋_GB2312" w:hAnsi="宋体" w:eastAsia="仿宋_GB2312" w:cs="仿宋_GB2312"/>
                <w:b/>
                <w:bCs/>
                <w:i w:val="0"/>
                <w:iCs w:val="0"/>
                <w:color w:val="000000" w:themeColor="text1"/>
                <w:kern w:val="0"/>
                <w:sz w:val="24"/>
                <w:szCs w:val="24"/>
                <w:highlight w:val="none"/>
                <w:u w:val="none"/>
                <w:lang w:val="en-US" w:eastAsia="zh-CN" w:bidi="ar"/>
                <w14:textFill>
                  <w14:solidFill>
                    <w14:schemeClr w14:val="tx1"/>
                  </w14:solidFill>
                </w14:textFill>
              </w:rPr>
              <w:t>类别</w:t>
            </w:r>
          </w:p>
        </w:tc>
        <w:tc>
          <w:tcPr>
            <w:tcW w:w="2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ind w:firstLine="0" w:firstLineChars="0"/>
              <w:jc w:val="center"/>
              <w:textAlignment w:val="center"/>
              <w:rPr>
                <w:rFonts w:hint="eastAsia" w:ascii="仿宋_GB2312" w:hAnsi="宋体" w:eastAsia="仿宋_GB2312" w:cs="仿宋_GB2312"/>
                <w:b/>
                <w:bCs/>
                <w:i w:val="0"/>
                <w:iCs w:val="0"/>
                <w:color w:val="000000"/>
                <w:sz w:val="24"/>
                <w:szCs w:val="24"/>
                <w:highlight w:val="none"/>
                <w:u w:val="none"/>
              </w:rPr>
            </w:pPr>
            <w:r>
              <w:rPr>
                <w:rFonts w:hint="eastAsia" w:ascii="仿宋_GB2312" w:hAnsi="宋体" w:eastAsia="仿宋_GB2312" w:cs="仿宋_GB2312"/>
                <w:b/>
                <w:bCs/>
                <w:i w:val="0"/>
                <w:iCs w:val="0"/>
                <w:color w:val="000000" w:themeColor="text1"/>
                <w:kern w:val="0"/>
                <w:sz w:val="24"/>
                <w:szCs w:val="24"/>
                <w:highlight w:val="none"/>
                <w:u w:val="none"/>
                <w:lang w:val="en-US" w:eastAsia="zh-CN" w:bidi="ar"/>
                <w14:textFill>
                  <w14:solidFill>
                    <w14:schemeClr w14:val="tx1"/>
                  </w14:solidFill>
                </w14:textFill>
              </w:rPr>
              <w:t>专项条件</w:t>
            </w:r>
          </w:p>
        </w:tc>
        <w:tc>
          <w:tcPr>
            <w:tcW w:w="5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ind w:firstLine="0" w:firstLineChars="0"/>
              <w:jc w:val="center"/>
              <w:textAlignment w:val="center"/>
              <w:rPr>
                <w:rFonts w:hint="eastAsia" w:ascii="仿宋_GB2312" w:hAnsi="宋体" w:eastAsia="仿宋_GB2312" w:cs="仿宋_GB2312"/>
                <w:b/>
                <w:bCs/>
                <w:i w:val="0"/>
                <w:iCs w:val="0"/>
                <w:color w:val="000000"/>
                <w:sz w:val="24"/>
                <w:szCs w:val="24"/>
                <w:highlight w:val="none"/>
                <w:u w:val="none"/>
              </w:rPr>
            </w:pPr>
            <w:r>
              <w:rPr>
                <w:rFonts w:hint="eastAsia" w:ascii="仿宋_GB2312" w:hAnsi="宋体" w:eastAsia="仿宋_GB2312" w:cs="仿宋_GB2312"/>
                <w:b/>
                <w:bCs/>
                <w:i w:val="0"/>
                <w:iCs w:val="0"/>
                <w:color w:val="000000" w:themeColor="text1"/>
                <w:kern w:val="0"/>
                <w:sz w:val="24"/>
                <w:szCs w:val="24"/>
                <w:highlight w:val="none"/>
                <w:u w:val="none"/>
                <w:lang w:val="en-US" w:eastAsia="zh-CN" w:bidi="ar"/>
                <w14:textFill>
                  <w14:solidFill>
                    <w14:schemeClr w14:val="tx1"/>
                  </w14:solidFill>
                </w14:textFill>
              </w:rPr>
              <w:t>佐证材料</w:t>
            </w:r>
            <w:r>
              <w:rPr>
                <w:rFonts w:hint="eastAsia" w:hAnsi="宋体" w:cs="仿宋_GB2312"/>
                <w:b/>
                <w:bCs/>
                <w:i w:val="0"/>
                <w:iCs w:val="0"/>
                <w:color w:val="000000" w:themeColor="text1"/>
                <w:kern w:val="0"/>
                <w:sz w:val="24"/>
                <w:szCs w:val="24"/>
                <w:highlight w:val="none"/>
                <w:u w:val="none"/>
                <w:lang w:val="en-US" w:eastAsia="zh-CN" w:bidi="ar"/>
                <w14:textFill>
                  <w14:solidFill>
                    <w14:schemeClr w14:val="tx1"/>
                  </w14:solidFill>
                </w14:textFill>
              </w:rPr>
              <w:t>参考</w:t>
            </w:r>
            <w:r>
              <w:rPr>
                <w:rFonts w:hint="default" w:ascii="Times New Roman" w:hAnsi="Times New Roman" w:eastAsia="仿宋_GB2312" w:cs="Times New Roman"/>
                <w:b/>
                <w:bCs/>
                <w:i w:val="0"/>
                <w:iCs w:val="0"/>
                <w:color w:val="000000" w:themeColor="text1"/>
                <w:kern w:val="0"/>
                <w:sz w:val="24"/>
                <w:szCs w:val="24"/>
                <w:highlight w:val="none"/>
                <w:u w:val="none"/>
                <w:lang w:val="en-US" w:eastAsia="zh-CN" w:bidi="ar"/>
                <w14:textFill>
                  <w14:solidFill>
                    <w14:schemeClr w14:val="tx1"/>
                  </w14:solidFill>
                </w14:textFill>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1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ind w:firstLine="0" w:firstLineChars="0"/>
              <w:jc w:val="left"/>
              <w:textAlignment w:val="center"/>
              <w:rPr>
                <w:rFonts w:hint="default" w:ascii="仿宋_GB2312" w:hAnsi="宋体" w:eastAsia="仿宋_GB2312" w:cs="仿宋_GB2312"/>
                <w:i w:val="0"/>
                <w:iCs w:val="0"/>
                <w:color w:val="000000" w:themeColor="text1"/>
                <w:kern w:val="0"/>
                <w:sz w:val="24"/>
                <w:szCs w:val="24"/>
                <w:highlight w:val="none"/>
                <w:u w:val="none"/>
                <w:lang w:val="en-US" w:eastAsia="zh-CN" w:bidi="ar"/>
                <w14:textFill>
                  <w14:solidFill>
                    <w14:schemeClr w14:val="tx1"/>
                  </w14:solidFill>
                </w14:textFill>
              </w:rPr>
            </w:pPr>
            <w:r>
              <w:rPr>
                <w:rFonts w:hint="eastAsia" w:hAnsi="宋体" w:cs="仿宋_GB2312"/>
                <w:i w:val="0"/>
                <w:iCs w:val="0"/>
                <w:color w:val="000000" w:themeColor="text1"/>
                <w:kern w:val="0"/>
                <w:sz w:val="24"/>
                <w:szCs w:val="24"/>
                <w:highlight w:val="none"/>
                <w:u w:val="none"/>
                <w:lang w:val="en-US" w:eastAsia="zh-CN" w:bidi="ar"/>
                <w14:textFill>
                  <w14:solidFill>
                    <w14:schemeClr w14:val="tx1"/>
                  </w14:solidFill>
                </w14:textFill>
              </w:rPr>
              <w:t>赛事周期</w:t>
            </w:r>
          </w:p>
        </w:tc>
        <w:tc>
          <w:tcPr>
            <w:tcW w:w="2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ind w:firstLine="0" w:firstLineChars="0"/>
              <w:jc w:val="left"/>
              <w:textAlignment w:val="center"/>
              <w:rPr>
                <w:rFonts w:hint="eastAsia" w:ascii="仿宋_GB2312" w:hAnsi="宋体" w:eastAsia="仿宋_GB2312" w:cs="仿宋_GB2312"/>
                <w:i w:val="0"/>
                <w:iCs w:val="0"/>
                <w:color w:val="000000" w:themeColor="text1"/>
                <w:kern w:val="0"/>
                <w:sz w:val="24"/>
                <w:szCs w:val="24"/>
                <w:highlight w:val="none"/>
                <w:u w:val="none"/>
                <w:lang w:val="en-US" w:eastAsia="zh-CN" w:bidi="ar"/>
                <w14:textFill>
                  <w14:solidFill>
                    <w14:schemeClr w14:val="tx1"/>
                  </w14:solidFill>
                </w14:textFill>
              </w:rPr>
            </w:pPr>
            <w:r>
              <w:rPr>
                <w:rFonts w:hint="eastAsia" w:ascii="仿宋_GB2312" w:hAnsi="宋体" w:eastAsia="仿宋_GB2312" w:cs="仿宋_GB2312"/>
                <w:i w:val="0"/>
                <w:iCs w:val="0"/>
                <w:color w:val="000000" w:themeColor="text1"/>
                <w:kern w:val="0"/>
                <w:sz w:val="24"/>
                <w:szCs w:val="24"/>
                <w:highlight w:val="none"/>
                <w:u w:val="none"/>
                <w:lang w:val="en-US" w:eastAsia="zh-CN" w:bidi="ar"/>
                <w14:textFill>
                  <w14:solidFill>
                    <w14:schemeClr w14:val="tx1"/>
                  </w14:solidFill>
                </w14:textFill>
              </w:rPr>
              <w:t>赛事活动周期持续1个月</w:t>
            </w:r>
          </w:p>
        </w:tc>
        <w:tc>
          <w:tcPr>
            <w:tcW w:w="5163"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napToGrid w:val="0"/>
              <w:ind w:firstLine="0" w:firstLineChars="0"/>
              <w:jc w:val="left"/>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themeColor="text1"/>
                <w:kern w:val="0"/>
                <w:sz w:val="24"/>
                <w:szCs w:val="24"/>
                <w:highlight w:val="none"/>
                <w:u w:val="none"/>
                <w:lang w:val="en-US" w:eastAsia="zh-CN" w:bidi="ar"/>
                <w14:textFill>
                  <w14:solidFill>
                    <w14:schemeClr w14:val="tx1"/>
                  </w14:solidFill>
                </w14:textFill>
              </w:rPr>
              <w:t>赛程表（明确起止时间）、在深各场次安排、累计天数核算说明等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1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ind w:firstLine="0" w:firstLineChars="0"/>
              <w:jc w:val="left"/>
              <w:textAlignment w:val="center"/>
              <w:rPr>
                <w:rFonts w:hint="default" w:ascii="仿宋_GB2312" w:hAnsi="宋体" w:eastAsia="仿宋_GB2312" w:cs="仿宋_GB2312"/>
                <w:i w:val="0"/>
                <w:iCs w:val="0"/>
                <w:color w:val="000000" w:themeColor="text1"/>
                <w:kern w:val="0"/>
                <w:sz w:val="24"/>
                <w:szCs w:val="24"/>
                <w:highlight w:val="none"/>
                <w:u w:val="none"/>
                <w:lang w:bidi="ar"/>
                <w14:textFill>
                  <w14:solidFill>
                    <w14:schemeClr w14:val="tx1"/>
                  </w14:solidFill>
                </w14:textFill>
              </w:rPr>
            </w:pPr>
            <w:r>
              <w:rPr>
                <w:rFonts w:hint="eastAsia" w:hAnsi="宋体" w:cs="仿宋_GB2312"/>
                <w:i w:val="0"/>
                <w:iCs w:val="0"/>
                <w:color w:val="000000" w:themeColor="text1"/>
                <w:kern w:val="0"/>
                <w:sz w:val="24"/>
                <w:szCs w:val="24"/>
                <w:highlight w:val="none"/>
                <w:u w:val="none"/>
                <w:lang w:val="en-US" w:eastAsia="zh-CN" w:bidi="ar"/>
                <w14:textFill>
                  <w14:solidFill>
                    <w14:schemeClr w14:val="tx1"/>
                  </w14:solidFill>
                </w14:textFill>
              </w:rPr>
              <w:t>举办场次</w:t>
            </w:r>
          </w:p>
        </w:tc>
        <w:tc>
          <w:tcPr>
            <w:tcW w:w="2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ind w:firstLine="0" w:firstLineChars="0"/>
              <w:jc w:val="left"/>
              <w:textAlignment w:val="center"/>
              <w:rPr>
                <w:rFonts w:hint="eastAsia" w:ascii="仿宋_GB2312" w:hAnsi="宋体" w:eastAsia="仿宋_GB2312" w:cs="仿宋_GB2312"/>
                <w:i w:val="0"/>
                <w:iCs w:val="0"/>
                <w:color w:val="000000" w:themeColor="text1"/>
                <w:kern w:val="0"/>
                <w:sz w:val="24"/>
                <w:szCs w:val="24"/>
                <w:highlight w:val="none"/>
                <w:u w:val="none"/>
                <w:lang w:bidi="ar"/>
                <w14:textFill>
                  <w14:solidFill>
                    <w14:schemeClr w14:val="tx1"/>
                  </w14:solidFill>
                </w14:textFill>
              </w:rPr>
            </w:pPr>
            <w:r>
              <w:rPr>
                <w:rFonts w:hint="eastAsia" w:ascii="仿宋_GB2312" w:hAnsi="宋体" w:eastAsia="仿宋_GB2312" w:cs="仿宋_GB2312"/>
                <w:i w:val="0"/>
                <w:iCs w:val="0"/>
                <w:color w:val="000000" w:themeColor="text1"/>
                <w:kern w:val="0"/>
                <w:sz w:val="24"/>
                <w:szCs w:val="24"/>
                <w:highlight w:val="none"/>
                <w:u w:val="none"/>
                <w:lang w:val="en-US" w:eastAsia="zh-CN" w:bidi="ar"/>
                <w14:textFill>
                  <w14:solidFill>
                    <w14:schemeClr w14:val="tx1"/>
                  </w14:solidFill>
                </w14:textFill>
              </w:rPr>
              <w:t>在深举办场次不少于6场</w:t>
            </w:r>
          </w:p>
        </w:tc>
        <w:tc>
          <w:tcPr>
            <w:tcW w:w="5163"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ind w:firstLine="0" w:firstLineChars="0"/>
              <w:jc w:val="left"/>
              <w:textAlignment w:val="center"/>
              <w:rPr>
                <w:rFonts w:hint="eastAsia" w:ascii="仿宋_GB2312" w:hAnsi="宋体" w:eastAsia="仿宋_GB2312" w:cs="仿宋_GB2312"/>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1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ind w:firstLine="0" w:firstLineChars="0"/>
              <w:jc w:val="left"/>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themeColor="text1"/>
                <w:kern w:val="0"/>
                <w:sz w:val="24"/>
                <w:szCs w:val="24"/>
                <w:highlight w:val="none"/>
                <w:u w:val="none"/>
                <w:lang w:val="en-US" w:eastAsia="zh-CN" w:bidi="ar"/>
                <w14:textFill>
                  <w14:solidFill>
                    <w14:schemeClr w14:val="tx1"/>
                  </w14:solidFill>
                </w14:textFill>
              </w:rPr>
              <w:t>观众规模</w:t>
            </w:r>
            <w:r>
              <w:rPr>
                <w:rFonts w:hint="default" w:ascii="Times New Roman" w:hAnsi="Times New Roman" w:eastAsia="仿宋_GB2312" w:cs="Times New Roman"/>
                <w:i w:val="0"/>
                <w:iCs w:val="0"/>
                <w:color w:val="000000" w:themeColor="text1"/>
                <w:kern w:val="0"/>
                <w:sz w:val="24"/>
                <w:szCs w:val="24"/>
                <w:highlight w:val="none"/>
                <w:u w:val="none"/>
                <w:lang w:val="en-US" w:eastAsia="zh-CN" w:bidi="ar"/>
                <w14:textFill>
                  <w14:solidFill>
                    <w14:schemeClr w14:val="tx1"/>
                  </w14:solidFill>
                </w14:textFill>
              </w:rPr>
              <w:t>​</w:t>
            </w:r>
          </w:p>
        </w:tc>
        <w:tc>
          <w:tcPr>
            <w:tcW w:w="2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ind w:firstLine="0" w:firstLineChars="0"/>
              <w:jc w:val="left"/>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themeColor="text1"/>
                <w:kern w:val="0"/>
                <w:sz w:val="24"/>
                <w:szCs w:val="24"/>
                <w:highlight w:val="none"/>
                <w:u w:val="none"/>
                <w:lang w:val="en-US" w:eastAsia="zh-CN" w:bidi="ar"/>
                <w14:textFill>
                  <w14:solidFill>
                    <w14:schemeClr w14:val="tx1"/>
                  </w14:solidFill>
                </w14:textFill>
              </w:rPr>
              <w:t>进场观众人数1万人次以上（可多场次累计）</w:t>
            </w:r>
          </w:p>
        </w:tc>
        <w:tc>
          <w:tcPr>
            <w:tcW w:w="5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ind w:firstLine="0" w:firstLineChars="0"/>
              <w:jc w:val="left"/>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themeColor="text1"/>
                <w:kern w:val="0"/>
                <w:sz w:val="24"/>
                <w:szCs w:val="24"/>
                <w:highlight w:val="none"/>
                <w:u w:val="none"/>
                <w:lang w:val="en-US" w:eastAsia="zh-CN" w:bidi="ar"/>
                <w14:textFill>
                  <w14:solidFill>
                    <w14:schemeClr w14:val="tx1"/>
                  </w14:solidFill>
                </w14:textFill>
              </w:rPr>
              <w:t>线下观众累计核算表、票务记录等</w:t>
            </w:r>
          </w:p>
        </w:tc>
      </w:tr>
    </w:tbl>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2.项目成效总结（模板详见项目申报书）。</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w:t>
      </w:r>
      <w:r>
        <w:rPr>
          <w:rFonts w:hint="default"/>
          <w:color w:val="000000" w:themeColor="text1"/>
          <w:highlight w:val="none"/>
          <w:lang w:val="en-US" w:eastAsia="zh-CN"/>
          <w14:textFill>
            <w14:solidFill>
              <w14:schemeClr w14:val="tx1"/>
            </w14:solidFill>
          </w14:textFill>
        </w:rPr>
        <w:t>专项资金项目投入明细表</w:t>
      </w:r>
      <w:r>
        <w:rPr>
          <w:rFonts w:hint="eastAsia"/>
          <w:color w:val="000000" w:themeColor="text1"/>
          <w:highlight w:val="none"/>
          <w:lang w:val="en-US" w:eastAsia="zh-CN"/>
          <w14:textFill>
            <w14:solidFill>
              <w14:schemeClr w14:val="tx1"/>
            </w14:solidFill>
          </w14:textFill>
        </w:rPr>
        <w:t>及佐证材料（详见项目申报书）。</w:t>
      </w:r>
    </w:p>
    <w:p>
      <w:pPr>
        <w:bidi w:val="0"/>
        <w:rPr>
          <w:rFonts w:hint="eastAsia"/>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以上申报材料按顺序一式</w:t>
      </w:r>
      <w:r>
        <w:rPr>
          <w:rFonts w:hint="eastAsia"/>
          <w:color w:val="000000" w:themeColor="text1"/>
          <w:highlight w:val="none"/>
          <w:lang w:val="en-US" w:eastAsia="zh-CN"/>
          <w14:textFill>
            <w14:solidFill>
              <w14:schemeClr w14:val="tx1"/>
            </w14:solidFill>
          </w14:textFill>
        </w:rPr>
        <w:t>四</w:t>
      </w:r>
      <w:r>
        <w:rPr>
          <w:rFonts w:hint="default"/>
          <w:color w:val="000000" w:themeColor="text1"/>
          <w:highlight w:val="none"/>
          <w:lang w:val="en-US" w:eastAsia="zh-CN"/>
          <w14:textFill>
            <w14:solidFill>
              <w14:schemeClr w14:val="tx1"/>
            </w14:solidFill>
          </w14:textFill>
        </w:rPr>
        <w:t>份（附可编辑电子版和PDF扫描件）装订成册，在封面加盖单位公章并加盖骑缝章（其中，申报</w:t>
      </w:r>
      <w:r>
        <w:rPr>
          <w:rFonts w:hint="eastAsia" w:ascii="仿宋_GB2312" w:eastAsia="仿宋_GB2312"/>
          <w:color w:val="000000" w:themeColor="text1"/>
          <w:highlight w:val="none"/>
          <w:lang w:val="en-US" w:eastAsia="zh-CN"/>
          <w14:textFill>
            <w14:solidFill>
              <w14:schemeClr w14:val="tx1"/>
            </w14:solidFill>
          </w14:textFill>
        </w:rPr>
        <w:t>指引</w:t>
      </w:r>
      <w:r>
        <w:rPr>
          <w:rFonts w:hint="default"/>
          <w:color w:val="000000" w:themeColor="text1"/>
          <w:highlight w:val="none"/>
          <w:lang w:val="en-US" w:eastAsia="zh-CN"/>
          <w14:textFill>
            <w14:solidFill>
              <w14:schemeClr w14:val="tx1"/>
            </w14:solidFill>
          </w14:textFill>
        </w:rPr>
        <w:t>及附件有明确要求加盖公章的资料需按要求执行）。</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16" w:name="_Toc5711"/>
      <w:bookmarkStart w:id="17" w:name="_Toc19526"/>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七、申请表格</w:t>
      </w:r>
      <w:bookmarkEnd w:id="16"/>
      <w:bookmarkEnd w:id="17"/>
    </w:p>
    <w:p>
      <w:pPr>
        <w:bidi w:val="0"/>
        <w:spacing w:line="560" w:lineRule="exact"/>
        <w:rPr>
          <w:rFonts w:hint="default"/>
          <w:color w:val="auto"/>
          <w:highlight w:val="none"/>
          <w:lang w:val="en-US" w:eastAsia="zh-CN"/>
        </w:rPr>
      </w:pPr>
      <w:r>
        <w:rPr>
          <w:rFonts w:hint="eastAsia"/>
          <w:color w:val="auto"/>
          <w:highlight w:val="none"/>
          <w:lang w:val="en-US" w:eastAsia="zh-CN"/>
        </w:rPr>
        <w:t>请线上下载并填写《</w:t>
      </w:r>
      <w:r>
        <w:rPr>
          <w:rFonts w:hint="default"/>
          <w:color w:val="auto"/>
          <w:highlight w:val="none"/>
          <w:lang w:val="en-US" w:eastAsia="zh-CN"/>
        </w:rPr>
        <w:t>深圳市2026年中央资金消费新业态新模式新场景试点项目申报书</w:t>
      </w:r>
      <w:r>
        <w:rPr>
          <w:rFonts w:hint="eastAsia"/>
          <w:color w:val="auto"/>
          <w:highlight w:val="none"/>
          <w:lang w:val="en-US" w:eastAsia="zh-CN"/>
        </w:rPr>
        <w:t>》</w:t>
      </w:r>
      <w:r>
        <w:rPr>
          <w:rFonts w:hint="default"/>
          <w:color w:val="auto"/>
          <w:highlight w:val="none"/>
          <w:lang w:val="en-US" w:eastAsia="zh-CN"/>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18" w:name="_Toc13760"/>
      <w:bookmarkStart w:id="19" w:name="_Toc20121"/>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八、受理机关</w:t>
      </w:r>
      <w:bookmarkEnd w:id="18"/>
      <w:bookmarkEnd w:id="1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（一）受理机关</w:t>
      </w:r>
    </w:p>
    <w:p>
      <w:pPr>
        <w:keepNext/>
        <w:keepLines/>
        <w:widowControl w:val="0"/>
        <w:bidi w:val="0"/>
        <w:spacing w:before="0" w:after="0" w:line="560" w:lineRule="exact"/>
        <w:ind w:firstLine="640" w:firstLineChars="200"/>
        <w:jc w:val="both"/>
        <w:outlineLvl w:val="1"/>
        <w:rPr>
          <w:rFonts w:hint="eastAsia" w:cs="仿宋_GB2312"/>
          <w:color w:val="000000" w:themeColor="text1"/>
          <w:sz w:val="32"/>
          <w:szCs w:val="32"/>
          <w:highlight w:val="none"/>
          <w:u w:val="none"/>
          <w:lang w:eastAsia="zh-CN"/>
          <w14:textFill>
            <w14:solidFill>
              <w14:schemeClr w14:val="tx1"/>
            </w14:solidFill>
          </w14:textFill>
        </w:rPr>
      </w:pPr>
      <w:r>
        <w:rPr>
          <w:rFonts w:hint="eastAsia" w:cs="仿宋_GB2312"/>
          <w:color w:val="000000" w:themeColor="text1"/>
          <w:sz w:val="32"/>
          <w:szCs w:val="32"/>
          <w:highlight w:val="none"/>
          <w:u w:val="none"/>
          <w:lang w:eastAsia="zh-CN"/>
          <w14:textFill>
            <w14:solidFill>
              <w14:schemeClr w14:val="tx1"/>
            </w14:solidFill>
          </w14:textFill>
        </w:rPr>
        <w:t>深圳市大鹏新区商务局</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（二）受理时间</w:t>
      </w:r>
    </w:p>
    <w:p>
      <w:pPr>
        <w:bidi w:val="0"/>
        <w:rPr>
          <w:rFonts w:hint="default"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1.网络填报时间：202</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年</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26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日-202</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年</w:t>
      </w:r>
      <w:r>
        <w:rPr>
          <w:rFonts w:hint="eastAsia" w:hAnsi="宋体" w:cs="宋体"/>
          <w:color w:val="000000" w:themeColor="text1"/>
          <w:kern w:val="0"/>
          <w:sz w:val="32"/>
          <w:szCs w:val="32"/>
          <w:highlight w:val="none"/>
          <w:lang w:val="en-US" w:eastAsia="zh-CN"/>
          <w14:textFill>
            <w14:solidFill>
              <w14:schemeClr w14:val="tx1"/>
            </w14:solidFill>
          </w14:textFill>
        </w:rPr>
        <w:t>7</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17</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w:t>
      </w:r>
      <w:r>
        <w:rPr>
          <w:rFonts w:hint="eastAsia" w:hAnsi="宋体" w:cs="宋体"/>
          <w:color w:val="000000" w:themeColor="text1"/>
          <w:kern w:val="0"/>
          <w:sz w:val="32"/>
          <w:szCs w:val="32"/>
          <w:highlight w:val="none"/>
          <w:lang w:val="en-US" w:eastAsia="zh-CN"/>
          <w14:textFill>
            <w14:solidFill>
              <w14:schemeClr w14:val="tx1"/>
            </w14:solidFill>
          </w14:textFill>
        </w:rPr>
        <w:t>。</w:t>
      </w:r>
    </w:p>
    <w:p>
      <w:pPr>
        <w:bidi w:val="0"/>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2.材料提交时间：2026年</w:t>
      </w:r>
      <w:r>
        <w:rPr>
          <w:rFonts w:hint="eastAsia" w:hAnsi="宋体" w:cs="宋体"/>
          <w:color w:val="000000" w:themeColor="text1"/>
          <w:kern w:val="0"/>
          <w:sz w:val="32"/>
          <w:szCs w:val="32"/>
          <w:highlight w:val="none"/>
          <w:lang w:val="en-US" w:eastAsia="zh-CN"/>
          <w14:textFill>
            <w14:solidFill>
              <w14:schemeClr w14:val="tx1"/>
            </w14:solidFill>
          </w14:textFill>
        </w:rPr>
        <w:t>7</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日-2026年</w:t>
      </w:r>
      <w:r>
        <w:rPr>
          <w:rFonts w:hint="eastAsia" w:hAnsi="宋体" w:cs="宋体"/>
          <w:color w:val="000000" w:themeColor="text1"/>
          <w:kern w:val="0"/>
          <w:sz w:val="32"/>
          <w:szCs w:val="32"/>
          <w:highlight w:val="none"/>
          <w:lang w:val="en-US" w:eastAsia="zh-CN"/>
          <w14:textFill>
            <w14:solidFill>
              <w14:schemeClr w14:val="tx1"/>
            </w14:solidFill>
          </w14:textFill>
        </w:rPr>
        <w:t>7</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17</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w:t>
      </w:r>
    </w:p>
    <w:p>
      <w:pPr>
        <w:bidi w:val="0"/>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申报单位在上述规定时间内填报、提交材料，逾期不予受理。</w:t>
      </w:r>
    </w:p>
    <w:p>
      <w:pPr>
        <w:bidi w:val="0"/>
        <w:spacing w:before="0" w:after="0" w:line="560" w:lineRule="exact"/>
        <w:ind w:left="645" w:firstLine="0" w:firstLineChars="0"/>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（三）受理地点</w:t>
      </w:r>
    </w:p>
    <w:p>
      <w:pPr>
        <w:keepNext w:val="0"/>
        <w:keepLines w:val="0"/>
        <w:widowControl/>
        <w:suppressLineNumbers w:val="0"/>
        <w:spacing w:line="560" w:lineRule="exact"/>
        <w:jc w:val="left"/>
        <w:rPr>
          <w:rFonts w:hint="eastAsia"/>
          <w:color w:val="auto"/>
          <w:highlight w:val="none"/>
          <w:u w:val="none"/>
          <w:lang w:val="en-US" w:eastAsia="zh-CN"/>
        </w:rPr>
      </w:pPr>
      <w:r>
        <w:rPr>
          <w:rFonts w:hint="eastAsia" w:cs="仿宋_GB2312"/>
          <w:color w:val="auto"/>
          <w:sz w:val="32"/>
          <w:szCs w:val="32"/>
          <w:highlight w:val="none"/>
          <w:u w:val="none"/>
          <w:lang w:eastAsia="zh-CN"/>
        </w:rPr>
        <w:t>线上受理：</w:t>
      </w:r>
      <w:r>
        <w:rPr>
          <w:rFonts w:hint="eastAsia"/>
          <w:color w:val="auto"/>
          <w:highlight w:val="none"/>
          <w:u w:val="none"/>
          <w:lang w:val="en-US" w:eastAsia="zh-CN"/>
        </w:rPr>
        <w:fldChar w:fldCharType="begin"/>
      </w:r>
      <w:r>
        <w:rPr>
          <w:rFonts w:hint="eastAsia"/>
          <w:color w:val="auto"/>
          <w:highlight w:val="none"/>
          <w:u w:val="none"/>
          <w:lang w:val="en-US" w:eastAsia="zh-CN"/>
        </w:rPr>
        <w:instrText xml:space="preserve"> HYPERLINK "https://www.gdzwfw.gov.cn/（广东政务服务网）。" </w:instrText>
      </w:r>
      <w:r>
        <w:rPr>
          <w:rFonts w:hint="eastAsia"/>
          <w:color w:val="auto"/>
          <w:highlight w:val="none"/>
          <w:u w:val="none"/>
          <w:lang w:val="en-US" w:eastAsia="zh-CN"/>
        </w:rPr>
        <w:fldChar w:fldCharType="separate"/>
      </w:r>
      <w:r>
        <w:rPr>
          <w:rStyle w:val="7"/>
          <w:rFonts w:hint="eastAsia"/>
          <w:color w:val="auto"/>
          <w:highlight w:val="none"/>
          <w:u w:val="none"/>
          <w:lang w:val="en-US" w:eastAsia="zh-CN"/>
        </w:rPr>
        <w:t>https://www.gdzwfw.gov.cn/（广东政务服务网）。</w:t>
      </w:r>
      <w:r>
        <w:rPr>
          <w:rFonts w:hint="eastAsia"/>
          <w:color w:val="auto"/>
          <w:highlight w:val="none"/>
          <w:u w:val="none"/>
          <w:lang w:val="en-US" w:eastAsia="zh-CN"/>
        </w:rPr>
        <w:fldChar w:fldCharType="end"/>
      </w:r>
    </w:p>
    <w:p>
      <w:pPr>
        <w:keepNext w:val="0"/>
        <w:keepLines w:val="0"/>
        <w:widowControl/>
        <w:suppressLineNumbers w:val="0"/>
        <w:spacing w:line="560" w:lineRule="exact"/>
        <w:jc w:val="left"/>
        <w:rPr>
          <w:rFonts w:hint="eastAsia" w:cs="仿宋_GB2312"/>
          <w:color w:val="auto"/>
          <w:szCs w:val="32"/>
          <w:highlight w:val="none"/>
          <w:u w:val="none"/>
          <w:lang w:val="en-US" w:eastAsia="zh-CN"/>
        </w:rPr>
      </w:pPr>
      <w:r>
        <w:rPr>
          <w:rFonts w:hint="eastAsia" w:cs="仿宋_GB2312"/>
          <w:color w:val="auto"/>
          <w:sz w:val="32"/>
          <w:szCs w:val="32"/>
          <w:highlight w:val="none"/>
          <w:u w:val="none"/>
          <w:lang w:eastAsia="zh-CN"/>
        </w:rPr>
        <w:t>线下材料递交地址：</w:t>
      </w:r>
      <w:r>
        <w:rPr>
          <w:rFonts w:hint="eastAsia" w:ascii="仿宋_GB2312" w:hAnsi="仿宋_GB2312" w:eastAsia="仿宋_GB2312" w:cs="仿宋_GB2312"/>
          <w:i w:val="0"/>
          <w:iCs w:val="0"/>
          <w:caps w:val="0"/>
          <w:color w:val="auto"/>
          <w:spacing w:val="0"/>
          <w:kern w:val="2"/>
          <w:sz w:val="32"/>
          <w:szCs w:val="32"/>
          <w:highlight w:val="none"/>
          <w:u w:val="none"/>
          <w:shd w:val="clear"/>
          <w:lang w:val="en-US" w:eastAsia="zh-CN" w:bidi="ar"/>
        </w:rPr>
        <w:t>深圳市大鹏新区葵涌街道金业大道140号生命科学产业园B13栋大鹏新区政务服务中心一楼综合窗口</w:t>
      </w:r>
      <w:r>
        <w:rPr>
          <w:rFonts w:hint="eastAsia" w:cs="仿宋_GB2312"/>
          <w:color w:val="auto"/>
          <w:szCs w:val="32"/>
          <w:highlight w:val="none"/>
          <w:u w:val="none"/>
          <w:lang w:val="en-US" w:eastAsia="zh-CN"/>
        </w:rPr>
        <w:t>。办公电</w:t>
      </w:r>
      <w:r>
        <w:rPr>
          <w:rFonts w:hint="eastAsia" w:cs="仿宋_GB2312"/>
          <w:color w:val="auto"/>
          <w:szCs w:val="32"/>
          <w:highlight w:val="none"/>
          <w:u w:val="none"/>
          <w:lang w:val="en-US" w:eastAsia="zh-CN" w:bidi="ar"/>
        </w:rPr>
        <w:t>话：</w:t>
      </w:r>
      <w:r>
        <w:rPr>
          <w:rFonts w:hint="eastAsia" w:ascii="仿宋_GB2312" w:hAnsi="仿宋_GB2312" w:eastAsia="仿宋_GB2312" w:cs="仿宋_GB2312"/>
          <w:i w:val="0"/>
          <w:iCs w:val="0"/>
          <w:caps w:val="0"/>
          <w:color w:val="auto"/>
          <w:spacing w:val="0"/>
          <w:kern w:val="2"/>
          <w:sz w:val="32"/>
          <w:szCs w:val="32"/>
          <w:highlight w:val="none"/>
          <w:u w:val="none"/>
          <w:shd w:val="clear"/>
          <w:lang w:val="en-US" w:eastAsia="zh-CN" w:bidi="ar"/>
        </w:rPr>
        <w:t>0755-28333100</w:t>
      </w:r>
      <w:r>
        <w:rPr>
          <w:rFonts w:hint="eastAsia" w:cs="仿宋_GB2312"/>
          <w:color w:val="auto"/>
          <w:szCs w:val="32"/>
          <w:highlight w:val="none"/>
          <w:u w:val="none"/>
          <w:lang w:val="en-US" w:eastAsia="zh-CN" w:bidi="ar"/>
        </w:rPr>
        <w:t>。服</w:t>
      </w:r>
      <w:r>
        <w:rPr>
          <w:rFonts w:hint="eastAsia" w:cs="仿宋_GB2312"/>
          <w:color w:val="auto"/>
          <w:szCs w:val="32"/>
          <w:highlight w:val="none"/>
          <w:u w:val="none"/>
          <w:lang w:val="en-US" w:eastAsia="zh-CN"/>
        </w:rPr>
        <w:t>务时间：周一至周五9:00-17:30，周六9:00-12:00（法定节假日除外）。</w:t>
      </w:r>
    </w:p>
    <w:p>
      <w:pPr>
        <w:bidi w:val="0"/>
        <w:spacing w:before="0" w:after="0" w:line="560" w:lineRule="exact"/>
        <w:ind w:left="645" w:firstLine="0" w:firstLineChars="0"/>
        <w:rPr>
          <w:rFonts w:ascii="楷体_GB2312" w:hAnsi="楷体_GB2312" w:eastAsia="楷体_GB2312" w:cs="楷体_GB2312"/>
          <w:color w:val="000000" w:themeColor="text1"/>
          <w:sz w:val="32"/>
          <w:szCs w:val="32"/>
          <w:highlight w:val="none"/>
          <w:u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u w:val="none"/>
          <w14:textFill>
            <w14:solidFill>
              <w14:schemeClr w14:val="tx1"/>
            </w14:solidFill>
          </w14:textFill>
        </w:rPr>
        <w:t>（四）咨询电话</w:t>
      </w:r>
    </w:p>
    <w:p>
      <w:pPr>
        <w:bidi w:val="0"/>
        <w:spacing w:line="560" w:lineRule="exact"/>
        <w:rPr>
          <w:rFonts w:hint="eastAsia" w:ascii="仿宋_GB2312" w:hAnsi="仿宋_GB2312" w:eastAsia="仿宋_GB2312" w:cs="仿宋_GB2312"/>
          <w:color w:val="000000" w:themeColor="text1"/>
          <w:sz w:val="32"/>
          <w:szCs w:val="32"/>
          <w:highlight w:val="none"/>
          <w:u w:val="none"/>
          <w14:textFill>
            <w14:solidFill>
              <w14:schemeClr w14:val="tx1"/>
            </w14:solidFill>
          </w14:textFill>
        </w:rPr>
      </w:pPr>
      <w:r>
        <w:rPr>
          <w:rFonts w:hint="eastAsia" w:cs="仿宋_GB2312"/>
          <w:color w:val="000000" w:themeColor="text1"/>
          <w:sz w:val="32"/>
          <w:szCs w:val="32"/>
          <w:highlight w:val="none"/>
          <w:u w:val="none"/>
          <w:lang w:val="en-US" w:eastAsia="zh-CN"/>
          <w14:textFill>
            <w14:solidFill>
              <w14:schemeClr w14:val="tx1"/>
            </w14:solidFill>
          </w14:textFill>
        </w:rPr>
        <w:t>0755-28333810</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20" w:name="_Toc9722"/>
      <w:bookmarkStart w:id="21" w:name="_Toc1376"/>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九、申请决定机关</w:t>
      </w:r>
      <w:bookmarkEnd w:id="20"/>
      <w:bookmarkEnd w:id="21"/>
    </w:p>
    <w:p>
      <w:pPr>
        <w:bidi w:val="0"/>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bookmarkStart w:id="22" w:name="_Toc2137"/>
      <w:bookmarkStart w:id="23" w:name="_Toc161850809"/>
      <w:bookmarkStart w:id="24" w:name="_Toc125127183"/>
      <w:bookmarkStart w:id="25" w:name="_Toc10305"/>
      <w:r>
        <w:rPr>
          <w:rFonts w:hint="eastAsia" w:hAnsi="宋体" w:cs="宋体"/>
          <w:color w:val="000000" w:themeColor="text1"/>
          <w:kern w:val="0"/>
          <w:sz w:val="32"/>
          <w:szCs w:val="32"/>
          <w:highlight w:val="none"/>
          <w:lang w:val="en-US" w:eastAsia="zh-CN"/>
          <w14:textFill>
            <w14:solidFill>
              <w14:schemeClr w14:val="tx1"/>
            </w14:solidFill>
          </w14:textFill>
        </w:rPr>
        <w:t>各区级商务主管部门</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26" w:name="_Toc16198"/>
      <w:bookmarkStart w:id="27" w:name="_Toc11274"/>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十、办理流程</w:t>
      </w:r>
      <w:bookmarkEnd w:id="26"/>
      <w:bookmarkEnd w:id="27"/>
    </w:p>
    <w:p>
      <w:pPr>
        <w:bidi w:val="0"/>
        <w:rPr>
          <w:rFonts w:hint="eastAsia" w:ascii="仿宋_GB2312" w:hAnsi="仿宋_GB2312" w:eastAsia="仿宋_GB2312" w:cs="Times New Roman"/>
          <w:color w:val="000000" w:themeColor="text1"/>
          <w:sz w:val="32"/>
          <w:szCs w:val="32"/>
          <w:highlight w:val="none"/>
          <w:lang w:bidi="ar"/>
          <w14:textFill>
            <w14:solidFill>
              <w14:schemeClr w14:val="tx1"/>
            </w14:solidFill>
          </w14:textFill>
        </w:rPr>
      </w:pPr>
      <w:r>
        <w:rPr>
          <w:rFonts w:hint="eastAsia" w:ascii="仿宋_GB2312" w:hAnsi="仿宋_GB2312" w:eastAsia="仿宋_GB2312" w:cs="Times New Roman"/>
          <w:color w:val="000000" w:themeColor="text1"/>
          <w:sz w:val="32"/>
          <w:szCs w:val="32"/>
          <w:highlight w:val="none"/>
          <w:lang w:val="en-US" w:eastAsia="zh-CN" w:bidi="ar"/>
          <w14:textFill>
            <w14:solidFill>
              <w14:schemeClr w14:val="tx1"/>
            </w14:solidFill>
          </w14:textFill>
        </w:rPr>
        <w:t>区级商务主管部门发布申报指南——申报单位网上申报——区级商务主管部门网上初审——申报单位向辖区政务服务中心收文窗口提交申请材料——区级商务部门开展形式审查——区级商务主管部门开展资质审查——区级商务主管部门组织专项审计——征求意见与综合核查——拟定资助计划——社会公示——下达资助计划——通知申报单位提交拨付资料——拨付资金</w:t>
      </w:r>
      <w:r>
        <w:rPr>
          <w:rFonts w:hint="eastAsia" w:ascii="仿宋_GB2312" w:hAnsi="仿宋_GB2312" w:eastAsia="仿宋_GB2312" w:cs="Times New Roman"/>
          <w:color w:val="000000" w:themeColor="text1"/>
          <w:sz w:val="32"/>
          <w:szCs w:val="32"/>
          <w:highlight w:val="none"/>
          <w:lang w:bidi="ar"/>
          <w14:textFill>
            <w14:solidFill>
              <w14:schemeClr w14:val="tx1"/>
            </w14:solidFill>
          </w14:textFill>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28" w:name="_Toc28790"/>
      <w:bookmarkStart w:id="29" w:name="_Toc3693"/>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十一、办理时限</w:t>
      </w:r>
      <w:bookmarkEnd w:id="28"/>
      <w:bookmarkEnd w:id="29"/>
    </w:p>
    <w:p>
      <w:pPr>
        <w:bidi w:val="0"/>
        <w:rPr>
          <w:rFonts w:hint="eastAsia"/>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180个工作日，不含特别程序。</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30" w:name="_Toc29872"/>
      <w:bookmarkStart w:id="31" w:name="_Toc32254"/>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十二、证件及有效期</w:t>
      </w:r>
      <w:bookmarkEnd w:id="30"/>
      <w:bookmarkEnd w:id="31"/>
    </w:p>
    <w:p>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证件：无</w:t>
      </w:r>
    </w:p>
    <w:p>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有效期限：无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000000" w:themeColor="text1"/>
          <w:kern w:val="2"/>
          <w:sz w:val="32"/>
          <w:szCs w:val="32"/>
          <w:highlight w:val="none"/>
          <w:lang w:val="en-US" w:eastAsia="zh-CN" w:bidi="ar-SA"/>
          <w14:textFill>
            <w14:solidFill>
              <w14:schemeClr w14:val="tx1"/>
            </w14:solidFill>
          </w14:textFill>
        </w:rPr>
      </w:pPr>
      <w:bookmarkStart w:id="32" w:name="_Toc17239"/>
      <w:bookmarkStart w:id="33" w:name="_Toc19920"/>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十三、证件的法律效力</w:t>
      </w:r>
      <w:bookmarkEnd w:id="32"/>
      <w:bookmarkEnd w:id="33"/>
    </w:p>
    <w:p>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000000" w:themeColor="text1"/>
          <w:kern w:val="2"/>
          <w:sz w:val="32"/>
          <w:szCs w:val="32"/>
          <w:highlight w:val="none"/>
          <w:lang w:val="en-US" w:eastAsia="zh-CN" w:bidi="ar-SA"/>
          <w14:textFill>
            <w14:solidFill>
              <w14:schemeClr w14:val="tx1"/>
            </w14:solidFill>
          </w14:textFill>
        </w:rPr>
      </w:pPr>
      <w:bookmarkStart w:id="34" w:name="_Toc7505"/>
      <w:bookmarkStart w:id="35" w:name="_Toc6842"/>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十四、收费</w:t>
      </w:r>
      <w:bookmarkEnd w:id="34"/>
      <w:bookmarkEnd w:id="35"/>
    </w:p>
    <w:p>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000000" w:themeColor="text1"/>
          <w:kern w:val="2"/>
          <w:sz w:val="32"/>
          <w:szCs w:val="32"/>
          <w:highlight w:val="none"/>
          <w:lang w:val="en-US" w:eastAsia="zh-CN" w:bidi="ar-SA"/>
          <w14:textFill>
            <w14:solidFill>
              <w14:schemeClr w14:val="tx1"/>
            </w14:solidFill>
          </w14:textFill>
        </w:rPr>
      </w:pPr>
      <w:bookmarkStart w:id="36" w:name="_Toc30475"/>
      <w:bookmarkStart w:id="37" w:name="_Toc30145"/>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十五、年审或年检</w:t>
      </w:r>
      <w:bookmarkEnd w:id="36"/>
      <w:bookmarkEnd w:id="37"/>
    </w:p>
    <w:p>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无</w:t>
      </w:r>
      <w:bookmarkStart w:id="38" w:name="_Toc28762"/>
      <w:bookmarkStart w:id="39" w:name="_Toc20677"/>
    </w:p>
    <w:p>
      <w:pPr>
        <w:bidi w:val="0"/>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pPr>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十六、监督检查和补充说明</w:t>
      </w:r>
      <w:bookmarkEnd w:id="38"/>
      <w:bookmarkEnd w:id="39"/>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（一）申报单位应当按要求配合市、区两级商务部门和其他相关部门的监督检查，按要求做好项目资金管理、绩效评估等工作。</w:t>
      </w:r>
      <w:r>
        <w:rPr>
          <w:rFonts w:hint="eastAsia"/>
          <w:color w:val="000000"/>
          <w:highlight w:val="none"/>
          <w:lang w:val="en-US" w:eastAsia="zh-CN"/>
        </w:rPr>
        <w:t>申报指南未尽事宜或特殊情形，以发布机构负责解释为准。</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（二）申报单位存在以下情形之一的，应当按要求将已获得的部分或全部财政专项资金退回国库，并按照有关规定处理；涉嫌犯罪的，依法移送有关机关处理：</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1.申报单位未履行或未完全履行申报承诺并经查证属实的。</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2.申报单位不符合项目申报条件获得资助的。</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3.申报单位存在利用不正当手段套取、骗取、盗取专项资金的。</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4.审计、巡视、巡察等核查需要申报单位退回专项资金的。</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5.其他按照有关规定需要退回资金的。</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三）获得资金支持的申报单位，应当按照国家有关财务制度规定进行管理和使用，按照国家统一的会计制度进行会计核算，配合商务部门统计报送业务数据，并自觉接受相关财政、审计、商务等有关部门的监督检查。配合商务部门开展业务、资金统计监测，妥善保管项目申报材料。</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四）任何单位和个人不得以任何形式、任何理由违规使用财政资金，对截留、挤占、挪用、骗取财政资金等违法行为，一经查实，将收回已安排的资金，并按照《财政违法行为处罚处分条例》等有关规定追究责任。</w:t>
      </w:r>
    </w:p>
    <w:p>
      <w:pPr>
        <w:bidi w:val="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五</w: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受理单位</w:t>
      </w:r>
      <w:r>
        <w:rPr>
          <w:rFonts w:hint="eastAsia"/>
          <w:color w:val="000000" w:themeColor="text1"/>
          <w:highlight w:val="none"/>
          <w14:textFill>
            <w14:solidFill>
              <w14:schemeClr w14:val="tx1"/>
            </w14:solidFill>
          </w14:textFill>
        </w:rPr>
        <w:t>从未委托任何单位和个人为申报单位代理专项资金扶持计划项目申报事宜</w:t>
      </w:r>
      <w:r>
        <w:rPr>
          <w:color w:val="000000" w:themeColor="text1"/>
          <w:highlight w:val="none"/>
          <w14:textFill>
            <w14:solidFill>
              <w14:schemeClr w14:val="tx1"/>
            </w14:solidFill>
          </w14:textFill>
        </w:rPr>
        <w:t>，申报单位应</w:t>
      </w:r>
      <w:r>
        <w:rPr>
          <w:rFonts w:hint="eastAsia"/>
          <w:color w:val="000000" w:themeColor="text1"/>
          <w:highlight w:val="none"/>
          <w14:textFill>
            <w14:solidFill>
              <w14:schemeClr w14:val="tx1"/>
            </w14:solidFill>
          </w14:textFill>
        </w:rPr>
        <w:t>自主申报。我</w:t>
      </w:r>
      <w:r>
        <w:rPr>
          <w:rFonts w:hint="eastAsia"/>
          <w:color w:val="000000" w:themeColor="text1"/>
          <w:highlight w:val="none"/>
          <w:lang w:eastAsia="zh-CN"/>
          <w14:textFill>
            <w14:solidFill>
              <w14:schemeClr w14:val="tx1"/>
            </w14:solidFill>
          </w14:textFill>
        </w:rPr>
        <w:t>单位</w:t>
      </w:r>
      <w:r>
        <w:rPr>
          <w:rFonts w:hint="eastAsia"/>
          <w:color w:val="000000" w:themeColor="text1"/>
          <w:highlight w:val="none"/>
          <w14:textFill>
            <w14:solidFill>
              <w14:schemeClr w14:val="tx1"/>
            </w14:solidFill>
          </w14:textFill>
        </w:rPr>
        <w:t>严格按照有关</w:t>
      </w:r>
      <w:r>
        <w:rPr>
          <w:color w:val="000000" w:themeColor="text1"/>
          <w:highlight w:val="none"/>
          <w14:textFill>
            <w14:solidFill>
              <w14:schemeClr w14:val="tx1"/>
            </w14:solidFill>
          </w14:textFill>
        </w:rPr>
        <w:t>规定</w:t>
      </w:r>
      <w:r>
        <w:rPr>
          <w:rFonts w:hint="eastAsia"/>
          <w:color w:val="000000" w:themeColor="text1"/>
          <w:highlight w:val="none"/>
          <w14:textFill>
            <w14:solidFill>
              <w14:schemeClr w14:val="tx1"/>
            </w14:solidFill>
          </w14:textFill>
        </w:rPr>
        <w:t>和程序受理申请，不收取任何费用。如有任何中介机构和个人假借我</w:t>
      </w:r>
      <w:r>
        <w:rPr>
          <w:rFonts w:hint="eastAsia"/>
          <w:color w:val="000000" w:themeColor="text1"/>
          <w:highlight w:val="none"/>
          <w:lang w:eastAsia="zh-CN"/>
          <w14:textFill>
            <w14:solidFill>
              <w14:schemeClr w14:val="tx1"/>
            </w14:solidFill>
          </w14:textFill>
        </w:rPr>
        <w:t>单位</w:t>
      </w:r>
      <w:r>
        <w:rPr>
          <w:color w:val="000000" w:themeColor="text1"/>
          <w:highlight w:val="none"/>
          <w14:textFill>
            <w14:solidFill>
              <w14:schemeClr w14:val="tx1"/>
            </w14:solidFill>
          </w14:textFill>
        </w:rPr>
        <w:t>或</w:t>
      </w:r>
      <w:r>
        <w:rPr>
          <w:rFonts w:hint="eastAsia"/>
          <w:color w:val="000000" w:themeColor="text1"/>
          <w:highlight w:val="none"/>
          <w14:textFill>
            <w14:solidFill>
              <w14:schemeClr w14:val="tx1"/>
            </w14:solidFill>
          </w14:textFill>
        </w:rPr>
        <w:t>工作人员名义向申报单位收取费用的，请向我</w:t>
      </w:r>
      <w:r>
        <w:rPr>
          <w:rFonts w:hint="eastAsia"/>
          <w:color w:val="000000" w:themeColor="text1"/>
          <w:highlight w:val="none"/>
          <w:lang w:eastAsia="zh-CN"/>
          <w14:textFill>
            <w14:solidFill>
              <w14:schemeClr w14:val="tx1"/>
            </w14:solidFill>
          </w14:textFill>
        </w:rPr>
        <w:t>单位</w:t>
      </w:r>
      <w:r>
        <w:rPr>
          <w:rFonts w:hint="eastAsia"/>
          <w:color w:val="000000" w:themeColor="text1"/>
          <w:highlight w:val="none"/>
          <w14:textFill>
            <w14:solidFill>
              <w14:schemeClr w14:val="tx1"/>
            </w14:solidFill>
          </w14:textFill>
        </w:rPr>
        <w:t>举报</w:t>
      </w:r>
      <w:r>
        <w:rPr>
          <w:rFonts w:hint="eastAsia"/>
          <w:color w:val="000000" w:themeColor="text1"/>
          <w:highlight w:val="none"/>
          <w:lang w:val="en-US" w:eastAsia="zh-CN"/>
          <w14:textFill>
            <w14:solidFill>
              <w14:schemeClr w14:val="tx1"/>
            </w14:solidFill>
          </w14:textFill>
        </w:rPr>
        <w:t>。（</w:t>
      </w:r>
      <w:r>
        <w:rPr>
          <w:rFonts w:hint="eastAsia" w:ascii="仿宋_GB2312" w:hAnsi="仿宋_GB2312" w:eastAsia="仿宋_GB2312" w:cs="仿宋"/>
          <w:i w:val="0"/>
          <w:iCs w:val="0"/>
          <w:caps w:val="0"/>
          <w:color w:val="000000" w:themeColor="text1"/>
          <w:spacing w:val="0"/>
          <w:kern w:val="2"/>
          <w:sz w:val="32"/>
          <w:szCs w:val="22"/>
          <w:highlight w:val="none"/>
          <w:shd w:val="clear" w:fill="auto"/>
          <w:lang w:val="en-US" w:eastAsia="zh-CN" w:bidi="ar"/>
          <w14:textFill>
            <w14:solidFill>
              <w14:schemeClr w14:val="tx1"/>
            </w14:solidFill>
          </w14:textFill>
        </w:rPr>
        <w:t>0755-88159722</w:t>
      </w:r>
      <w:r>
        <w:rPr>
          <w:rFonts w:hint="eastAsia"/>
          <w:color w:val="000000" w:themeColor="text1"/>
          <w:highlight w:val="none"/>
          <w:lang w:val="en-US" w:eastAsia="zh-CN"/>
          <w14:textFill>
            <w14:solidFill>
              <w14:schemeClr w14:val="tx1"/>
            </w14:solidFill>
          </w14:textFill>
        </w:rPr>
        <w:t>）</w:t>
      </w:r>
    </w:p>
    <w:p>
      <w:pPr>
        <w:bidi w:val="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六</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申报单位在项目申报期间发生企业名称、联系信息变更的，应及时联系并提供变更材料，如因未及时变更产生的后果由企业自行承担。</w:t>
      </w:r>
    </w:p>
    <w:p>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七</w:t>
      </w:r>
      <w:r>
        <w:rPr>
          <w:rFonts w:hint="eastAsia"/>
          <w:color w:val="000000" w:themeColor="text1"/>
          <w:highlight w:val="none"/>
          <w14:textFill>
            <w14:solidFill>
              <w14:schemeClr w14:val="tx1"/>
            </w14:solidFill>
          </w14:textFill>
        </w:rPr>
        <w:t>）资助拨款按照申请书银行账户信息办理。因</w:t>
      </w:r>
      <w:r>
        <w:rPr>
          <w:color w:val="000000" w:themeColor="text1"/>
          <w:highlight w:val="none"/>
          <w14:textFill>
            <w14:solidFill>
              <w14:schemeClr w14:val="tx1"/>
            </w14:solidFill>
          </w14:textFill>
        </w:rPr>
        <w:t>账户信息变更或企业填写错误等原因导致</w:t>
      </w:r>
      <w:r>
        <w:rPr>
          <w:rFonts w:hint="eastAsia"/>
          <w:color w:val="000000" w:themeColor="text1"/>
          <w:highlight w:val="none"/>
          <w:lang w:eastAsia="zh-CN"/>
          <w14:textFill>
            <w14:solidFill>
              <w14:schemeClr w14:val="tx1"/>
            </w14:solidFill>
          </w14:textFill>
        </w:rPr>
        <w:t>拨付</w:t>
      </w:r>
      <w:r>
        <w:rPr>
          <w:color w:val="000000" w:themeColor="text1"/>
          <w:highlight w:val="none"/>
          <w14:textFill>
            <w14:solidFill>
              <w14:schemeClr w14:val="tx1"/>
            </w14:solidFill>
          </w14:textFill>
        </w:rPr>
        <w:t>不成功的，</w:t>
      </w:r>
      <w:r>
        <w:rPr>
          <w:rFonts w:hint="eastAsia"/>
          <w:color w:val="000000" w:themeColor="text1"/>
          <w:highlight w:val="none"/>
          <w14:textFill>
            <w14:solidFill>
              <w14:schemeClr w14:val="tx1"/>
            </w14:solidFill>
          </w14:textFill>
        </w:rPr>
        <w:t>原则上予以办理一次拨款信息更改并再次拨付。</w:t>
      </w:r>
      <w:r>
        <w:rPr>
          <w:color w:val="000000" w:themeColor="text1"/>
          <w:highlight w:val="none"/>
          <w14:textFill>
            <w14:solidFill>
              <w14:schemeClr w14:val="tx1"/>
            </w14:solidFill>
          </w14:textFill>
        </w:rPr>
        <w:t>申报单位</w:t>
      </w:r>
      <w:r>
        <w:rPr>
          <w:rFonts w:hint="eastAsia"/>
          <w:color w:val="000000" w:themeColor="text1"/>
          <w:highlight w:val="none"/>
          <w14:textFill>
            <w14:solidFill>
              <w14:schemeClr w14:val="tx1"/>
            </w14:solidFill>
          </w14:textFill>
        </w:rPr>
        <w:t>应当按照要求办理资金拨款手续。</w:t>
      </w:r>
    </w:p>
    <w:p>
      <w:pPr>
        <w:bidi w:val="0"/>
        <w:rPr>
          <w:rFonts w:hint="eastAsia" w:eastAsia="仿宋_GB2312"/>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（八）</w:t>
      </w:r>
      <w:r>
        <w:rPr>
          <w:rStyle w:val="6"/>
          <w:rFonts w:hint="eastAsia" w:ascii="仿宋_GB2312" w:hAnsi="仿宋_GB2312" w:eastAsia="仿宋_GB2312" w:cs="仿宋_GB2312"/>
          <w:color w:val="auto"/>
          <w:sz w:val="32"/>
          <w:szCs w:val="32"/>
          <w:highlight w:val="none"/>
          <w:lang w:val="en-US" w:eastAsia="zh-CN"/>
        </w:rPr>
        <w:t>本</w:t>
      </w:r>
      <w:r>
        <w:rPr>
          <w:rStyle w:val="6"/>
          <w:rFonts w:hint="eastAsia" w:cs="仿宋_GB2312"/>
          <w:color w:val="auto"/>
          <w:sz w:val="32"/>
          <w:szCs w:val="32"/>
          <w:highlight w:val="none"/>
          <w:lang w:val="en-US" w:eastAsia="zh-CN"/>
        </w:rPr>
        <w:t>指南</w:t>
      </w:r>
      <w:r>
        <w:rPr>
          <w:rStyle w:val="6"/>
          <w:rFonts w:hint="eastAsia" w:ascii="仿宋_GB2312" w:hAnsi="仿宋_GB2312" w:eastAsia="仿宋_GB2312" w:cs="仿宋_GB2312"/>
          <w:color w:val="auto"/>
          <w:sz w:val="32"/>
          <w:szCs w:val="32"/>
          <w:highlight w:val="none"/>
          <w:lang w:val="en-US" w:eastAsia="zh-CN"/>
        </w:rPr>
        <w:t>涉及的“不低于”“不超过”“以上”等数量表述，均包含本数在内。</w:t>
      </w:r>
    </w:p>
    <w:bookmarkEnd w:id="22"/>
    <w:bookmarkEnd w:id="23"/>
    <w:bookmarkEnd w:id="24"/>
    <w:bookmarkEnd w:id="25"/>
    <w:p>
      <w:pPr>
        <w:pStyle w:val="4"/>
        <w:rPr>
          <w:rFonts w:ascii="仿宋_GB2312" w:hAnsi="仿宋_GB2312"/>
          <w:color w:val="000000" w:themeColor="text1"/>
          <w:highlight w:val="none"/>
          <w14:textFill>
            <w14:solidFill>
              <w14:schemeClr w14:val="tx1"/>
            </w14:solidFill>
          </w14:textFill>
        </w:rPr>
      </w:pPr>
    </w:p>
    <w:p/>
    <w:sectPr>
      <w:footerReference r:id="rId5" w:type="default"/>
      <w:pgSz w:w="11906" w:h="16838"/>
      <w:pgMar w:top="2098" w:right="1474" w:bottom="1984" w:left="1587"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1"/>
    <w:family w:val="swiss"/>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2"/>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3"/>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">
              <v:fill on="f" focussize="0,0"/>
              <v:stroke on="f" weight="0.5pt"/>
              <v:imagedata o:title=""/>
              <o:lock v:ext="edit" aspectratio="f"/>
              <v:textbox inset="0mm,0mm,0mm,0mm" style="mso-fit-shape-to-text:t;">
                <w:txbxContent>
                  <w:p>
                    <w:pPr>
                      <w:pStyle w:val="3"/>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BB4F67"/>
    <w:multiLevelType w:val="singleLevel"/>
    <w:tmpl w:val="64BB4F67"/>
    <w:lvl w:ilvl="0" w:tentative="0">
      <w:start w:val="1"/>
      <w:numFmt w:val="chineseCounting"/>
      <w:suff w:val="nothing"/>
      <w:lvlText w:val="%1、"/>
      <w:lvlJc w:val="left"/>
      <w:pPr>
        <w:ind w:left="0" w:firstLine="4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EFFEE9E3"/>
    <w:rsid w:val="3DBFAC59"/>
    <w:rsid w:val="3FDE9EE5"/>
    <w:rsid w:val="4EF6599D"/>
    <w:rsid w:val="5BB1A32B"/>
    <w:rsid w:val="5F6EC667"/>
    <w:rsid w:val="8FF7FA75"/>
    <w:rsid w:val="CFEBE9DB"/>
    <w:rsid w:val="D7722D84"/>
    <w:rsid w:val="E7FB7CCB"/>
    <w:rsid w:val="EFFEE9E3"/>
    <w:rsid w:val="FF6C9A9E"/>
    <w:rsid w:val="FFFA1F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560" w:lineRule="exact"/>
      <w:ind w:firstLine="640" w:firstLineChars="200"/>
      <w:jc w:val="both"/>
    </w:pPr>
    <w:rPr>
      <w:rFonts w:ascii="仿宋_GB2312" w:hAnsi="仿宋_GB2312" w:eastAsia="仿宋_GB2312" w:cs="仿宋"/>
      <w:color w:val="000000" w:themeColor="text1"/>
      <w:kern w:val="2"/>
      <w:sz w:val="32"/>
      <w:szCs w:val="22"/>
      <w:lang w:val="en-US" w:eastAsia="zh-CN" w:bidi="ar-SA"/>
      <w14:textFill>
        <w14:solidFill>
          <w14:schemeClr w14:val="tx1"/>
        </w14:solidFill>
      </w14:textFill>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99"/>
    <w:pPr>
      <w:spacing w:after="120"/>
      <w:ind w:left="420" w:leftChars="200"/>
    </w:pPr>
  </w:style>
  <w:style w:type="paragraph" w:styleId="3">
    <w:name w:val="footer"/>
    <w:basedOn w:val="1"/>
    <w:qFormat/>
    <w:uiPriority w:val="0"/>
    <w:pPr>
      <w:tabs>
        <w:tab w:val="center" w:pos="4153"/>
        <w:tab w:val="right" w:pos="8306"/>
      </w:tabs>
      <w:snapToGrid w:val="0"/>
      <w:jc w:val="left"/>
    </w:pPr>
    <w:rPr>
      <w:sz w:val="18"/>
    </w:rPr>
  </w:style>
  <w:style w:type="paragraph" w:styleId="4">
    <w:name w:val="Body Text First Indent 2"/>
    <w:basedOn w:val="2"/>
    <w:qFormat/>
    <w:uiPriority w:val="99"/>
    <w:pPr>
      <w:adjustRightInd w:val="0"/>
      <w:spacing w:after="0"/>
      <w:ind w:left="0" w:leftChars="0" w:firstLine="1040"/>
    </w:pPr>
    <w:rPr>
      <w:rFonts w:ascii="黑体" w:hAnsi="黑体" w:cs="Times New Roman"/>
      <w:bCs/>
      <w:kern w:val="0"/>
      <w:szCs w:val="24"/>
    </w:rPr>
  </w:style>
  <w:style w:type="character" w:styleId="7">
    <w:name w:val="Hyperlink"/>
    <w:basedOn w:val="6"/>
    <w:qFormat/>
    <w:uiPriority w:val="0"/>
    <w:rPr>
      <w:color w:val="0000FF"/>
      <w:u w:val="single"/>
    </w:rPr>
  </w:style>
  <w:style w:type="paragraph" w:customStyle="1" w:styleId="8">
    <w:name w:val="文件正文"/>
    <w:basedOn w:val="3"/>
    <w:qFormat/>
    <w:uiPriority w:val="2"/>
    <w:pPr>
      <w:spacing w:line="560" w:lineRule="exact"/>
      <w:ind w:firstLine="622" w:firstLineChars="200"/>
    </w:pPr>
    <w:rPr>
      <w:rFonts w:eastAsia="仿宋_GB2312"/>
      <w:sz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2026-06-26T11:08:00Z</dcterms:created>
  <dc:creator>吴郴</dc:creator>
  <cp:lastModifiedBy>黎恩</cp:lastModifiedBy>
  <dcterms:modified xsi:type="dcterms:W3CDTF">2026-06-26T11:41:27Z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2052-11.8.2.11806</vt:lpwstr>
  </property>
  <property fmtid="{D5CDD505-2E9C-101B-9397-08002B2CF9AE}" pid="3" name="ICV">
    <vt:lpwstr>C9A0C34DA33BF7BDB3F8396A20132ACB</vt:lpwstr>
  </property>
</Properties>
</file>