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bookmarkStart w:id="0" w:name="_Toc125127182"/>
      <w:bookmarkStart w:id="1" w:name="_Toc13216"/>
      <w:bookmarkStart w:id="2" w:name="_Toc5810"/>
      <w:bookmarkStart w:id="3" w:name="_Toc32562"/>
      <w:r>
        <w:rPr>
          <w:rFonts w:hint="eastAsia" w:ascii="黑体" w:hAnsi="黑体" w:eastAsia="黑体" w:cs="黑体"/>
          <w:color w:val="000000" w:themeColor="text1"/>
          <w:sz w:val="32"/>
          <w:szCs w:val="32"/>
          <w:highlight w:val="none"/>
          <w:lang w:val="en-US" w:eastAsia="zh-CN"/>
          <w14:textFill>
            <w14:solidFill>
              <w14:schemeClr w14:val="tx1"/>
            </w14:solidFill>
          </w14:textFill>
        </w:rPr>
        <w:t>附件</w:t>
      </w:r>
      <w:r>
        <w:rPr>
          <w:rFonts w:hint="default" w:ascii="黑体" w:hAnsi="黑体" w:eastAsia="黑体" w:cs="黑体"/>
          <w:color w:val="000000" w:themeColor="text1"/>
          <w:sz w:val="32"/>
          <w:szCs w:val="32"/>
          <w:highlight w:val="none"/>
          <w:lang w:val="en-US" w:eastAsia="zh-CN"/>
          <w14:textFill>
            <w14:solidFill>
              <w14:schemeClr w14:val="tx1"/>
            </w14:solidFill>
          </w14:textFill>
        </w:rPr>
        <w:t>4</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深圳市2026年中央资金消费新业态新模式新场景试点（支持创新多元化服务消费场景</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000000" w:themeColor="text1"/>
          <w:kern w:val="0"/>
          <w:sz w:val="44"/>
          <w:szCs w:val="44"/>
          <w:highlight w:val="none"/>
          <w:lang w:val="en-US" w:eastAsia="zh-CN" w:bidi="ar-SA"/>
          <w14:textFill>
            <w14:solidFill>
              <w14:schemeClr w14:val="tx1"/>
            </w14:solidFill>
          </w14:textFill>
        </w:rPr>
      </w:pP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单体融合消费场景资助</w:t>
      </w: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项目</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4" w:name="_Toc20798"/>
      <w:bookmarkStart w:id="5" w:name="_Toc24194"/>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4"/>
      <w:bookmarkEnd w:id="5"/>
    </w:p>
    <w:p>
      <w:pPr>
        <w:bidi w:val="0"/>
        <w:spacing w:before="0" w:after="0" w:line="560" w:lineRule="exact"/>
        <w:ind w:firstLine="640"/>
        <w:rPr>
          <w:rFonts w:hint="eastAsia"/>
          <w:color w:val="auto"/>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支持单体店铺开展多元消费场景升级，拓展文化时尚、健康体育、艺术展览、主题社交、休闲娱乐等服务消费功能</w:t>
      </w:r>
      <w:r>
        <w:rPr>
          <w:rFonts w:hint="eastAsia"/>
          <w:color w:val="auto"/>
          <w:highlight w:val="none"/>
          <w:lang w:val="en-US" w:eastAsia="zh-CN"/>
        </w:rPr>
        <w:t>。</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15437"/>
      <w:bookmarkStart w:id="7" w:name="_Toc8852"/>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18411"/>
      <w:bookmarkStart w:id="9" w:name="_Toc2175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w:t>
      </w:r>
      <w:r>
        <w:rPr>
          <w:rFonts w:hint="eastAsia"/>
          <w:color w:val="000000" w:themeColor="text1"/>
          <w:highlight w:val="none"/>
          <w:lang w:val="en-US" w:eastAsia="zh-CN"/>
          <w14:textFill>
            <w14:solidFill>
              <w14:schemeClr w14:val="tx1"/>
            </w14:solidFill>
          </w14:textFill>
        </w:rPr>
        <w:t>资助</w:t>
      </w:r>
      <w:r>
        <w:rPr>
          <w:rFonts w:hint="eastAsia" w:ascii="仿宋_GB2312" w:eastAsia="仿宋_GB2312"/>
          <w:color w:val="000000" w:themeColor="text1"/>
          <w:highlight w:val="none"/>
          <w:lang w:val="en-US" w:eastAsia="zh-CN"/>
          <w14:textFill>
            <w14:solidFill>
              <w14:schemeClr w14:val="tx1"/>
            </w14:solidFill>
          </w14:textFill>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0" w:name="_Toc15307"/>
      <w:bookmarkStart w:id="11" w:name="_Toc431"/>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p>
    <w:p>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申报项目须同时满足以下条件：</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1.申报项目应有固定经营场所且店铺经营面积达100㎡以上。</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2.申报项目须通过业态、功能或内容的实质性创新融合，在同一物理空间内实现常态化运营的文化时尚、健康体育、艺术展览、主题社交、休闲娱乐等2类以上服务消费功能融合。</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3.项目实际有效投入金额不低于100万元。（2025年9月30日后项目开展以来）</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4.月均提供服务次数不低于1000次。（统计周期为2025年9月30日至申报受理前一个月月末；月均值按该期间实际运营数据计算，不足一个月的部分，按日均值折算为月均值。）</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5.不属于仅通过相邻或楼上独立空间简单组合、店内增设简单装饰性陈列或短期临时性活动实现功能拓展。</w:t>
      </w:r>
    </w:p>
    <w:p>
      <w:pPr>
        <w:pStyle w:val="30"/>
        <w:bidi w:val="0"/>
        <w:spacing w:line="560" w:lineRule="exact"/>
        <w:ind w:firstLine="640" w:firstLineChars="200"/>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pPr>
      <w:r>
        <w:rPr>
          <w:rStyle w:val="19"/>
          <w:rFonts w:hint="eastAsia" w:ascii="仿宋_GB2312" w:hAnsi="仿宋_GB2312" w:eastAsia="仿宋_GB2312" w:cs="仿宋"/>
          <w:color w:val="000000" w:themeColor="text1"/>
          <w:sz w:val="32"/>
          <w:szCs w:val="22"/>
          <w:highlight w:val="none"/>
          <w:lang w:eastAsia="zh-CN"/>
          <w14:textFill>
            <w14:solidFill>
              <w14:schemeClr w14:val="tx1"/>
            </w14:solidFill>
          </w14:textFill>
        </w:rPr>
        <w:t>项目支持时间范围为</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2025年9月30日至2027年6月30日，所支持投入部分应在上述时间内。</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原则上限于支持市场化商业化项目，不支持免费的纯公益项目，</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不支持事业单位信息系统建设维护、养老院和病房建设等与支持方向无关的领域。</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支持内容不包括新建、扩建</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商业综合体，以及</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各类古镇、纪念馆、博物馆等设施，不包括</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办公场所及必</w:t>
      </w:r>
      <w:r>
        <w:rPr>
          <w:rStyle w:val="19"/>
          <w:rFonts w:hint="eastAsia" w:cs="仿宋_GB2312"/>
          <w:color w:val="auto"/>
          <w:sz w:val="32"/>
          <w:szCs w:val="32"/>
          <w:highlight w:val="none"/>
          <w:lang w:val="en-US" w:eastAsia="zh-CN"/>
        </w:rPr>
        <w:t>需</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的公共服务基础设施建设</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，不包括</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为了满足最基本经营条件、消防验收等需求，基础水电改造、防水处理、消防改造及设施购置等一般性装修项目</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。不支持党政机关主办、承办或承担部分活动费用的展会、节庆、论坛活动。</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不支持仅通过相邻或楼上独立空间简单组合、在店内增设简单装饰性陈列，</w:t>
      </w:r>
      <w:bookmarkStart w:id="40" w:name="_GoBack"/>
      <w:bookmarkEnd w:id="40"/>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或通过短期临时性活动实现功能拓展的项目。</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2" w:name="_Toc7095"/>
      <w:bookmarkStart w:id="13" w:name="_Toc31102"/>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12"/>
      <w:bookmarkEnd w:id="13"/>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对符合条件的项目，按</w:t>
      </w:r>
      <w:r>
        <w:rPr>
          <w:rFonts w:hint="eastAsia"/>
          <w:color w:val="000000" w:themeColor="text1"/>
          <w:highlight w:val="none"/>
          <w:lang w:val="en-US" w:eastAsia="zh-CN"/>
          <w14:textFill>
            <w14:solidFill>
              <w14:schemeClr w14:val="tx1"/>
            </w14:solidFill>
          </w14:textFill>
        </w:rPr>
        <w:t>项目</w:t>
      </w:r>
      <w:r>
        <w:rPr>
          <w:rFonts w:hint="eastAsia" w:ascii="仿宋_GB2312" w:eastAsia="仿宋_GB2312"/>
          <w:color w:val="000000" w:themeColor="text1"/>
          <w:highlight w:val="none"/>
          <w:lang w:val="en-US" w:eastAsia="zh-CN"/>
          <w14:textFill>
            <w14:solidFill>
              <w14:schemeClr w14:val="tx1"/>
            </w14:solidFill>
          </w14:textFill>
        </w:rPr>
        <w:t>相关实际</w:t>
      </w:r>
      <w:r>
        <w:rPr>
          <w:rFonts w:hint="eastAsia"/>
          <w:color w:val="000000" w:themeColor="text1"/>
          <w:highlight w:val="none"/>
          <w:lang w:val="en-US" w:eastAsia="zh-CN"/>
          <w14:textFill>
            <w14:solidFill>
              <w14:schemeClr w14:val="tx1"/>
            </w14:solidFill>
          </w14:textFill>
        </w:rPr>
        <w:t>有效</w:t>
      </w:r>
      <w:r>
        <w:rPr>
          <w:rFonts w:hint="eastAsia" w:ascii="仿宋_GB2312" w:eastAsia="仿宋_GB2312"/>
          <w:color w:val="000000" w:themeColor="text1"/>
          <w:highlight w:val="none"/>
          <w:lang w:val="en-US" w:eastAsia="zh-CN"/>
          <w14:textFill>
            <w14:solidFill>
              <w14:schemeClr w14:val="tx1"/>
            </w14:solidFill>
          </w14:textFill>
        </w:rPr>
        <w:t>投入</w:t>
      </w:r>
      <w:r>
        <w:rPr>
          <w:rFonts w:hint="eastAsia"/>
          <w:color w:val="000000" w:themeColor="text1"/>
          <w:highlight w:val="none"/>
          <w:lang w:val="en-US" w:eastAsia="zh-CN"/>
          <w14:textFill>
            <w14:solidFill>
              <w14:schemeClr w14:val="tx1"/>
            </w14:solidFill>
          </w14:textFill>
        </w:rPr>
        <w:t>的</w:t>
      </w:r>
      <w:r>
        <w:rPr>
          <w:rFonts w:hint="eastAsia" w:ascii="仿宋_GB2312" w:eastAsia="仿宋_GB2312"/>
          <w:color w:val="000000" w:themeColor="text1"/>
          <w:highlight w:val="none"/>
          <w:lang w:val="en-US" w:eastAsia="zh-CN"/>
          <w14:textFill>
            <w14:solidFill>
              <w14:schemeClr w14:val="tx1"/>
            </w14:solidFill>
          </w14:textFill>
        </w:rPr>
        <w:t>20%给予资助，试点期间最高不超过100万元。</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w:t>
      </w:r>
      <w:r>
        <w:rPr>
          <w:rFonts w:hint="eastAsia"/>
          <w:color w:val="000000" w:themeColor="text1"/>
          <w:highlight w:val="none"/>
          <w:lang w:val="en-US" w:eastAsia="zh-CN"/>
          <w14:textFill>
            <w14:solidFill>
              <w14:schemeClr w14:val="tx1"/>
            </w14:solidFill>
          </w14:textFill>
        </w:rPr>
        <w:t>打造单体融合场景已完成或阶段性完成部分相关投入，不包含各级财政投资部分，以及第四点第（二）条专项条件中明确不予支持部分。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pStyle w:val="30"/>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4" w:name="_Toc7147"/>
      <w:bookmarkStart w:id="15" w:name="_Toc27028"/>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（一）</w:t>
      </w: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基本材料清单</w:t>
      </w:r>
    </w:p>
    <w:p>
      <w:pPr>
        <w:bidi w:val="0"/>
        <w:spacing w:line="560" w:lineRule="exact"/>
        <w:rPr>
          <w:rFonts w:hint="default" w:ascii="楷体" w:hAnsi="楷体" w:eastAsia="楷体_GB2312" w:cs="Times New Roman"/>
          <w:bCs/>
          <w:color w:val="auto"/>
          <w:kern w:val="2"/>
          <w:szCs w:val="32"/>
          <w:highlight w:val="none"/>
          <w:lang w:val="en-US" w:eastAsia="zh-CN" w:bidi="ar-SA"/>
        </w:rPr>
      </w:pPr>
      <w:r>
        <w:rPr>
          <w:rFonts w:hint="eastAsia"/>
          <w:color w:val="000000" w:themeColor="text1"/>
          <w:highlight w:val="none"/>
          <w:lang w:val="en-US" w:eastAsia="zh-CN"/>
          <w14:textFill>
            <w14:solidFill>
              <w14:schemeClr w14:val="tx1"/>
            </w14:solidFill>
          </w14:textFill>
        </w:rPr>
        <w:t>请各项目申报单位</w:t>
      </w:r>
      <w:r>
        <w:rPr>
          <w:rFonts w:hint="eastAsia"/>
          <w:color w:val="auto"/>
          <w:highlight w:val="none"/>
          <w:lang w:val="en-US" w:eastAsia="zh-CN"/>
        </w:rPr>
        <w:t>于线上</w:t>
      </w:r>
      <w:r>
        <w:rPr>
          <w:rFonts w:hint="eastAsia"/>
          <w:color w:val="000000" w:themeColor="text1"/>
          <w:highlight w:val="none"/>
          <w:lang w:val="en-US" w:eastAsia="zh-CN"/>
          <w14:textFill>
            <w14:solidFill>
              <w14:schemeClr w14:val="tx1"/>
            </w14:solidFill>
          </w14:textFill>
        </w:rPr>
        <w:t>填写并提交《项目申报书》，</w:t>
      </w:r>
      <w:r>
        <w:rPr>
          <w:rFonts w:hint="eastAsia"/>
          <w:color w:val="auto"/>
          <w:highlight w:val="none"/>
          <w:lang w:val="en-US" w:eastAsia="zh-CN"/>
        </w:rPr>
        <w:t>网址：https://www.gdzwfw.gov.cn/（广东政务服务网），搜索“消费新业态新场景新模式试点”——选择深圳-大鹏新区后，按照相关事项提示流程和要求进行线上申报（特别提醒该事项办理需申报主体以法人账号登录提交，不接受个人账号提交），并按办理指南提交相关材料（包括但不限于）如下：</w:t>
      </w:r>
    </w:p>
    <w:p>
      <w:pPr>
        <w:bidi w:val="0"/>
        <w:rPr>
          <w:rFonts w:hint="default"/>
          <w:color w:val="000000" w:themeColor="text1"/>
          <w:highlight w:val="none"/>
          <w:lang w:val="en-US" w:eastAsia="zh-CN"/>
          <w14:textFill>
            <w14:solidFill>
              <w14:schemeClr w14:val="tx1"/>
            </w14:solidFill>
          </w14:textFill>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w:t>
      </w:r>
      <w:r>
        <w:rPr>
          <w:rFonts w:hint="eastAsia"/>
          <w:color w:val="auto"/>
          <w:highlight w:val="none"/>
          <w:lang w:val="en-US" w:eastAsia="zh-CN"/>
        </w:rPr>
        <w:t>递交（大鹏新区政务服务中心综合窗口）</w:t>
      </w:r>
      <w:r>
        <w:rPr>
          <w:rFonts w:hint="default"/>
          <w:color w:val="auto"/>
          <w:highlight w:val="none"/>
          <w:lang w:val="en-US" w:eastAsia="zh-CN"/>
        </w:rPr>
        <w:t>，线下</w:t>
      </w:r>
      <w:r>
        <w:rPr>
          <w:rFonts w:hint="eastAsia"/>
          <w:color w:val="auto"/>
          <w:highlight w:val="none"/>
          <w:lang w:val="en-US" w:eastAsia="zh-CN"/>
        </w:rPr>
        <w:t>材料递交地址：</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深圳市大鹏新区葵涌街道金业大道140号生命科学产业园B13栋大鹏新区政务服务中心一楼综合窗口</w:t>
      </w:r>
      <w:r>
        <w:rPr>
          <w:rFonts w:hint="default"/>
          <w:color w:val="auto"/>
          <w:highlight w:val="none"/>
          <w:lang w:val="en-US" w:eastAsia="zh-CN"/>
        </w:rPr>
        <w:t>。</w:t>
      </w:r>
      <w:r>
        <w:rPr>
          <w:rFonts w:hint="eastAsia"/>
          <w:color w:val="auto"/>
          <w:highlight w:val="none"/>
          <w:lang w:val="en-US" w:eastAsia="zh-CN"/>
        </w:rPr>
        <w:t>办公电</w:t>
      </w:r>
      <w:r>
        <w:rPr>
          <w:rFonts w:hint="default"/>
          <w:color w:val="auto"/>
          <w:highlight w:val="none"/>
          <w:lang w:val="en-US" w:eastAsia="zh-CN" w:bidi="ar"/>
        </w:rPr>
        <w:t>话：</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0755-28333100</w:t>
      </w:r>
      <w:r>
        <w:rPr>
          <w:rFonts w:hint="default"/>
          <w:color w:val="auto"/>
          <w:highlight w:val="none"/>
          <w:lang w:val="en-US" w:eastAsia="zh-CN" w:bidi="ar"/>
        </w:rPr>
        <w:t>。服</w:t>
      </w:r>
      <w:r>
        <w:rPr>
          <w:rFonts w:hint="eastAsia"/>
          <w:color w:val="auto"/>
          <w:highlight w:val="none"/>
          <w:lang w:val="en-US" w:eastAsia="zh-CN"/>
        </w:rPr>
        <w:t>务时间：</w:t>
      </w:r>
      <w:r>
        <w:rPr>
          <w:rFonts w:hint="default"/>
          <w:color w:val="auto"/>
          <w:highlight w:val="none"/>
          <w:lang w:val="en-US" w:eastAsia="zh-CN"/>
        </w:rPr>
        <w:t>周一至周五9:00-17:</w:t>
      </w:r>
      <w:r>
        <w:rPr>
          <w:rFonts w:hint="eastAsia"/>
          <w:color w:val="auto"/>
          <w:highlight w:val="none"/>
          <w:lang w:val="en-US" w:eastAsia="zh-CN"/>
        </w:rPr>
        <w:t>3</w:t>
      </w:r>
      <w:r>
        <w:rPr>
          <w:rFonts w:hint="default"/>
          <w:color w:val="auto"/>
          <w:highlight w:val="none"/>
          <w:lang w:val="en-US" w:eastAsia="zh-CN"/>
        </w:rPr>
        <w:t>0</w:t>
      </w:r>
      <w:r>
        <w:rPr>
          <w:rFonts w:hint="eastAsia"/>
          <w:color w:val="auto"/>
          <w:highlight w:val="none"/>
          <w:lang w:val="en-US" w:eastAsia="zh-CN"/>
        </w:rPr>
        <w:t>，</w:t>
      </w:r>
      <w:r>
        <w:rPr>
          <w:rFonts w:hint="default"/>
          <w:color w:val="auto"/>
          <w:highlight w:val="none"/>
          <w:lang w:val="en-US" w:eastAsia="zh-CN"/>
        </w:rPr>
        <w:t>周六9:00-12:00（</w:t>
      </w:r>
      <w:r>
        <w:rPr>
          <w:rFonts w:hint="eastAsia"/>
          <w:color w:val="auto"/>
          <w:highlight w:val="none"/>
          <w:lang w:val="en-US" w:eastAsia="zh-CN"/>
        </w:rPr>
        <w:t>法定</w:t>
      </w:r>
      <w:r>
        <w:rPr>
          <w:rFonts w:hint="default"/>
          <w:color w:val="auto"/>
          <w:highlight w:val="none"/>
          <w:lang w:val="en-US" w:eastAsia="zh-CN"/>
        </w:rPr>
        <w:t xml:space="preserve">节假日除外） </w:t>
      </w:r>
      <w:r>
        <w:rPr>
          <w:rFonts w:hint="eastAsia"/>
          <w:color w:val="auto"/>
          <w:highlight w:val="none"/>
          <w:lang w:val="en-US" w:eastAsia="zh-CN"/>
        </w:rPr>
        <w:t>。</w:t>
      </w:r>
    </w:p>
    <w:p>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3.单位信用报告</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“信用中国”查询截图、国家企业信用信息公示系统下载的企业信用报告</w:t>
      </w:r>
      <w:r>
        <w:rPr>
          <w:rFonts w:hint="eastAsia"/>
          <w:color w:val="000000" w:themeColor="text1"/>
          <w:highlight w:val="none"/>
          <w:lang w:val="en-US" w:eastAsia="zh-CN"/>
          <w14:textFill>
            <w14:solidFill>
              <w14:schemeClr w14:val="tx1"/>
            </w14:solidFill>
          </w14:textFill>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1.各申报单位应按照下表要求完整提交对应佐证材料：</w:t>
      </w:r>
    </w:p>
    <w:tbl>
      <w:tblPr>
        <w:tblStyle w:val="18"/>
        <w:tblW w:w="91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80"/>
        <w:gridCol w:w="3490"/>
        <w:gridCol w:w="36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center"/>
              <w:textAlignment w:val="center"/>
              <w:rPr>
                <w:rFonts w:ascii="仿宋_GB2312" w:hAnsi="宋体" w:eastAsia="仿宋_GB2312" w:cs="仿宋_GB2312"/>
                <w:b/>
                <w:bCs/>
                <w:i w:val="0"/>
                <w:iCs w:val="0"/>
                <w:color w:val="0F1115"/>
                <w:sz w:val="28"/>
                <w:szCs w:val="28"/>
                <w:highlight w:val="none"/>
                <w:u w:val="none"/>
              </w:rPr>
            </w:pPr>
            <w:r>
              <w:rPr>
                <w:rFonts w:hint="eastAsia" w:ascii="仿宋_GB2312" w:hAnsi="宋体" w:eastAsia="仿宋_GB2312" w:cs="仿宋_GB2312"/>
                <w:b/>
                <w:bCs/>
                <w:i w:val="0"/>
                <w:iCs w:val="0"/>
                <w:color w:val="000000" w:themeColor="text1"/>
                <w:kern w:val="0"/>
                <w:sz w:val="28"/>
                <w:szCs w:val="28"/>
                <w:highlight w:val="none"/>
                <w:u w:val="none"/>
                <w:lang w:val="en-US" w:eastAsia="zh-CN" w:bidi="ar"/>
                <w14:textFill>
                  <w14:solidFill>
                    <w14:schemeClr w14:val="tx1"/>
                  </w14:solidFill>
                </w14:textFill>
              </w:rPr>
              <w:t>类型</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center"/>
              <w:textAlignment w:val="center"/>
              <w:rPr>
                <w:rFonts w:hint="eastAsia" w:ascii="仿宋_GB2312" w:hAnsi="宋体" w:eastAsia="仿宋_GB2312" w:cs="仿宋_GB2312"/>
                <w:b/>
                <w:bCs/>
                <w:i w:val="0"/>
                <w:iCs w:val="0"/>
                <w:color w:val="0F1115"/>
                <w:sz w:val="28"/>
                <w:szCs w:val="28"/>
                <w:highlight w:val="none"/>
                <w:u w:val="none"/>
              </w:rPr>
            </w:pPr>
            <w:r>
              <w:rPr>
                <w:rFonts w:hint="eastAsia" w:ascii="仿宋_GB2312" w:hAnsi="宋体" w:eastAsia="仿宋_GB2312" w:cs="仿宋_GB2312"/>
                <w:b/>
                <w:bCs/>
                <w:i w:val="0"/>
                <w:iCs w:val="0"/>
                <w:color w:val="000000" w:themeColor="text1"/>
                <w:kern w:val="0"/>
                <w:sz w:val="28"/>
                <w:szCs w:val="28"/>
                <w:highlight w:val="none"/>
                <w:u w:val="none"/>
                <w:lang w:val="en-US" w:eastAsia="zh-CN" w:bidi="ar"/>
                <w14:textFill>
                  <w14:solidFill>
                    <w14:schemeClr w14:val="tx1"/>
                  </w14:solidFill>
                </w14:textFill>
              </w:rPr>
              <w:t>具体要求</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center"/>
              <w:textAlignment w:val="center"/>
              <w:rPr>
                <w:rFonts w:hint="default" w:ascii="仿宋_GB2312" w:hAnsi="宋体" w:eastAsia="仿宋_GB2312" w:cs="仿宋_GB2312"/>
                <w:b/>
                <w:bCs/>
                <w:i w:val="0"/>
                <w:iCs w:val="0"/>
                <w:color w:val="0F1115"/>
                <w:sz w:val="28"/>
                <w:szCs w:val="28"/>
                <w:highlight w:val="none"/>
                <w:u w:val="none"/>
                <w:lang w:val="en-US"/>
              </w:rPr>
            </w:pPr>
            <w:r>
              <w:rPr>
                <w:rFonts w:hint="eastAsia" w:ascii="仿宋_GB2312" w:hAnsi="宋体" w:eastAsia="仿宋_GB2312" w:cs="仿宋_GB2312"/>
                <w:b/>
                <w:bCs/>
                <w:i w:val="0"/>
                <w:iCs w:val="0"/>
                <w:color w:val="000000" w:themeColor="text1"/>
                <w:kern w:val="0"/>
                <w:sz w:val="28"/>
                <w:szCs w:val="28"/>
                <w:highlight w:val="none"/>
                <w:u w:val="none"/>
                <w:lang w:val="en-US" w:eastAsia="zh-CN" w:bidi="ar"/>
                <w14:textFill>
                  <w14:solidFill>
                    <w14:schemeClr w14:val="tx1"/>
                  </w14:solidFill>
                </w14:textFill>
              </w:rPr>
              <w:t>佐证材料</w:t>
            </w:r>
            <w:r>
              <w:rPr>
                <w:rFonts w:hint="eastAsia" w:hAnsi="宋体" w:cs="仿宋_GB2312"/>
                <w:b/>
                <w:bCs/>
                <w:i w:val="0"/>
                <w:iCs w:val="0"/>
                <w:color w:val="000000" w:themeColor="text1"/>
                <w:kern w:val="0"/>
                <w:sz w:val="28"/>
                <w:szCs w:val="28"/>
                <w:highlight w:val="none"/>
                <w:u w:val="none"/>
                <w:lang w:val="en-US" w:eastAsia="zh-CN" w:bidi="ar"/>
                <w14:textFill>
                  <w14:solidFill>
                    <w14:schemeClr w14:val="tx1"/>
                  </w14:solidFill>
                </w14:textFill>
              </w:rPr>
              <w:t>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实体经营场所</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拥有固定经营场所</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F1115"/>
                <w:sz w:val="28"/>
                <w:szCs w:val="28"/>
                <w:highlight w:val="none"/>
                <w:u w:val="none"/>
                <w:lang w:val="en-US"/>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不动产权证书</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场地租赁合同</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经营面积</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经营面积100㎡以上</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营业执照</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载明面积的租赁合同</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不动产权证书</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业态融合</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成果</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通过业态、功能或内容的实质性创新融合，在同一物理空间内实现常态化运营的文化时尚、健康体育、艺术展览、主题社交、休闲娱乐等2类以上服务消费功能融合</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业态融合</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成果</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、各功能区域现场照片/效果图、</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可消费内容等佐证材料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服务次数</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月均提供服务次数不低于1000次</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服务订单记录、核销记录、预约系统数据、会员服务记录等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投入与成效</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F1115"/>
                <w:sz w:val="28"/>
                <w:szCs w:val="28"/>
                <w:highlight w:val="none"/>
                <w:u w:val="none"/>
                <w:lang w:val="en-US"/>
              </w:rPr>
            </w:pP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投入金额不低于100万元</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相关</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合同、发票、支付凭证、项目投入明细表</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等</w:t>
            </w:r>
          </w:p>
        </w:tc>
      </w:tr>
    </w:tbl>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2.项目成效总结（模板详见项目申报书）。</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default"/>
          <w:color w:val="000000" w:themeColor="text1"/>
          <w:highlight w:val="none"/>
          <w:lang w:val="en-US" w:eastAsia="zh-CN"/>
          <w14:textFill>
            <w14:solidFill>
              <w14:schemeClr w14:val="tx1"/>
            </w14:solidFill>
          </w14:textFill>
        </w:rPr>
        <w:t>专项资金项目投入明细表</w:t>
      </w:r>
      <w:r>
        <w:rPr>
          <w:rFonts w:hint="eastAsia"/>
          <w:color w:val="000000" w:themeColor="text1"/>
          <w:highlight w:val="none"/>
          <w:lang w:val="en-US" w:eastAsia="zh-CN"/>
          <w14:textFill>
            <w14:solidFill>
              <w14:schemeClr w14:val="tx1"/>
            </w14:solidFill>
          </w14:textFill>
        </w:rPr>
        <w:t>及佐证材料（详见项目申报书）。</w:t>
      </w:r>
    </w:p>
    <w:p>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以上申报材料按顺序一式</w:t>
      </w:r>
      <w:r>
        <w:rPr>
          <w:rFonts w:hint="eastAsia"/>
          <w:color w:val="000000" w:themeColor="text1"/>
          <w:highlight w:val="none"/>
          <w:lang w:val="en-US" w:eastAsia="zh-CN"/>
          <w14:textFill>
            <w14:solidFill>
              <w14:schemeClr w14:val="tx1"/>
            </w14:solidFill>
          </w14:textFill>
        </w:rPr>
        <w:t>四</w:t>
      </w:r>
      <w:r>
        <w:rPr>
          <w:rFonts w:hint="default"/>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color w:val="000000" w:themeColor="text1"/>
          <w:highlight w:val="none"/>
          <w:lang w:val="en-US" w:eastAsia="zh-CN"/>
          <w14:textFill>
            <w14:solidFill>
              <w14:schemeClr w14:val="tx1"/>
            </w14:solidFill>
          </w14:textFill>
        </w:rPr>
        <w:t>指引</w:t>
      </w:r>
      <w:r>
        <w:rPr>
          <w:rFonts w:hint="default"/>
          <w:color w:val="000000" w:themeColor="text1"/>
          <w:highlight w:val="none"/>
          <w:lang w:val="en-US" w:eastAsia="zh-CN"/>
          <w14:textFill>
            <w14:solidFill>
              <w14:schemeClr w14:val="tx1"/>
            </w14:solidFill>
          </w14:textFill>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6" w:name="_Toc19526"/>
      <w:bookmarkStart w:id="17" w:name="_Toc5711"/>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6"/>
      <w:bookmarkEnd w:id="17"/>
    </w:p>
    <w:p>
      <w:pPr>
        <w:bidi w:val="0"/>
        <w:spacing w:line="560" w:lineRule="exact"/>
        <w:rPr>
          <w:rFonts w:hint="default"/>
          <w:color w:val="auto"/>
          <w:highlight w:val="none"/>
          <w:lang w:val="en-US" w:eastAsia="zh-CN"/>
        </w:rPr>
      </w:pPr>
      <w:r>
        <w:rPr>
          <w:rFonts w:hint="eastAsia"/>
          <w:color w:val="auto"/>
          <w:highlight w:val="none"/>
          <w:lang w:val="en-US" w:eastAsia="zh-CN"/>
        </w:rPr>
        <w:t>请线上下载并填写《</w:t>
      </w:r>
      <w:r>
        <w:rPr>
          <w:rFonts w:hint="default"/>
          <w:color w:val="auto"/>
          <w:highlight w:val="none"/>
          <w:lang w:val="en-US" w:eastAsia="zh-CN"/>
        </w:rPr>
        <w:t>深圳市2026年中央资金消费新业态新模式新场景试点项目申报书</w:t>
      </w:r>
      <w:r>
        <w:rPr>
          <w:rFonts w:hint="eastAsia"/>
          <w:color w:val="auto"/>
          <w:highlight w:val="none"/>
          <w:lang w:val="en-US" w:eastAsia="zh-CN"/>
        </w:rPr>
        <w:t>》</w:t>
      </w:r>
      <w:r>
        <w:rPr>
          <w:rFonts w:hint="default"/>
          <w:color w:val="auto"/>
          <w:highlight w:val="none"/>
          <w:lang w:val="en-US"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8" w:name="_Toc20121"/>
      <w:bookmarkStart w:id="19" w:name="_Toc13760"/>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pPr>
        <w:keepNext/>
        <w:keepLines/>
        <w:widowControl w:val="0"/>
        <w:bidi w:val="0"/>
        <w:spacing w:before="0" w:after="0" w:line="560" w:lineRule="exact"/>
        <w:ind w:firstLine="640" w:firstLineChars="200"/>
        <w:jc w:val="both"/>
        <w:outlineLvl w:val="1"/>
        <w:rPr>
          <w:rFonts w:hint="eastAsia" w:cs="仿宋_GB2312"/>
          <w:color w:val="000000" w:themeColor="text1"/>
          <w:sz w:val="32"/>
          <w:szCs w:val="32"/>
          <w:highlight w:val="none"/>
          <w:u w:val="none"/>
          <w:lang w:eastAsia="zh-CN"/>
          <w14:textFill>
            <w14:solidFill>
              <w14:schemeClr w14:val="tx1"/>
            </w14:solidFill>
          </w14:textFill>
        </w:rPr>
      </w:pPr>
      <w:r>
        <w:rPr>
          <w:rFonts w:hint="eastAsia" w:cs="仿宋_GB2312"/>
          <w:color w:val="000000" w:themeColor="text1"/>
          <w:sz w:val="32"/>
          <w:szCs w:val="32"/>
          <w:highlight w:val="none"/>
          <w:u w:val="none"/>
          <w:lang w:eastAsia="zh-CN"/>
          <w14:textFill>
            <w14:solidFill>
              <w14:schemeClr w14:val="tx1"/>
            </w14:solidFill>
          </w14:textFill>
        </w:rPr>
        <w:t>深圳市大鹏新区商务局</w:t>
      </w:r>
    </w:p>
    <w:p>
      <w:pPr>
        <w:keepNext w:val="0"/>
        <w:keepLines w:val="0"/>
        <w:widowControl/>
        <w:bidi w:val="0"/>
        <w:spacing w:before="0" w:after="0" w:line="240" w:lineRule="auto"/>
        <w:ind w:firstLine="640" w:firstLineChars="200"/>
        <w:jc w:val="left"/>
        <w:outlineLvl w:val="9"/>
        <w:rPr>
          <w:rFonts w:hint="eastAsia" w:ascii="楷体" w:hAnsi="楷体" w:eastAsia="楷体" w:cstheme="majorBidi"/>
          <w:bCs/>
          <w:color w:val="000000" w:themeColor="text1"/>
          <w:kern w:val="2"/>
          <w:sz w:val="32"/>
          <w:szCs w:val="32"/>
          <w:highlight w:val="none"/>
          <w:u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u w:val="none"/>
          <w:lang w:val="en-US" w:eastAsia="zh-CN" w:bidi="ar-SA"/>
          <w14:textFill>
            <w14:solidFill>
              <w14:schemeClr w14:val="tx1"/>
            </w14:solidFill>
          </w14:textFill>
        </w:rPr>
        <w:t>（二）受理时间</w:t>
      </w:r>
    </w:p>
    <w:p>
      <w:pPr>
        <w:bidi w:val="0"/>
        <w:rPr>
          <w:rFonts w:hint="default" w:ascii="仿宋_GB2312" w:hAnsi="宋体" w:eastAsia="仿宋_GB2312" w:cs="宋体"/>
          <w:color w:val="000000" w:themeColor="text1"/>
          <w:kern w:val="0"/>
          <w:sz w:val="32"/>
          <w:szCs w:val="32"/>
          <w:highlight w:val="none"/>
          <w:u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u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t>年</w:t>
      </w:r>
      <w:r>
        <w:rPr>
          <w:rFonts w:hint="eastAsia" w:hAnsi="宋体" w:cs="宋体"/>
          <w:color w:val="000000" w:themeColor="text1"/>
          <w:kern w:val="0"/>
          <w:sz w:val="32"/>
          <w:szCs w:val="32"/>
          <w:highlight w:val="none"/>
          <w:u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t>月</w:t>
      </w:r>
      <w:r>
        <w:rPr>
          <w:rFonts w:hint="eastAsia" w:hAnsi="宋体" w:cs="宋体"/>
          <w:color w:val="000000" w:themeColor="text1"/>
          <w:kern w:val="0"/>
          <w:sz w:val="32"/>
          <w:szCs w:val="32"/>
          <w:highlight w:val="none"/>
          <w:u w:val="none"/>
          <w:lang w:val="en-US" w:eastAsia="zh-CN"/>
          <w14:textFill>
            <w14:solidFill>
              <w14:schemeClr w14:val="tx1"/>
            </w14:solidFill>
          </w14:textFill>
        </w:rPr>
        <w:t>26</w:t>
      </w:r>
      <w:r>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t>日-202</w:t>
      </w:r>
      <w:r>
        <w:rPr>
          <w:rFonts w:hint="eastAsia" w:hAnsi="宋体" w:cs="宋体"/>
          <w:color w:val="000000" w:themeColor="text1"/>
          <w:kern w:val="0"/>
          <w:sz w:val="32"/>
          <w:szCs w:val="32"/>
          <w:highlight w:val="none"/>
          <w:u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t>年</w:t>
      </w:r>
      <w:r>
        <w:rPr>
          <w:rFonts w:hint="eastAsia" w:hAnsi="宋体" w:cs="宋体"/>
          <w:color w:val="000000" w:themeColor="text1"/>
          <w:kern w:val="0"/>
          <w:sz w:val="32"/>
          <w:szCs w:val="32"/>
          <w:highlight w:val="none"/>
          <w:u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t>月</w:t>
      </w:r>
      <w:r>
        <w:rPr>
          <w:rFonts w:hint="eastAsia" w:hAnsi="宋体" w:cs="宋体"/>
          <w:color w:val="000000" w:themeColor="text1"/>
          <w:kern w:val="0"/>
          <w:sz w:val="32"/>
          <w:szCs w:val="32"/>
          <w:highlight w:val="none"/>
          <w:u w:val="none"/>
          <w:lang w:val="en-US" w:eastAsia="zh-CN"/>
          <w14:textFill>
            <w14:solidFill>
              <w14:schemeClr w14:val="tx1"/>
            </w14:solidFill>
          </w14:textFill>
        </w:rPr>
        <w:t>17</w:t>
      </w:r>
      <w:r>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t>日</w:t>
      </w:r>
      <w:r>
        <w:rPr>
          <w:rFonts w:hint="eastAsia" w:hAnsi="宋体" w:cs="宋体"/>
          <w:color w:val="000000" w:themeColor="text1"/>
          <w:kern w:val="0"/>
          <w:sz w:val="32"/>
          <w:szCs w:val="32"/>
          <w:highlight w:val="none"/>
          <w:u w:val="none"/>
          <w:lang w:val="en-US" w:eastAsia="zh-CN"/>
          <w14:textFill>
            <w14:solidFill>
              <w14:schemeClr w14:val="tx1"/>
            </w14:solidFill>
          </w14:textFill>
        </w:rPr>
        <w:t>。</w:t>
      </w:r>
    </w:p>
    <w:p>
      <w:pPr>
        <w:bidi w:val="0"/>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u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t>月</w:t>
      </w:r>
      <w:r>
        <w:rPr>
          <w:rFonts w:hint="eastAsia" w:hAnsi="宋体" w:cs="宋体"/>
          <w:color w:val="000000" w:themeColor="text1"/>
          <w:kern w:val="0"/>
          <w:sz w:val="32"/>
          <w:szCs w:val="32"/>
          <w:highlight w:val="none"/>
          <w:u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u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t>月</w:t>
      </w:r>
      <w:r>
        <w:rPr>
          <w:rFonts w:hint="eastAsia" w:hAnsi="宋体" w:cs="宋体"/>
          <w:color w:val="000000" w:themeColor="text1"/>
          <w:kern w:val="0"/>
          <w:sz w:val="32"/>
          <w:szCs w:val="32"/>
          <w:highlight w:val="none"/>
          <w:u w:val="none"/>
          <w:lang w:val="en-US" w:eastAsia="zh-CN"/>
          <w14:textFill>
            <w14:solidFill>
              <w14:schemeClr w14:val="tx1"/>
            </w14:solidFill>
          </w14:textFill>
        </w:rPr>
        <w:t>17</w:t>
      </w:r>
      <w:r>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t>日。</w:t>
      </w:r>
    </w:p>
    <w:p>
      <w:pPr>
        <w:bidi w:val="0"/>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u w:val="none"/>
          <w:lang w:val="en-US" w:eastAsia="zh-CN"/>
          <w14:textFill>
            <w14:solidFill>
              <w14:schemeClr w14:val="tx1"/>
            </w14:solidFill>
          </w14:textFill>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u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u w:val="none"/>
          <w14:textFill>
            <w14:solidFill>
              <w14:schemeClr w14:val="tx1"/>
            </w14:solidFill>
          </w14:textFill>
        </w:rPr>
        <w:t>（三）受理地点</w:t>
      </w:r>
    </w:p>
    <w:p>
      <w:pPr>
        <w:keepNext w:val="0"/>
        <w:keepLines w:val="0"/>
        <w:widowControl/>
        <w:suppressLineNumbers w:val="0"/>
        <w:spacing w:line="560" w:lineRule="exact"/>
        <w:jc w:val="left"/>
        <w:rPr>
          <w:rFonts w:hint="eastAsia"/>
          <w:color w:val="auto"/>
          <w:highlight w:val="none"/>
          <w:u w:val="none"/>
          <w:lang w:val="en-US" w:eastAsia="zh-CN"/>
        </w:rPr>
      </w:pPr>
      <w:r>
        <w:rPr>
          <w:rFonts w:hint="eastAsia" w:cs="仿宋_GB2312"/>
          <w:color w:val="auto"/>
          <w:sz w:val="32"/>
          <w:szCs w:val="32"/>
          <w:highlight w:val="none"/>
          <w:u w:val="none"/>
          <w:lang w:eastAsia="zh-CN"/>
        </w:rPr>
        <w:t>线上受理：</w:t>
      </w:r>
      <w:r>
        <w:rPr>
          <w:rFonts w:hint="eastAsia"/>
          <w:color w:val="auto"/>
          <w:highlight w:val="none"/>
          <w:u w:val="none"/>
          <w:lang w:val="en-US" w:eastAsia="zh-CN"/>
        </w:rPr>
        <w:fldChar w:fldCharType="begin"/>
      </w:r>
      <w:r>
        <w:rPr>
          <w:rFonts w:hint="eastAsia"/>
          <w:color w:val="auto"/>
          <w:highlight w:val="none"/>
          <w:u w:val="none"/>
          <w:lang w:val="en-US" w:eastAsia="zh-CN"/>
        </w:rPr>
        <w:instrText xml:space="preserve"> HYPERLINK "https://www.gdzwfw.gov.cn/（广东政务服务网）。" </w:instrText>
      </w:r>
      <w:r>
        <w:rPr>
          <w:rFonts w:hint="eastAsia"/>
          <w:color w:val="auto"/>
          <w:highlight w:val="none"/>
          <w:u w:val="none"/>
          <w:lang w:val="en-US" w:eastAsia="zh-CN"/>
        </w:rPr>
        <w:fldChar w:fldCharType="separate"/>
      </w:r>
      <w:r>
        <w:rPr>
          <w:rStyle w:val="21"/>
          <w:rFonts w:hint="eastAsia"/>
          <w:color w:val="auto"/>
          <w:highlight w:val="none"/>
          <w:u w:val="none"/>
          <w:lang w:val="en-US" w:eastAsia="zh-CN"/>
        </w:rPr>
        <w:t>https://www.gdzwfw.gov.cn/（广东政务服务网）。</w:t>
      </w:r>
      <w:r>
        <w:rPr>
          <w:rFonts w:hint="eastAsia"/>
          <w:color w:val="auto"/>
          <w:highlight w:val="none"/>
          <w:u w:val="none"/>
          <w:lang w:val="en-US" w:eastAsia="zh-CN"/>
        </w:rPr>
        <w:fldChar w:fldCharType="end"/>
      </w:r>
    </w:p>
    <w:p>
      <w:pPr>
        <w:keepNext w:val="0"/>
        <w:keepLines w:val="0"/>
        <w:widowControl/>
        <w:suppressLineNumbers w:val="0"/>
        <w:spacing w:line="560" w:lineRule="exact"/>
        <w:jc w:val="left"/>
        <w:rPr>
          <w:rFonts w:hint="eastAsia" w:cs="仿宋_GB2312"/>
          <w:color w:val="auto"/>
          <w:szCs w:val="32"/>
          <w:highlight w:val="none"/>
          <w:u w:val="none"/>
          <w:lang w:val="en-US" w:eastAsia="zh-CN"/>
        </w:rPr>
      </w:pPr>
      <w:r>
        <w:rPr>
          <w:rFonts w:hint="eastAsia" w:cs="仿宋_GB2312"/>
          <w:color w:val="auto"/>
          <w:sz w:val="32"/>
          <w:szCs w:val="32"/>
          <w:highlight w:val="none"/>
          <w:u w:val="none"/>
          <w:lang w:eastAsia="zh-CN"/>
        </w:rPr>
        <w:t>线下材料递交地址：</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深圳市大鹏新区葵涌街道金业大道140号生命科学产业园B13栋大鹏新区政务服务中心一楼综合窗口</w:t>
      </w:r>
      <w:r>
        <w:rPr>
          <w:rFonts w:hint="eastAsia" w:cs="仿宋_GB2312"/>
          <w:color w:val="auto"/>
          <w:szCs w:val="32"/>
          <w:highlight w:val="none"/>
          <w:u w:val="none"/>
          <w:lang w:val="en-US" w:eastAsia="zh-CN"/>
        </w:rPr>
        <w:t>。办公电</w:t>
      </w:r>
      <w:r>
        <w:rPr>
          <w:rFonts w:hint="eastAsia" w:cs="仿宋_GB2312"/>
          <w:color w:val="auto"/>
          <w:szCs w:val="32"/>
          <w:highlight w:val="none"/>
          <w:u w:val="none"/>
          <w:lang w:val="en-US" w:eastAsia="zh-CN" w:bidi="ar"/>
        </w:rPr>
        <w:t>话：</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0755-28333100</w:t>
      </w:r>
      <w:r>
        <w:rPr>
          <w:rFonts w:hint="eastAsia" w:cs="仿宋_GB2312"/>
          <w:color w:val="auto"/>
          <w:szCs w:val="32"/>
          <w:highlight w:val="none"/>
          <w:u w:val="none"/>
          <w:lang w:val="en-US" w:eastAsia="zh-CN" w:bidi="ar"/>
        </w:rPr>
        <w:t>。服</w:t>
      </w:r>
      <w:r>
        <w:rPr>
          <w:rFonts w:hint="eastAsia" w:cs="仿宋_GB2312"/>
          <w:color w:val="auto"/>
          <w:szCs w:val="32"/>
          <w:highlight w:val="none"/>
          <w:u w:val="none"/>
          <w:lang w:val="en-US" w:eastAsia="zh-CN"/>
        </w:rPr>
        <w:t>务时间：周一至周五9:00-17:30，周六9:00-12:00（法定节假日除外）。</w:t>
      </w:r>
    </w:p>
    <w:p>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u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u w:val="none"/>
          <w14:textFill>
            <w14:solidFill>
              <w14:schemeClr w14:val="tx1"/>
            </w14:solidFill>
          </w14:textFill>
        </w:rPr>
        <w:t>（四）咨询电话</w:t>
      </w:r>
    </w:p>
    <w:p>
      <w:pPr>
        <w:bidi w:val="0"/>
        <w:spacing w:line="560" w:lineRule="exact"/>
        <w:rPr>
          <w:rFonts w:hint="eastAsia" w:ascii="仿宋_GB2312" w:hAnsi="仿宋_GB2312" w:eastAsia="仿宋_GB2312" w:cs="仿宋_GB2312"/>
          <w:color w:val="000000" w:themeColor="text1"/>
          <w:sz w:val="32"/>
          <w:szCs w:val="32"/>
          <w:highlight w:val="none"/>
          <w:u w:val="none"/>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0755-28333810</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0" w:name="_Toc1376"/>
      <w:bookmarkStart w:id="21" w:name="_Toc9722"/>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九、申请决定机关</w:t>
      </w:r>
      <w:bookmarkEnd w:id="20"/>
      <w:bookmarkEnd w:id="21"/>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bookmarkStart w:id="22" w:name="_Toc2137"/>
      <w:bookmarkStart w:id="23" w:name="_Toc10305"/>
      <w:bookmarkStart w:id="24" w:name="_Toc125127183"/>
      <w:bookmarkStart w:id="25" w:name="_Toc161850809"/>
      <w:r>
        <w:rPr>
          <w:rFonts w:hint="eastAsia" w:hAnsi="宋体" w:cs="宋体"/>
          <w:color w:val="000000" w:themeColor="text1"/>
          <w:kern w:val="0"/>
          <w:sz w:val="32"/>
          <w:szCs w:val="32"/>
          <w:highlight w:val="none"/>
          <w:lang w:val="en-US" w:eastAsia="zh-CN"/>
          <w14:textFill>
            <w14:solidFill>
              <w14:schemeClr w14:val="tx1"/>
            </w14:solidFill>
          </w14:textFill>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6" w:name="_Toc16198"/>
      <w:bookmarkStart w:id="27" w:name="_Toc11274"/>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26"/>
      <w:bookmarkEnd w:id="27"/>
    </w:p>
    <w:p>
      <w:pPr>
        <w:bidi w:val="0"/>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8" w:name="_Toc3693"/>
      <w:bookmarkStart w:id="29" w:name="_Toc28790"/>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8"/>
      <w:bookmarkEnd w:id="29"/>
    </w:p>
    <w:p>
      <w:pPr>
        <w:bidi w:val="0"/>
        <w:rPr>
          <w:rFonts w:hint="default" w:eastAsia="仿宋_GB2312"/>
          <w:color w:val="auto"/>
          <w:highlight w:val="none"/>
          <w:lang w:val="en-US" w:eastAsia="zh-CN"/>
        </w:rPr>
      </w:pPr>
      <w:r>
        <w:rPr>
          <w:rFonts w:hint="eastAsia"/>
          <w:color w:val="auto"/>
          <w:highlight w:val="none"/>
          <w:lang w:val="en-US" w:eastAsia="zh-CN"/>
        </w:rPr>
        <w:t>180个工作日，不含特别程序。</w:t>
      </w:r>
    </w:p>
    <w:p>
      <w:pPr>
        <w:keepNext w:val="0"/>
        <w:keepLines w:val="0"/>
        <w:widowControl/>
        <w:bidi w:val="0"/>
        <w:spacing w:before="0" w:beforeLines="-2147483648" w:beforeAutospacing="0" w:after="0" w:afterLines="-2147483648" w:afterAutospacing="0" w:line="240" w:lineRule="auto"/>
        <w:ind w:firstLine="640" w:firstLineChars="200"/>
        <w:jc w:val="left"/>
        <w:outlineLvl w:val="9"/>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30" w:name="_Toc32254"/>
      <w:bookmarkStart w:id="31" w:name="_Toc29872"/>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30"/>
      <w:bookmarkEnd w:id="31"/>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17239"/>
      <w:bookmarkStart w:id="33" w:name="_Toc19920"/>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32"/>
      <w:bookmarkEnd w:id="33"/>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4" w:name="_Toc6842"/>
      <w:bookmarkStart w:id="35" w:name="_Toc750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4"/>
      <w:bookmarkEnd w:id="35"/>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6" w:name="_Toc30475"/>
      <w:bookmarkStart w:id="37" w:name="_Toc3014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6"/>
      <w:bookmarkEnd w:id="37"/>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8" w:name="_Toc28762"/>
      <w:bookmarkStart w:id="39" w:name="_Toc20677"/>
    </w:p>
    <w:p>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8"/>
      <w:bookmarkEnd w:id="39"/>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r>
        <w:rPr>
          <w:rFonts w:hint="eastAsia"/>
          <w:color w:val="000000"/>
          <w:highlight w:val="none"/>
          <w:lang w:val="en-US" w:eastAsia="zh-CN"/>
        </w:rPr>
        <w:t>申报指南未尽事宜或特殊情形，以发布机构负责解释为准。</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val="en-US" w:eastAsia="zh-CN"/>
          <w14:textFill>
            <w14:solidFill>
              <w14:schemeClr w14:val="tx1"/>
            </w14:solidFill>
          </w14:textFill>
        </w:rPr>
        <w:t>。（</w:t>
      </w:r>
      <w:r>
        <w:rPr>
          <w:rFonts w:hint="eastAsia" w:ascii="仿宋_GB2312" w:hAnsi="仿宋_GB2312" w:eastAsia="仿宋_GB2312" w:cs="仿宋"/>
          <w:i w:val="0"/>
          <w:iCs w:val="0"/>
          <w:caps w:val="0"/>
          <w:color w:val="000000" w:themeColor="text1"/>
          <w:spacing w:val="0"/>
          <w:kern w:val="2"/>
          <w:sz w:val="32"/>
          <w:szCs w:val="22"/>
          <w:highlight w:val="none"/>
          <w:shd w:val="clear" w:fill="auto"/>
          <w:lang w:val="en-US" w:eastAsia="zh-CN" w:bidi="ar"/>
          <w14:textFill>
            <w14:solidFill>
              <w14:schemeClr w14:val="tx1"/>
            </w14:solidFill>
          </w14:textFill>
        </w:rPr>
        <w:t>0755-88159722</w:t>
      </w:r>
      <w:r>
        <w:rPr>
          <w:rFonts w:hint="eastAsia"/>
          <w:color w:val="000000" w:themeColor="text1"/>
          <w:highlight w:val="none"/>
          <w:lang w:val="en-US" w:eastAsia="zh-CN"/>
          <w14:textFill>
            <w14:solidFill>
              <w14:schemeClr w14:val="tx1"/>
            </w14:solidFill>
          </w14:textFill>
        </w:rPr>
        <w:t>）</w:t>
      </w:r>
    </w:p>
    <w:p>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pPr>
        <w:bidi w:val="0"/>
        <w:rPr>
          <w:rFonts w:hint="eastAsia"/>
          <w:color w:val="000000" w:themeColor="text1"/>
          <w:highlight w:val="none"/>
          <w14:textFill>
            <w14:solidFill>
              <w14:schemeClr w14:val="tx1"/>
            </w14:solidFill>
          </w14:textFill>
        </w:rPr>
      </w:pP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附录：名词解释</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color w:val="000000" w:themeColor="text1"/>
          <w:highlight w:val="none"/>
          <w14:textFill>
            <w14:solidFill>
              <w14:schemeClr w14:val="tx1"/>
            </w14:solidFill>
          </w14:textFill>
        </w:rPr>
      </w:pPr>
      <w:r>
        <w:rPr>
          <w:rFonts w:hint="eastAsia" w:ascii="黑体" w:hAnsi="黑体" w:eastAsia="黑体" w:cs="黑体"/>
          <w:color w:val="000000" w:themeColor="text1"/>
          <w:highlight w:val="none"/>
          <w:lang w:eastAsia="zh-CN"/>
          <w14:textFill>
            <w14:solidFill>
              <w14:schemeClr w14:val="tx1"/>
            </w14:solidFill>
          </w14:textFill>
        </w:rPr>
        <w:t>附录</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lang w:val="en-US" w:eastAsia="zh-CN"/>
        </w:rPr>
        <w:t>单体店铺：</w:t>
      </w:r>
      <w:r>
        <w:rPr>
          <w:rFonts w:hint="eastAsia" w:ascii="仿宋_GB2312" w:hAnsi="仿宋_GB2312" w:eastAsia="仿宋_GB2312" w:cs="仿宋_GB2312"/>
          <w:color w:val="auto"/>
          <w:sz w:val="32"/>
          <w:szCs w:val="32"/>
          <w:highlight w:val="none"/>
          <w:lang w:val="en-US" w:eastAsia="zh-CN"/>
        </w:rPr>
        <w:t>指具有独立经营空间、明确物理边界、可单独核算与运营的单个店铺，不包含商业综合体、商铺集群及多店合并形成的经营区域。</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三</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bidi w:val="0"/>
        <w:rPr>
          <w:rFonts w:hint="eastAsia"/>
          <w:color w:val="000000" w:themeColor="text1"/>
          <w:highlight w:val="none"/>
          <w14:textFill>
            <w14:solidFill>
              <w14:schemeClr w14:val="tx1"/>
            </w14:solidFill>
          </w14:textFill>
        </w:rPr>
      </w:pPr>
    </w:p>
    <w:bookmarkEnd w:id="22"/>
    <w:bookmarkEnd w:id="23"/>
    <w:bookmarkEnd w:id="24"/>
    <w:bookmarkEnd w:id="25"/>
    <w:p>
      <w:pPr>
        <w:pStyle w:val="17"/>
        <w:rPr>
          <w:rFonts w:ascii="仿宋_GB2312" w:hAnsi="仿宋_GB2312"/>
          <w:color w:val="000000" w:themeColor="text1"/>
          <w:highlight w:val="none"/>
          <w14:textFill>
            <w14:solidFill>
              <w14:schemeClr w14:val="tx1"/>
            </w14:solidFill>
          </w14:textFill>
        </w:rPr>
      </w:pPr>
    </w:p>
    <w:sectPr>
      <w:footerReference r:id="rId5" w:type="default"/>
      <w:pgSz w:w="11906" w:h="16838"/>
      <w:pgMar w:top="2098" w:right="1474" w:bottom="1984" w:left="158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swiss"/>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596F0D"/>
    <w:rsid w:val="02803A46"/>
    <w:rsid w:val="02CB1CF7"/>
    <w:rsid w:val="02DA63DE"/>
    <w:rsid w:val="02E93786"/>
    <w:rsid w:val="032558AB"/>
    <w:rsid w:val="032C6A46"/>
    <w:rsid w:val="04FC43AD"/>
    <w:rsid w:val="06173D21"/>
    <w:rsid w:val="070F7027"/>
    <w:rsid w:val="08461CA3"/>
    <w:rsid w:val="096C3E20"/>
    <w:rsid w:val="09F4308E"/>
    <w:rsid w:val="0A2D6324"/>
    <w:rsid w:val="0A6C5760"/>
    <w:rsid w:val="0B35692F"/>
    <w:rsid w:val="0B3D033F"/>
    <w:rsid w:val="0B4456D1"/>
    <w:rsid w:val="0BAD1FAB"/>
    <w:rsid w:val="0BE1742C"/>
    <w:rsid w:val="0C6D7BF8"/>
    <w:rsid w:val="0D1F0CED"/>
    <w:rsid w:val="0DB72BB4"/>
    <w:rsid w:val="0DD759F4"/>
    <w:rsid w:val="0F95719B"/>
    <w:rsid w:val="0FE131A1"/>
    <w:rsid w:val="10BF0BFF"/>
    <w:rsid w:val="11A73770"/>
    <w:rsid w:val="11BF2EFC"/>
    <w:rsid w:val="11F1104F"/>
    <w:rsid w:val="124226AB"/>
    <w:rsid w:val="126D73E5"/>
    <w:rsid w:val="13A40095"/>
    <w:rsid w:val="14053C83"/>
    <w:rsid w:val="15C958A9"/>
    <w:rsid w:val="163D2AB4"/>
    <w:rsid w:val="172A2DF8"/>
    <w:rsid w:val="17B005EC"/>
    <w:rsid w:val="185533C0"/>
    <w:rsid w:val="187E0EC3"/>
    <w:rsid w:val="18AB1F57"/>
    <w:rsid w:val="190653E0"/>
    <w:rsid w:val="197B53D3"/>
    <w:rsid w:val="19DB7B54"/>
    <w:rsid w:val="1C210334"/>
    <w:rsid w:val="1C964CCC"/>
    <w:rsid w:val="1CFC17D2"/>
    <w:rsid w:val="1D7FC143"/>
    <w:rsid w:val="1F1F51E6"/>
    <w:rsid w:val="1FF83836"/>
    <w:rsid w:val="205A510F"/>
    <w:rsid w:val="21127D99"/>
    <w:rsid w:val="22C22819"/>
    <w:rsid w:val="241E0552"/>
    <w:rsid w:val="246A3FA3"/>
    <w:rsid w:val="26E72CF4"/>
    <w:rsid w:val="294B23CF"/>
    <w:rsid w:val="2976170C"/>
    <w:rsid w:val="2A104310"/>
    <w:rsid w:val="2A4B3E74"/>
    <w:rsid w:val="2BA068F1"/>
    <w:rsid w:val="2C2A1457"/>
    <w:rsid w:val="2CAE0A32"/>
    <w:rsid w:val="2FEF4348"/>
    <w:rsid w:val="2FFC0AFB"/>
    <w:rsid w:val="302C0287"/>
    <w:rsid w:val="31A95387"/>
    <w:rsid w:val="31B31F93"/>
    <w:rsid w:val="321653A8"/>
    <w:rsid w:val="321759BB"/>
    <w:rsid w:val="329C19A3"/>
    <w:rsid w:val="32F52701"/>
    <w:rsid w:val="341A4C22"/>
    <w:rsid w:val="347B2CCE"/>
    <w:rsid w:val="352B3694"/>
    <w:rsid w:val="363C0287"/>
    <w:rsid w:val="3654545B"/>
    <w:rsid w:val="36565190"/>
    <w:rsid w:val="366C2500"/>
    <w:rsid w:val="369A281B"/>
    <w:rsid w:val="382C7B34"/>
    <w:rsid w:val="387303F9"/>
    <w:rsid w:val="39BDE09B"/>
    <w:rsid w:val="3B0E3D0E"/>
    <w:rsid w:val="3B8C72EB"/>
    <w:rsid w:val="3BFC17F2"/>
    <w:rsid w:val="3CA43A73"/>
    <w:rsid w:val="3CFD6976"/>
    <w:rsid w:val="3D5D42F6"/>
    <w:rsid w:val="3DB808BA"/>
    <w:rsid w:val="3E465CA3"/>
    <w:rsid w:val="3FEF52EF"/>
    <w:rsid w:val="407A2ECB"/>
    <w:rsid w:val="418D6C3A"/>
    <w:rsid w:val="41E50163"/>
    <w:rsid w:val="423806ED"/>
    <w:rsid w:val="428230B1"/>
    <w:rsid w:val="42B10DBA"/>
    <w:rsid w:val="4311773F"/>
    <w:rsid w:val="431A16C9"/>
    <w:rsid w:val="437A5877"/>
    <w:rsid w:val="43BB3CEC"/>
    <w:rsid w:val="44A91A1A"/>
    <w:rsid w:val="44D052C5"/>
    <w:rsid w:val="46AE1F3D"/>
    <w:rsid w:val="473C23B2"/>
    <w:rsid w:val="47781E40"/>
    <w:rsid w:val="48541414"/>
    <w:rsid w:val="4900762E"/>
    <w:rsid w:val="49692B40"/>
    <w:rsid w:val="4A6B0082"/>
    <w:rsid w:val="4AB56AE2"/>
    <w:rsid w:val="4B6E7935"/>
    <w:rsid w:val="4BCF62A6"/>
    <w:rsid w:val="4CB91CF2"/>
    <w:rsid w:val="4E423A35"/>
    <w:rsid w:val="4E7E74BD"/>
    <w:rsid w:val="4F98BDA8"/>
    <w:rsid w:val="4FC2745B"/>
    <w:rsid w:val="509A0D5C"/>
    <w:rsid w:val="52252BFC"/>
    <w:rsid w:val="53645795"/>
    <w:rsid w:val="53ED1DDF"/>
    <w:rsid w:val="54E753F5"/>
    <w:rsid w:val="563F7F48"/>
    <w:rsid w:val="5779221D"/>
    <w:rsid w:val="589B5008"/>
    <w:rsid w:val="58A326D8"/>
    <w:rsid w:val="59466376"/>
    <w:rsid w:val="5A9E6E08"/>
    <w:rsid w:val="5BF51433"/>
    <w:rsid w:val="5C46774B"/>
    <w:rsid w:val="5E2F7920"/>
    <w:rsid w:val="5FFF8D5C"/>
    <w:rsid w:val="623151CA"/>
    <w:rsid w:val="64A22FFB"/>
    <w:rsid w:val="64DB7056"/>
    <w:rsid w:val="64FEF02B"/>
    <w:rsid w:val="66982F4F"/>
    <w:rsid w:val="6888651F"/>
    <w:rsid w:val="6894168D"/>
    <w:rsid w:val="69B52798"/>
    <w:rsid w:val="6A7451AD"/>
    <w:rsid w:val="6AC14C27"/>
    <w:rsid w:val="6BC41409"/>
    <w:rsid w:val="6C030E4B"/>
    <w:rsid w:val="6C5C62E3"/>
    <w:rsid w:val="6CAB30BC"/>
    <w:rsid w:val="6CED0F48"/>
    <w:rsid w:val="6CED51AD"/>
    <w:rsid w:val="6F0002D1"/>
    <w:rsid w:val="6FBE5F4A"/>
    <w:rsid w:val="6FCC3E6E"/>
    <w:rsid w:val="6FEFB7EB"/>
    <w:rsid w:val="71D6011D"/>
    <w:rsid w:val="72694444"/>
    <w:rsid w:val="73470D86"/>
    <w:rsid w:val="73A0155B"/>
    <w:rsid w:val="73AF7735"/>
    <w:rsid w:val="73BBB3EE"/>
    <w:rsid w:val="74F90479"/>
    <w:rsid w:val="75405A96"/>
    <w:rsid w:val="756D75BF"/>
    <w:rsid w:val="75FD860F"/>
    <w:rsid w:val="7625601A"/>
    <w:rsid w:val="77BF249E"/>
    <w:rsid w:val="78CB5794"/>
    <w:rsid w:val="78D33F7B"/>
    <w:rsid w:val="7973208E"/>
    <w:rsid w:val="7A613437"/>
    <w:rsid w:val="7C1A6A34"/>
    <w:rsid w:val="7CBE4AD3"/>
    <w:rsid w:val="7D1C7CE5"/>
    <w:rsid w:val="7DEA80E7"/>
    <w:rsid w:val="7E55D543"/>
    <w:rsid w:val="7EAF82F1"/>
    <w:rsid w:val="7EF737A1"/>
    <w:rsid w:val="7F363046"/>
    <w:rsid w:val="7F7D640C"/>
    <w:rsid w:val="7FF6C4AF"/>
    <w:rsid w:val="8EFFBC18"/>
    <w:rsid w:val="923F456F"/>
    <w:rsid w:val="9FBE2D98"/>
    <w:rsid w:val="BBEEE557"/>
    <w:rsid w:val="BBF67452"/>
    <w:rsid w:val="BFB1E59F"/>
    <w:rsid w:val="BFFB0999"/>
    <w:rsid w:val="CAFD38F4"/>
    <w:rsid w:val="DAFDC70A"/>
    <w:rsid w:val="DB2E415F"/>
    <w:rsid w:val="DB2F7D73"/>
    <w:rsid w:val="DCEDF0A6"/>
    <w:rsid w:val="DE4F4ECD"/>
    <w:rsid w:val="DFBFA96B"/>
    <w:rsid w:val="DFDF681D"/>
    <w:rsid w:val="EDBF5009"/>
    <w:rsid w:val="EEF3C802"/>
    <w:rsid w:val="EFFFF1FE"/>
    <w:rsid w:val="F6DCE9CB"/>
    <w:rsid w:val="F98F69B3"/>
    <w:rsid w:val="FBFE63F7"/>
    <w:rsid w:val="FDFD5E31"/>
    <w:rsid w:val="FEBFC558"/>
    <w:rsid w:val="FEF52A05"/>
    <w:rsid w:val="FF537A09"/>
    <w:rsid w:val="FF7FB831"/>
    <w:rsid w:val="FF9D7F84"/>
    <w:rsid w:val="FFCF903D"/>
    <w:rsid w:val="FFFFC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5209</Words>
  <Characters>5370</Characters>
  <Lines>0</Lines>
  <Paragraphs>0</Paragraphs>
  <TotalTime>3</TotalTime>
  <ScaleCrop>false</ScaleCrop>
  <LinksUpToDate>false</LinksUpToDate>
  <CharactersWithSpaces>5381</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2025-07-10T18:47:00Z</dcterms:created>
  <dc:creator>黄佩琳</dc:creator>
  <cp:lastModifiedBy>黎恩</cp:lastModifiedBy>
  <cp:lastPrinted>2026-03-20T22:46:00Z</cp:lastPrinted>
  <dcterms:modified xsi:type="dcterms:W3CDTF">2026-06-26T09:26:30Z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1EB21C241E674BDB8B6E20A5ECAD8256_13</vt:lpwstr>
  </property>
  <property fmtid="{D5CDD505-2E9C-101B-9397-08002B2CF9AE}" pid="4" name="KSOTemplateDocerSaveRecord">
    <vt:lpwstr>eyJoZGlkIjoiY2NiNzc0ZWE4MzBjY2JmMGYyMmY4NjkxNmNhZGJlNDUiLCJ1c2VySWQiOiI4NzUyMjIyNTQifQ==</vt:lpwstr>
  </property>
</Properties>
</file>