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000000" w:themeColor="text1"/>
          <w:sz w:val="32"/>
          <w:szCs w:val="32"/>
          <w:highlight w:val="none"/>
          <w:lang w:val="en-US" w:eastAsia="zh-CN"/>
          <w14:textFill>
            <w14:solidFill>
              <w14:schemeClr w14:val="tx1"/>
            </w14:solidFill>
          </w14:textFill>
        </w:rPr>
      </w:pPr>
      <w:bookmarkStart w:id="0" w:name="_Toc5810"/>
      <w:bookmarkStart w:id="1" w:name="_Toc125127182"/>
      <w:bookmarkStart w:id="2" w:name="_Toc32562"/>
      <w:bookmarkStart w:id="3" w:name="_Toc13216"/>
      <w:r>
        <w:rPr>
          <w:rFonts w:hint="eastAsia" w:ascii="黑体" w:hAnsi="黑体" w:eastAsia="黑体" w:cs="黑体"/>
          <w:color w:val="000000" w:themeColor="text1"/>
          <w:sz w:val="32"/>
          <w:szCs w:val="32"/>
          <w:highlight w:val="none"/>
          <w:lang w:val="en-US" w:eastAsia="zh-CN"/>
          <w14:textFill>
            <w14:solidFill>
              <w14:schemeClr w14:val="tx1"/>
            </w14:solidFill>
          </w14:textFill>
        </w:rPr>
        <w:t>附件</w:t>
      </w:r>
      <w:r>
        <w:rPr>
          <w:rFonts w:hint="default" w:ascii="黑体" w:hAnsi="黑体" w:eastAsia="黑体" w:cs="黑体"/>
          <w:color w:val="000000" w:themeColor="text1"/>
          <w:sz w:val="32"/>
          <w:szCs w:val="32"/>
          <w:highlight w:val="none"/>
          <w:lang w:val="en-US" w:eastAsia="zh-CN"/>
          <w14:textFill>
            <w14:solidFill>
              <w14:schemeClr w14:val="tx1"/>
            </w14:solidFill>
          </w14:textFill>
        </w:rPr>
        <w:t>2</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000000" w:themeColor="text1"/>
          <w:sz w:val="32"/>
          <w:szCs w:val="32"/>
          <w:highlight w:val="none"/>
          <w:lang w:val="en-US" w:eastAsia="zh-CN"/>
          <w14:textFill>
            <w14:solidFill>
              <w14:schemeClr w14:val="tx1"/>
            </w14:solidFill>
          </w14:textFill>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深圳市2026年中央资金消费新业态新模式新场景试点（支持健全首发经济体系—大型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展会开设首发专区、专场资助项目）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pPr>
      <w:r>
        <w:rPr>
          <w:rFonts w:hint="eastAsia" w:ascii="方正小标宋简体" w:hAnsi="Times New Roman" w:eastAsia="方正小标宋简体" w:cs="Times New Roman"/>
          <w:color w:val="000000" w:themeColor="text1"/>
          <w:kern w:val="2"/>
          <w:sz w:val="44"/>
          <w:szCs w:val="44"/>
          <w:highlight w:val="none"/>
          <w:lang w:val="en-US" w:eastAsia="zh-CN" w:bidi="ar-SA"/>
          <w14:textFill>
            <w14:solidFill>
              <w14:schemeClr w14:val="tx1"/>
            </w14:solidFill>
          </w14:textFill>
        </w:rPr>
        <w:t>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000000" w:themeColor="text1"/>
          <w:kern w:val="2"/>
          <w:sz w:val="36"/>
          <w:szCs w:val="36"/>
          <w:highlight w:val="none"/>
          <w:lang w:val="en-US" w:eastAsia="zh-CN" w:bidi="ar-SA"/>
          <w14:textFill>
            <w14:solidFill>
              <w14:schemeClr w14:val="tx1"/>
            </w14:solidFill>
          </w14:textFill>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pPr>
      <w:bookmarkStart w:id="4" w:name="_Toc20798"/>
      <w:bookmarkStart w:id="5" w:name="_Toc24194"/>
      <w:r>
        <w:rPr>
          <w:rFonts w:hint="eastAsia" w:ascii="仿宋_GB2312" w:hAnsi="仿宋_GB2312" w:eastAsia="黑体" w:cs="Times New Roman"/>
          <w:b w:val="0"/>
          <w:bCs/>
          <w:color w:val="000000" w:themeColor="text1"/>
          <w:kern w:val="36"/>
          <w:sz w:val="32"/>
          <w:szCs w:val="48"/>
          <w:highlight w:val="none"/>
          <w:lang w:val="en-GB" w:eastAsia="zh-CN" w:bidi="ar-SA"/>
          <w14:textFill>
            <w14:solidFill>
              <w14:schemeClr w14:val="tx1"/>
            </w14:solidFill>
          </w14:textFill>
        </w:rPr>
        <w:t>支持领域</w:t>
      </w:r>
      <w:bookmarkEnd w:id="4"/>
      <w:bookmarkEnd w:id="5"/>
    </w:p>
    <w:p>
      <w:pPr>
        <w:bidi w:val="0"/>
        <w:spacing w:before="0" w:after="0" w:line="560" w:lineRule="exact"/>
        <w:ind w:firstLine="640"/>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支持专业展馆打造有影响力和带动性的新品发布平台载体，支持大型展会开设首发专区、专场，支持具有创新性、引领性的产品和服务举办首发首秀活动，集中展示新产品新服务新技术。</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6" w:name="_Toc15437"/>
      <w:bookmarkStart w:id="7" w:name="_Toc8852"/>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pPr>
      <w:r>
        <w:rPr>
          <w:rFonts w:hint="eastAsia" w:cs="Times New Roman"/>
          <w:color w:val="000000" w:themeColor="text1"/>
          <w:sz w:val="32"/>
          <w:szCs w:val="32"/>
          <w:highlight w:val="none"/>
          <w:lang w:eastAsia="zh-CN"/>
          <w14:textFill>
            <w14:solidFill>
              <w14:schemeClr w14:val="tx1"/>
            </w14:solidFill>
          </w14:textFill>
        </w:rPr>
        <w:t>《财政部 商务部关于开展消费新业态新模式新场景试点工作的通知》（</w:t>
      </w:r>
      <w:r>
        <w:rPr>
          <w:rFonts w:hint="eastAsia" w:cs="Times New Roman"/>
          <w:color w:val="000000" w:themeColor="text1"/>
          <w:sz w:val="32"/>
          <w:szCs w:val="32"/>
          <w:highlight w:val="none"/>
          <w:lang w:val="en-US" w:eastAsia="zh-CN"/>
          <w14:textFill>
            <w14:solidFill>
              <w14:schemeClr w14:val="tx1"/>
            </w14:solidFill>
          </w14:textFill>
        </w:rPr>
        <w:t>财建〔2025〕341号</w:t>
      </w:r>
      <w:r>
        <w:rPr>
          <w:rFonts w:hint="eastAsia"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（二）资金管理依据</w:t>
      </w:r>
    </w:p>
    <w:p>
      <w:pPr>
        <w:bidi w:val="0"/>
        <w:spacing w:line="560" w:lineRule="exact"/>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highlight w:val="none"/>
          <w:lang w:val="en-US" w:eastAsia="zh-CN"/>
          <w14:textFill>
            <w14:solidFill>
              <w14:schemeClr w14:val="tx1"/>
            </w14:solidFill>
          </w14:textFill>
        </w:rPr>
        <w:t>《深圳市消费新业态新模式新场景试点城市建设资金管理办法》</w:t>
      </w:r>
    </w:p>
    <w:p>
      <w:pPr>
        <w:bidi w:val="0"/>
        <w:spacing w:line="560" w:lineRule="exact"/>
        <w:rPr>
          <w:rFonts w:hint="eastAsia"/>
          <w:color w:val="000000" w:themeColor="text1"/>
          <w:highlight w:val="none"/>
          <w:u w:val="singl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8" w:name="_Toc18411"/>
      <w:bookmarkStart w:id="9" w:name="_Toc2175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（一）支持数量</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有数量限制，受财政下达年度资金预算控制，视申报情况，我局据以对</w:t>
      </w:r>
      <w:r>
        <w:rPr>
          <w:rFonts w:hint="eastAsia"/>
          <w:color w:val="000000" w:themeColor="text1"/>
          <w:highlight w:val="none"/>
          <w:lang w:val="en-US" w:eastAsia="zh-CN"/>
          <w14:textFill>
            <w14:solidFill>
              <w14:schemeClr w14:val="tx1"/>
            </w14:solidFill>
          </w14:textFill>
        </w:rPr>
        <w:t>补贴</w:t>
      </w:r>
      <w:r>
        <w:rPr>
          <w:rFonts w:hint="eastAsia" w:ascii="仿宋_GB2312" w:eastAsia="仿宋_GB2312"/>
          <w:color w:val="000000" w:themeColor="text1"/>
          <w:highlight w:val="none"/>
          <w:lang w:val="en-US" w:eastAsia="zh-CN"/>
          <w14:textFill>
            <w14:solidFill>
              <w14:schemeClr w14:val="tx1"/>
            </w14:solidFill>
          </w14:textFill>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（二）支持方式</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0" w:name="_Toc431"/>
      <w:bookmarkStart w:id="11" w:name="_Toc15307"/>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3.申报单位未被国家、省、市有关部门列入严重失信主体名单实施失信惩戒，未被明确限制申请财政性资金项目且在限制期内；未拖欠应缴还的财政性资金。</w:t>
      </w:r>
    </w:p>
    <w:p>
      <w:pPr>
        <w:bidi w:val="0"/>
        <w:spacing w:line="560" w:lineRule="exact"/>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.申报单位应保证资金真实申报、合规使用和有效管理；应对申报材料的真实性、合法性、完整性负责，应如实提供本单位信用状况，承担违约责任并作出承诺，不得弄虚作假、套取、骗取财政资金。</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6.申报单位不存在将本属于同一性质内涵与建设内容的资助项目刻意分拆成两个项目的情形。同一项目不得重复申请多个支持</w:t>
      </w:r>
      <w:r>
        <w:rPr>
          <w:rFonts w:hint="default"/>
          <w:color w:val="000000" w:themeColor="text1"/>
          <w:highlight w:val="none"/>
          <w:lang w:eastAsia="zh-CN"/>
          <w14:textFill>
            <w14:solidFill>
              <w14:schemeClr w14:val="tx1"/>
            </w14:solidFill>
          </w14:textFill>
        </w:rPr>
        <w:t>内容</w:t>
      </w:r>
      <w:r>
        <w:rPr>
          <w:rFonts w:hint="eastAsia"/>
          <w:color w:val="000000" w:themeColor="text1"/>
          <w:highlight w:val="none"/>
          <w:lang w:val="en-US" w:eastAsia="zh-CN"/>
          <w14:textFill>
            <w14:solidFill>
              <w14:schemeClr w14:val="tx1"/>
            </w14:solidFill>
          </w14:textFill>
        </w:rPr>
        <w:t>。</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7.申报单位须配合开展消费新业态新模式新场景试点工作，报送工作进展及相关数据。</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8.项目资助金额不得超过项目实际有效总投入的50%，同一项目中央、省、市、区资助合计不超过项目实际投入。</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（二）专项条件</w:t>
      </w:r>
    </w:p>
    <w:p>
      <w:pPr>
        <w:bidi w:val="0"/>
        <w:spacing w:line="560" w:lineRule="exact"/>
        <w:rPr>
          <w:rFonts w:hint="eastAsia"/>
          <w:highlight w:val="none"/>
          <w:lang w:val="en-US" w:eastAsia="zh-CN"/>
        </w:rPr>
      </w:pPr>
      <w:r>
        <w:rPr>
          <w:rFonts w:hint="eastAsia" w:ascii="仿宋_GB2312" w:eastAsia="仿宋_GB2312" w:cs="Times New Roman"/>
          <w:kern w:val="2"/>
          <w:sz w:val="32"/>
          <w:szCs w:val="32"/>
          <w:highlight w:val="none"/>
          <w:lang w:val="en-US" w:eastAsia="zh-CN" w:bidi="ar"/>
        </w:rPr>
        <w:t>申请</w:t>
      </w:r>
      <w:r>
        <w:rPr>
          <w:rFonts w:hint="eastAsia" w:ascii="仿宋_GB2312" w:hAnsi="Calibri" w:eastAsia="仿宋_GB2312" w:cs="Times New Roman"/>
          <w:kern w:val="2"/>
          <w:sz w:val="32"/>
          <w:szCs w:val="32"/>
          <w:highlight w:val="none"/>
          <w:lang w:val="en-US" w:eastAsia="zh-CN" w:bidi="ar"/>
        </w:rPr>
        <w:t>单位应为展会主办单位</w:t>
      </w:r>
      <w:r>
        <w:rPr>
          <w:rFonts w:hint="eastAsia" w:hAnsi="Calibri" w:cs="Times New Roman"/>
          <w:kern w:val="2"/>
          <w:sz w:val="32"/>
          <w:szCs w:val="32"/>
          <w:highlight w:val="none"/>
          <w:lang w:val="en-US" w:eastAsia="zh-CN" w:bidi="ar"/>
        </w:rPr>
        <w:t>，</w:t>
      </w:r>
      <w:r>
        <w:rPr>
          <w:rFonts w:hint="eastAsia" w:ascii="仿宋_GB2312" w:hAnsi="Calibri" w:eastAsia="仿宋_GB2312" w:cs="Times New Roman"/>
          <w:kern w:val="2"/>
          <w:sz w:val="32"/>
          <w:szCs w:val="32"/>
          <w:highlight w:val="none"/>
          <w:lang w:val="en-US" w:eastAsia="zh-CN" w:bidi="ar"/>
        </w:rPr>
        <w:t>有多个主办单位的，</w:t>
      </w:r>
      <w:r>
        <w:rPr>
          <w:rFonts w:hint="eastAsia" w:ascii="仿宋_GB2312" w:eastAsia="仿宋_GB2312" w:cs="Times New Roman"/>
          <w:kern w:val="2"/>
          <w:sz w:val="32"/>
          <w:szCs w:val="32"/>
          <w:highlight w:val="none"/>
          <w:lang w:val="en-US" w:eastAsia="zh-CN" w:bidi="ar"/>
        </w:rPr>
        <w:t>应</w:t>
      </w:r>
      <w:r>
        <w:rPr>
          <w:rFonts w:hint="eastAsia" w:ascii="仿宋_GB2312" w:hAnsi="Calibri" w:eastAsia="仿宋_GB2312" w:cs="Times New Roman"/>
          <w:kern w:val="2"/>
          <w:sz w:val="32"/>
          <w:szCs w:val="32"/>
          <w:highlight w:val="none"/>
          <w:lang w:val="en-US" w:eastAsia="zh-CN" w:bidi="ar"/>
        </w:rPr>
        <w:t>由各主办单位协商一致委托其中一家单位提出申请，并出具委托协议。</w:t>
      </w:r>
      <w:r>
        <w:rPr>
          <w:rFonts w:hint="eastAsia"/>
          <w:highlight w:val="none"/>
          <w:lang w:val="en-US" w:eastAsia="zh-CN"/>
        </w:rPr>
        <w:t>申报项目应符合以下类型之一：</w:t>
      </w:r>
    </w:p>
    <w:p>
      <w:pPr>
        <w:bidi w:val="0"/>
        <w:spacing w:line="560" w:lineRule="exact"/>
        <w:rPr>
          <w:rFonts w:hint="default"/>
          <w:highlight w:val="none"/>
          <w:lang w:val="en-US" w:eastAsia="zh-CN"/>
        </w:rPr>
      </w:pPr>
      <w:r>
        <w:rPr>
          <w:rFonts w:hint="eastAsia"/>
          <w:highlight w:val="none"/>
          <w:lang w:val="en-US" w:eastAsia="zh-CN"/>
        </w:rPr>
        <w:t>1.</w:t>
      </w:r>
      <w:r>
        <w:rPr>
          <w:rFonts w:hint="default"/>
          <w:highlight w:val="none"/>
          <w:lang w:val="en-US" w:eastAsia="zh-CN"/>
        </w:rPr>
        <w:t>支持专业展馆打造新品发布平台载体：</w:t>
      </w:r>
    </w:p>
    <w:p>
      <w:pPr>
        <w:bidi w:val="0"/>
        <w:spacing w:line="560" w:lineRule="exact"/>
        <w:rPr>
          <w:rFonts w:hint="default"/>
          <w:highlight w:val="none"/>
          <w:lang w:val="en-US" w:eastAsia="zh-CN"/>
        </w:rPr>
      </w:pPr>
      <w:r>
        <w:rPr>
          <w:rFonts w:hint="eastAsia"/>
          <w:highlight w:val="none"/>
          <w:lang w:val="en-US" w:eastAsia="zh-CN"/>
        </w:rPr>
        <w:t>（1）承接的</w:t>
      </w:r>
      <w:r>
        <w:rPr>
          <w:rFonts w:hint="default"/>
          <w:highlight w:val="none"/>
          <w:lang w:val="en-US" w:eastAsia="zh-CN"/>
        </w:rPr>
        <w:t>展会或首发活动在深圳市专业展馆内举办</w:t>
      </w:r>
      <w:r>
        <w:rPr>
          <w:rFonts w:hint="eastAsia"/>
          <w:highlight w:val="none"/>
          <w:lang w:val="en-US" w:eastAsia="zh-CN"/>
        </w:rPr>
        <w:t>；</w:t>
      </w:r>
    </w:p>
    <w:p>
      <w:pPr>
        <w:bidi w:val="0"/>
        <w:spacing w:line="560" w:lineRule="exact"/>
        <w:rPr>
          <w:rFonts w:hint="default"/>
          <w:highlight w:val="none"/>
          <w:lang w:val="en-US" w:eastAsia="zh-CN"/>
        </w:rPr>
      </w:pPr>
      <w:r>
        <w:rPr>
          <w:rFonts w:hint="eastAsia"/>
          <w:highlight w:val="none"/>
          <w:lang w:val="en-US" w:eastAsia="zh-CN"/>
        </w:rPr>
        <w:t>（2）承接的</w:t>
      </w:r>
      <w:r>
        <w:rPr>
          <w:rFonts w:hint="default"/>
          <w:highlight w:val="none"/>
          <w:lang w:val="en-US" w:eastAsia="zh-CN"/>
        </w:rPr>
        <w:t>首展应为市内首展；</w:t>
      </w:r>
    </w:p>
    <w:p>
      <w:pPr>
        <w:bidi w:val="0"/>
        <w:spacing w:line="560" w:lineRule="exact"/>
        <w:rPr>
          <w:rFonts w:hint="default"/>
          <w:highlight w:val="none"/>
          <w:lang w:val="en-US" w:eastAsia="zh-CN"/>
        </w:rPr>
      </w:pPr>
      <w:r>
        <w:rPr>
          <w:rFonts w:hint="eastAsia"/>
          <w:highlight w:val="none"/>
          <w:lang w:val="en-US" w:eastAsia="zh-CN"/>
        </w:rPr>
        <w:t>（3）承接的</w:t>
      </w:r>
      <w:r>
        <w:rPr>
          <w:rFonts w:hint="default"/>
          <w:highlight w:val="none"/>
          <w:lang w:val="en-US" w:eastAsia="zh-CN"/>
        </w:rPr>
        <w:t>首发</w:t>
      </w:r>
      <w:r>
        <w:rPr>
          <w:rFonts w:hint="eastAsia"/>
          <w:highlight w:val="none"/>
          <w:lang w:val="en-US" w:eastAsia="zh-CN"/>
        </w:rPr>
        <w:t>首秀</w:t>
      </w:r>
      <w:r>
        <w:rPr>
          <w:rFonts w:hint="default"/>
          <w:highlight w:val="none"/>
          <w:lang w:val="en-US" w:eastAsia="zh-CN"/>
        </w:rPr>
        <w:t>活动应为</w:t>
      </w:r>
      <w:r>
        <w:rPr>
          <w:rFonts w:hint="eastAsia"/>
          <w:highlight w:val="none"/>
          <w:lang w:val="en-US" w:eastAsia="zh-CN"/>
        </w:rPr>
        <w:t>对应品类新产品新服务新技术全国首发首秀活动</w:t>
      </w:r>
      <w:r>
        <w:rPr>
          <w:rFonts w:hint="default"/>
          <w:highlight w:val="none"/>
          <w:lang w:val="en-US" w:eastAsia="zh-CN"/>
        </w:rPr>
        <w:t>。</w:t>
      </w:r>
    </w:p>
    <w:p>
      <w:pPr>
        <w:bidi w:val="0"/>
        <w:spacing w:line="560" w:lineRule="exact"/>
        <w:rPr>
          <w:rFonts w:hint="default"/>
          <w:highlight w:val="none"/>
          <w:lang w:val="en-US" w:eastAsia="zh-CN"/>
        </w:rPr>
      </w:pPr>
      <w:r>
        <w:rPr>
          <w:rFonts w:hint="eastAsia"/>
          <w:highlight w:val="none"/>
          <w:lang w:val="en-US" w:eastAsia="zh-CN"/>
        </w:rPr>
        <w:t>（4）</w:t>
      </w:r>
      <w:r>
        <w:rPr>
          <w:rStyle w:val="19"/>
          <w:rFonts w:hint="eastAsia" w:ascii="仿宋_GB2312" w:hAnsi="仿宋_GB2312" w:eastAsia="仿宋_GB2312" w:cs="仿宋_GB2312"/>
          <w:color w:val="auto"/>
          <w:sz w:val="32"/>
          <w:szCs w:val="32"/>
          <w:highlight w:val="none"/>
          <w:lang w:eastAsia="zh-CN"/>
        </w:rPr>
        <w:t>发布产品</w:t>
      </w:r>
      <w:r>
        <w:rPr>
          <w:rStyle w:val="19"/>
          <w:rFonts w:hint="eastAsia" w:cs="仿宋_GB2312"/>
          <w:color w:val="auto"/>
          <w:sz w:val="32"/>
          <w:szCs w:val="32"/>
          <w:highlight w:val="none"/>
          <w:lang w:eastAsia="zh-CN"/>
        </w:rPr>
        <w:t>需</w:t>
      </w:r>
      <w:r>
        <w:rPr>
          <w:rStyle w:val="19"/>
          <w:rFonts w:hint="eastAsia" w:ascii="仿宋_GB2312" w:hAnsi="仿宋_GB2312" w:eastAsia="仿宋_GB2312" w:cs="仿宋_GB2312"/>
          <w:color w:val="auto"/>
          <w:sz w:val="32"/>
          <w:szCs w:val="32"/>
          <w:highlight w:val="none"/>
          <w:lang w:val="en-US" w:eastAsia="zh-CN"/>
        </w:rPr>
        <w:t>包含品牌方主线产品</w:t>
      </w:r>
      <w:r>
        <w:rPr>
          <w:rStyle w:val="19"/>
          <w:rFonts w:hint="eastAsia" w:cs="仿宋_GB2312"/>
          <w:color w:val="auto"/>
          <w:sz w:val="32"/>
          <w:szCs w:val="32"/>
          <w:highlight w:val="none"/>
          <w:lang w:val="en-US" w:eastAsia="zh-CN"/>
        </w:rPr>
        <w:t>。</w:t>
      </w:r>
    </w:p>
    <w:p>
      <w:pPr>
        <w:bidi w:val="0"/>
        <w:spacing w:line="560" w:lineRule="exact"/>
        <w:rPr>
          <w:rFonts w:hint="default"/>
          <w:highlight w:val="none"/>
          <w:lang w:val="en-US" w:eastAsia="zh-CN"/>
        </w:rPr>
      </w:pPr>
      <w:r>
        <w:rPr>
          <w:rFonts w:hint="eastAsia"/>
          <w:highlight w:val="none"/>
          <w:lang w:val="en-US" w:eastAsia="zh-CN"/>
        </w:rPr>
        <w:t>2.</w:t>
      </w:r>
      <w:r>
        <w:rPr>
          <w:rFonts w:hint="default"/>
          <w:highlight w:val="none"/>
          <w:lang w:val="en-US" w:eastAsia="zh-CN"/>
        </w:rPr>
        <w:t>支持大型展会开设首发专区、专场：</w:t>
      </w:r>
    </w:p>
    <w:p>
      <w:pPr>
        <w:bidi w:val="0"/>
        <w:spacing w:line="560" w:lineRule="exact"/>
        <w:rPr>
          <w:rFonts w:hint="default"/>
          <w:highlight w:val="none"/>
          <w:lang w:val="en-US" w:eastAsia="zh-CN"/>
        </w:rPr>
      </w:pPr>
      <w:r>
        <w:rPr>
          <w:rFonts w:hint="eastAsia"/>
          <w:highlight w:val="none"/>
          <w:lang w:val="en-US" w:eastAsia="zh-CN"/>
        </w:rPr>
        <w:t>（1）</w:t>
      </w:r>
      <w:r>
        <w:rPr>
          <w:rFonts w:hint="default"/>
          <w:highlight w:val="none"/>
          <w:lang w:val="en-US" w:eastAsia="zh-CN"/>
        </w:rPr>
        <w:t>展会</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面向个人消费者开展展示、销售、体验等</w:t>
      </w:r>
      <w:r>
        <w:rPr>
          <w:rFonts w:hint="default"/>
          <w:highlight w:val="none"/>
          <w:lang w:val="en-US" w:eastAsia="zh-CN"/>
        </w:rPr>
        <w:t>，展览面积≥1万㎡</w:t>
      </w:r>
      <w:r>
        <w:rPr>
          <w:rFonts w:hint="eastAsia"/>
          <w:highlight w:val="none"/>
          <w:lang w:val="en-US" w:eastAsia="zh-CN"/>
        </w:rPr>
        <w:t>；</w:t>
      </w:r>
    </w:p>
    <w:p>
      <w:pPr>
        <w:bidi w:val="0"/>
        <w:spacing w:line="560" w:lineRule="exact"/>
        <w:rPr>
          <w:rFonts w:hint="default"/>
          <w:highlight w:val="none"/>
          <w:lang w:val="en-US" w:eastAsia="zh-CN"/>
        </w:rPr>
      </w:pPr>
      <w:r>
        <w:rPr>
          <w:rFonts w:hint="eastAsia"/>
          <w:highlight w:val="none"/>
          <w:lang w:val="en-US" w:eastAsia="zh-CN"/>
        </w:rPr>
        <w:t>（2）</w:t>
      </w:r>
      <w:r>
        <w:rPr>
          <w:rFonts w:hint="default"/>
          <w:highlight w:val="none"/>
          <w:lang w:val="en-US" w:eastAsia="zh-CN"/>
        </w:rPr>
        <w:t>主办方在展会内专门设置首发专区或专场，用于集中展示新产品、新服务、新技术</w:t>
      </w:r>
      <w:r>
        <w:rPr>
          <w:rFonts w:hint="eastAsia"/>
          <w:highlight w:val="none"/>
          <w:lang w:val="en-US" w:eastAsia="zh-CN"/>
        </w:rPr>
        <w:t>；</w:t>
      </w:r>
    </w:p>
    <w:p>
      <w:pPr>
        <w:bidi w:val="0"/>
        <w:spacing w:line="560" w:lineRule="exact"/>
        <w:rPr>
          <w:rFonts w:hint="default"/>
          <w:highlight w:val="none"/>
          <w:lang w:val="en-US" w:eastAsia="zh-CN"/>
        </w:rPr>
      </w:pPr>
      <w:r>
        <w:rPr>
          <w:rFonts w:hint="eastAsia"/>
          <w:highlight w:val="none"/>
          <w:lang w:val="en-US" w:eastAsia="zh-CN"/>
        </w:rPr>
        <w:t>（3）</w:t>
      </w:r>
      <w:r>
        <w:rPr>
          <w:rFonts w:hint="default"/>
          <w:highlight w:val="none"/>
          <w:lang w:val="en-US" w:eastAsia="zh-CN"/>
        </w:rPr>
        <w:t>首发专区、专场已实际</w:t>
      </w:r>
      <w:r>
        <w:rPr>
          <w:rFonts w:hint="eastAsia"/>
          <w:highlight w:val="none"/>
          <w:lang w:val="en-US" w:eastAsia="zh-CN"/>
        </w:rPr>
        <w:t>开展</w:t>
      </w:r>
      <w:r>
        <w:rPr>
          <w:rFonts w:hint="default"/>
          <w:highlight w:val="none"/>
          <w:lang w:val="en-US" w:eastAsia="zh-CN"/>
        </w:rPr>
        <w:t>并完成相关活动。</w:t>
      </w:r>
    </w:p>
    <w:p>
      <w:pPr>
        <w:pStyle w:val="36"/>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Style w:val="19"/>
          <w:rFonts w:hint="eastAsia" w:ascii="仿宋_GB2312" w:hAnsi="仿宋" w:eastAsia="仿宋_GB2312" w:cs="宋体"/>
          <w:bCs/>
          <w:color w:val="auto"/>
          <w:kern w:val="36"/>
          <w:sz w:val="32"/>
          <w:szCs w:val="32"/>
          <w:highlight w:val="none"/>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w:t>
      </w:r>
      <w:r>
        <w:rPr>
          <w:rStyle w:val="19"/>
          <w:rFonts w:hint="eastAsia" w:cs="仿宋_GB2312"/>
          <w:color w:val="auto"/>
          <w:sz w:val="32"/>
          <w:szCs w:val="32"/>
          <w:highlight w:val="none"/>
          <w:lang w:val="en-US" w:eastAsia="zh-CN"/>
        </w:rPr>
        <w:t>需</w:t>
      </w:r>
      <w:r>
        <w:rPr>
          <w:rStyle w:val="19"/>
          <w:rFonts w:hint="eastAsia" w:ascii="仿宋_GB2312" w:hAnsi="仿宋_GB2312" w:cs="仿宋_GB2312"/>
          <w:color w:val="auto"/>
          <w:sz w:val="32"/>
          <w:szCs w:val="32"/>
          <w:highlight w:val="none"/>
          <w:lang w:val="en-US" w:eastAsia="zh-CN"/>
        </w:rPr>
        <w:t>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pPr>
      <w:bookmarkStart w:id="12" w:name="_Toc31102"/>
      <w:bookmarkStart w:id="13" w:name="_Toc7095"/>
      <w:r>
        <w:rPr>
          <w:rFonts w:hint="eastAsia" w:ascii="仿宋_GB2312" w:hAnsi="仿宋_GB2312" w:eastAsia="黑体" w:cs="Times New Roman"/>
          <w:b w:val="0"/>
          <w:bCs/>
          <w:color w:val="000000" w:themeColor="text1"/>
          <w:kern w:val="36"/>
          <w:sz w:val="32"/>
          <w:szCs w:val="48"/>
          <w:highlight w:val="none"/>
          <w:lang w:val="en-US" w:eastAsia="zh-CN" w:bidi="ar-SA"/>
          <w14:textFill>
            <w14:solidFill>
              <w14:schemeClr w14:val="tx1"/>
            </w14:solidFill>
          </w14:textFill>
        </w:rPr>
        <w:t>支持标准</w:t>
      </w:r>
      <w:bookmarkEnd w:id="12"/>
      <w:bookmarkEnd w:id="13"/>
    </w:p>
    <w:p>
      <w:pPr>
        <w:spacing w:line="560" w:lineRule="exact"/>
        <w:ind w:firstLine="640" w:firstLineChars="200"/>
        <w:rPr>
          <w:rStyle w:val="19"/>
          <w:rFonts w:hint="default" w:ascii="仿宋_GB2312" w:hAnsi="仿宋_GB2312" w:eastAsia="仿宋_GB2312" w:cs="仿宋_GB2312"/>
          <w:color w:val="auto"/>
          <w:sz w:val="32"/>
          <w:szCs w:val="32"/>
          <w:highlight w:val="none"/>
        </w:rPr>
      </w:pPr>
      <w:r>
        <w:rPr>
          <w:rFonts w:hint="eastAsia"/>
          <w:color w:val="000000" w:themeColor="text1"/>
          <w:highlight w:val="none"/>
          <w:lang w:val="en-US" w:eastAsia="zh-CN"/>
          <w14:textFill>
            <w14:solidFill>
              <w14:schemeClr w14:val="tx1"/>
            </w14:solidFill>
          </w14:textFill>
        </w:rPr>
        <w:t>（一）</w:t>
      </w:r>
      <w:r>
        <w:rPr>
          <w:rFonts w:hint="eastAsia" w:ascii="仿宋_GB2312" w:eastAsia="仿宋_GB2312"/>
          <w:color w:val="000000" w:themeColor="text1"/>
          <w:highlight w:val="none"/>
          <w:lang w:val="en-US" w:eastAsia="zh-CN"/>
          <w14:textFill>
            <w14:solidFill>
              <w14:schemeClr w14:val="tx1"/>
            </w14:solidFill>
          </w14:textFill>
        </w:rPr>
        <w:t>支持专业展馆打造新品发布平台载体，</w:t>
      </w:r>
      <w:r>
        <w:rPr>
          <w:rStyle w:val="19"/>
          <w:rFonts w:hint="default" w:ascii="仿宋_GB2312" w:hAnsi="仿宋_GB2312" w:eastAsia="仿宋_GB2312" w:cs="仿宋_GB2312"/>
          <w:color w:val="auto"/>
          <w:sz w:val="32"/>
          <w:szCs w:val="32"/>
          <w:highlight w:val="none"/>
        </w:rPr>
        <w:t>对承接服务市内首展和全国首发首秀活动的展馆分档给予</w:t>
      </w:r>
      <w:r>
        <w:rPr>
          <w:rStyle w:val="19"/>
          <w:rFonts w:hint="default" w:ascii="仿宋_GB2312" w:hAnsi="仿宋_GB2312" w:eastAsia="仿宋_GB2312" w:cs="仿宋_GB2312"/>
          <w:color w:val="auto"/>
          <w:sz w:val="32"/>
          <w:szCs w:val="32"/>
          <w:highlight w:val="none"/>
          <w:lang w:eastAsia="zh-CN"/>
        </w:rPr>
        <w:t>支持</w:t>
      </w:r>
      <w:r>
        <w:rPr>
          <w:rStyle w:val="19"/>
          <w:rFonts w:hint="default" w:ascii="仿宋_GB2312" w:hAnsi="仿宋_GB2312" w:eastAsia="仿宋_GB2312" w:cs="仿宋_GB2312"/>
          <w:color w:val="auto"/>
          <w:sz w:val="32"/>
          <w:szCs w:val="32"/>
          <w:highlight w:val="none"/>
        </w:rPr>
        <w:t>，试点期间单个载体累计</w:t>
      </w:r>
      <w:r>
        <w:rPr>
          <w:rStyle w:val="19"/>
          <w:rFonts w:hint="default" w:ascii="仿宋_GB2312" w:hAnsi="仿宋_GB2312" w:eastAsia="仿宋_GB2312" w:cs="仿宋_GB2312"/>
          <w:color w:val="auto"/>
          <w:sz w:val="32"/>
          <w:szCs w:val="32"/>
          <w:highlight w:val="none"/>
          <w:lang w:eastAsia="zh-CN"/>
        </w:rPr>
        <w:t>支持</w:t>
      </w:r>
      <w:r>
        <w:rPr>
          <w:rStyle w:val="19"/>
          <w:rFonts w:hint="default" w:ascii="仿宋_GB2312" w:hAnsi="仿宋_GB2312" w:eastAsia="仿宋_GB2312" w:cs="仿宋_GB2312"/>
          <w:color w:val="auto"/>
          <w:sz w:val="32"/>
          <w:szCs w:val="32"/>
          <w:highlight w:val="none"/>
        </w:rPr>
        <w:t>上限500万元。具体如下：</w:t>
      </w:r>
    </w:p>
    <w:p>
      <w:pPr>
        <w:spacing w:line="560" w:lineRule="exact"/>
        <w:ind w:firstLine="640" w:firstLineChars="200"/>
        <w:rPr>
          <w:rStyle w:val="19"/>
          <w:rFonts w:hint="eastAsia" w:ascii="仿宋_GB2312" w:hAnsi="仿宋_GB2312" w:eastAsia="仿宋_GB2312" w:cs="仿宋_GB2312"/>
          <w:color w:val="auto"/>
          <w:sz w:val="32"/>
          <w:szCs w:val="32"/>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1.承接5万㎡以上市内首展，或承接汽车、智能消费电子类（含手机、个人电脑、平板电脑、影像设备、消费级无人机、手持云台相机、运动相机等）、智能穿戴、智能家居等智能终端新产品新服务新技术全国首发首秀活动，每场奖励50万元；</w:t>
      </w:r>
    </w:p>
    <w:p>
      <w:pPr>
        <w:spacing w:line="560" w:lineRule="exact"/>
        <w:ind w:firstLine="640" w:firstLineChars="200"/>
        <w:rPr>
          <w:rStyle w:val="19"/>
          <w:rFonts w:hint="eastAsia" w:ascii="仿宋_GB2312" w:hAnsi="仿宋_GB2312" w:eastAsia="仿宋_GB2312" w:cs="仿宋_GB2312"/>
          <w:color w:val="auto"/>
          <w:sz w:val="32"/>
          <w:szCs w:val="32"/>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2.承接2万㎡以上市内首展，或承接冰箱、洗衣机、电视、空调、电脑、热水器等家用电器和时尚服饰类（含服装、鞋帽、皮具、箱包、面料等）、美妆类（含护肤品、彩妆、香氛、个护等）等新产品全国首发首秀活动，每场奖励30万元；</w:t>
      </w:r>
    </w:p>
    <w:p>
      <w:pPr>
        <w:bidi w:val="0"/>
        <w:spacing w:line="560" w:lineRule="exact"/>
        <w:rPr>
          <w:rStyle w:val="19"/>
          <w:rFonts w:hint="eastAsia" w:ascii="仿宋_GB2312" w:hAnsi="仿宋_GB2312" w:eastAsia="仿宋_GB2312" w:cs="仿宋_GB2312"/>
          <w:color w:val="auto"/>
          <w:sz w:val="32"/>
          <w:szCs w:val="32"/>
          <w:highlight w:val="none"/>
          <w:lang w:val="en-US" w:eastAsia="zh-CN"/>
        </w:rPr>
      </w:pPr>
      <w:r>
        <w:rPr>
          <w:rStyle w:val="19"/>
          <w:rFonts w:hint="eastAsia" w:ascii="仿宋_GB2312" w:hAnsi="仿宋_GB2312" w:eastAsia="仿宋_GB2312" w:cs="仿宋_GB2312"/>
          <w:color w:val="auto"/>
          <w:sz w:val="32"/>
          <w:szCs w:val="32"/>
          <w:highlight w:val="none"/>
          <w:lang w:val="en-US" w:eastAsia="zh-CN"/>
        </w:rPr>
        <w:t>3.承接5千㎡以上市内首展，或承接潮玩类（含盲盒、手办、IP衍生品等）、运动潮品类（含运动鞋服、户外装备、健身器材等）、食品饮料类（含酒类、茶饮、乳制品、休闲食品等）、珠宝首饰类（含黄金、钻石、玉石、银饰等）、家居生活类（含家纺、厨具、餐具、收纳等）等新产品全国首发首秀活动，每场奖励10万元。</w:t>
      </w:r>
    </w:p>
    <w:p>
      <w:pPr>
        <w:bidi w:val="0"/>
        <w:spacing w:line="560" w:lineRule="exact"/>
        <w:rPr>
          <w:rFonts w:hint="eastAsia" w:ascii="仿宋_GB2312" w:eastAsia="仿宋_GB2312"/>
          <w:color w:val="000000" w:themeColor="text1"/>
          <w:highlight w:val="none"/>
          <w:lang w:val="en-US" w:eastAsia="zh-CN"/>
          <w14:textFill>
            <w14:solidFill>
              <w14:schemeClr w14:val="tx1"/>
            </w14:solidFill>
          </w14:textFill>
        </w:rPr>
      </w:pPr>
      <w:r>
        <w:rPr>
          <w:rStyle w:val="19"/>
          <w:rFonts w:hint="eastAsia" w:ascii="仿宋_GB2312" w:hAnsi="仿宋_GB2312" w:eastAsia="仿宋_GB2312" w:cs="仿宋_GB2312"/>
          <w:color w:val="auto"/>
          <w:sz w:val="32"/>
          <w:szCs w:val="32"/>
          <w:highlight w:val="none"/>
          <w:lang w:eastAsia="zh-CN"/>
        </w:rPr>
        <w:t>上述首发首秀活动发布产品</w:t>
      </w:r>
      <w:r>
        <w:rPr>
          <w:rStyle w:val="19"/>
          <w:rFonts w:hint="eastAsia" w:cs="仿宋_GB2312"/>
          <w:color w:val="auto"/>
          <w:sz w:val="32"/>
          <w:szCs w:val="32"/>
          <w:highlight w:val="none"/>
          <w:lang w:eastAsia="zh-CN"/>
        </w:rPr>
        <w:t>需</w:t>
      </w:r>
      <w:r>
        <w:rPr>
          <w:rStyle w:val="19"/>
          <w:rFonts w:hint="eastAsia" w:ascii="仿宋_GB2312" w:hAnsi="仿宋_GB2312" w:eastAsia="仿宋_GB2312" w:cs="仿宋_GB2312"/>
          <w:color w:val="auto"/>
          <w:sz w:val="32"/>
          <w:szCs w:val="32"/>
          <w:highlight w:val="none"/>
          <w:lang w:val="en-US" w:eastAsia="zh-CN"/>
        </w:rPr>
        <w:t>包含品牌方主线产品。单场活动涉及多个品类时按最高一档奖励。</w:t>
      </w:r>
    </w:p>
    <w:p>
      <w:pPr>
        <w:bidi w:val="0"/>
        <w:spacing w:line="560" w:lineRule="exact"/>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w:t>
      </w:r>
      <w:r>
        <w:rPr>
          <w:rFonts w:hint="eastAsia" w:ascii="仿宋_GB2312" w:eastAsia="仿宋_GB2312"/>
          <w:color w:val="000000" w:themeColor="text1"/>
          <w:highlight w:val="none"/>
          <w:lang w:val="en-US" w:eastAsia="zh-CN"/>
          <w14:textFill>
            <w14:solidFill>
              <w14:schemeClr w14:val="tx1"/>
            </w14:solidFill>
          </w14:textFill>
        </w:rPr>
        <w:t>支持面向消费者的大型展会（面积≥1万㎡）开设首发专区、专场，对主办方在打造首发专区、专场中的实际投入部分（不含各级财政投资部分）按照30%给予资助，同一展会试点期间最高资助不超过100万元</w:t>
      </w:r>
      <w:r>
        <w:rPr>
          <w:rFonts w:hint="default"/>
          <w:color w:val="000000" w:themeColor="text1"/>
          <w:highlight w:val="none"/>
          <w:lang w:val="en-US" w:eastAsia="zh-CN"/>
          <w14:textFill>
            <w14:solidFill>
              <w14:schemeClr w14:val="tx1"/>
            </w14:solidFill>
          </w14:textFill>
        </w:rPr>
        <w:t>。</w:t>
      </w:r>
    </w:p>
    <w:p>
      <w:pPr>
        <w:bidi w:val="0"/>
        <w:spacing w:line="560" w:lineRule="exact"/>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“实际投入部分”是指专项用于该首发专区/专场，如特装搭建、场景布置、专用设备租赁、专场活动组织、定向宣传推广等。展会的通用成本（如水电、安保服务等）不得计入。</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4" w:name="_Toc27028"/>
      <w:bookmarkStart w:id="15" w:name="_Toc7147"/>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（一）</w:t>
      </w: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基本材料清单</w:t>
      </w:r>
    </w:p>
    <w:p>
      <w:pPr>
        <w:bidi w:val="0"/>
        <w:spacing w:line="560" w:lineRule="exact"/>
        <w:rPr>
          <w:rFonts w:hint="default" w:ascii="楷体" w:hAnsi="楷体" w:eastAsia="楷体_GB2312" w:cs="Times New Roman"/>
          <w:bCs/>
          <w:color w:val="auto"/>
          <w:kern w:val="2"/>
          <w:szCs w:val="32"/>
          <w:highlight w:val="none"/>
          <w:lang w:val="en-US" w:eastAsia="zh-CN" w:bidi="ar-SA"/>
        </w:rPr>
      </w:pPr>
      <w:r>
        <w:rPr>
          <w:rFonts w:hint="eastAsia"/>
          <w:color w:val="000000" w:themeColor="text1"/>
          <w:highlight w:val="none"/>
          <w:lang w:val="en-US" w:eastAsia="zh-CN"/>
          <w14:textFill>
            <w14:solidFill>
              <w14:schemeClr w14:val="tx1"/>
            </w14:solidFill>
          </w14:textFill>
        </w:rPr>
        <w:t>请各项目申报单位</w:t>
      </w:r>
      <w:r>
        <w:rPr>
          <w:rFonts w:hint="eastAsia"/>
          <w:color w:val="auto"/>
          <w:highlight w:val="none"/>
          <w:lang w:val="en-US" w:eastAsia="zh-CN"/>
        </w:rPr>
        <w:t>于线上</w:t>
      </w:r>
      <w:r>
        <w:rPr>
          <w:rFonts w:hint="eastAsia"/>
          <w:color w:val="000000" w:themeColor="text1"/>
          <w:highlight w:val="none"/>
          <w:lang w:val="en-US" w:eastAsia="zh-CN"/>
          <w14:textFill>
            <w14:solidFill>
              <w14:schemeClr w14:val="tx1"/>
            </w14:solidFill>
          </w14:textFill>
        </w:rPr>
        <w:t>填写并提交《项目申报书》，</w:t>
      </w:r>
      <w:r>
        <w:rPr>
          <w:rFonts w:hint="eastAsia"/>
          <w:color w:val="auto"/>
          <w:highlight w:val="none"/>
          <w:lang w:val="en-US" w:eastAsia="zh-CN"/>
        </w:rPr>
        <w:t>网址：https://www.gdzwfw.gov.cn/（广东政务服务网），搜索“消费新业态新场景新模式试点”——选择深圳-大鹏新区后，按照相关事项提示流程和要求进行线上申报（特别提醒该事项办理需申报主体以法人账号登录提交，不接受个人账号提交），并按办理指南提交相关材料（包括但</w:t>
      </w:r>
      <w:bookmarkStart w:id="40" w:name="_GoBack"/>
      <w:bookmarkEnd w:id="40"/>
      <w:r>
        <w:rPr>
          <w:rFonts w:hint="eastAsia"/>
          <w:color w:val="auto"/>
          <w:highlight w:val="none"/>
          <w:lang w:val="en-US" w:eastAsia="zh-CN"/>
        </w:rPr>
        <w:t>不限于）如下：</w:t>
      </w:r>
    </w:p>
    <w:p>
      <w:pPr>
        <w:widowControl/>
        <w:bidi w:val="0"/>
        <w:spacing w:line="560" w:lineRule="exact"/>
        <w:jc w:val="left"/>
        <w:rPr>
          <w:rFonts w:hint="default"/>
          <w:color w:val="000000" w:themeColor="text1"/>
          <w:highlight w:val="none"/>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w:t>
      </w:r>
      <w:r>
        <w:rPr>
          <w:rFonts w:hint="default"/>
          <w:color w:val="auto"/>
          <w:highlight w:val="none"/>
          <w:lang w:val="en-US" w:eastAsia="zh-CN"/>
        </w:rPr>
        <w:t>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w:t>
      </w:r>
      <w:r>
        <w:rPr>
          <w:rFonts w:hint="eastAsia"/>
          <w:color w:val="auto"/>
          <w:highlight w:val="none"/>
          <w:lang w:val="en-US" w:eastAsia="zh-CN"/>
        </w:rPr>
        <w:t>递交（大鹏新区政务服务中心综合窗口）</w:t>
      </w:r>
      <w:r>
        <w:rPr>
          <w:rFonts w:hint="default"/>
          <w:color w:val="auto"/>
          <w:highlight w:val="none"/>
          <w:lang w:val="en-US" w:eastAsia="zh-CN"/>
        </w:rPr>
        <w:t>，线下</w:t>
      </w:r>
      <w:r>
        <w:rPr>
          <w:rFonts w:hint="eastAsia"/>
          <w:color w:val="auto"/>
          <w:highlight w:val="none"/>
          <w:lang w:val="en-US" w:eastAsia="zh-CN"/>
        </w:rPr>
        <w:t>材料递交地址：</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深圳市大鹏新区葵涌街道金业大道140号生命科学产业园B13栋大鹏新区政务服务中心一楼综合窗口</w:t>
      </w:r>
      <w:r>
        <w:rPr>
          <w:rFonts w:hint="default"/>
          <w:color w:val="auto"/>
          <w:highlight w:val="none"/>
          <w:lang w:val="en-US" w:eastAsia="zh-CN"/>
        </w:rPr>
        <w:t>。</w:t>
      </w:r>
      <w:r>
        <w:rPr>
          <w:rFonts w:hint="eastAsia"/>
          <w:color w:val="auto"/>
          <w:highlight w:val="none"/>
          <w:lang w:val="en-US" w:eastAsia="zh-CN"/>
        </w:rPr>
        <w:t>办公电</w:t>
      </w:r>
      <w:r>
        <w:rPr>
          <w:rFonts w:hint="default"/>
          <w:color w:val="auto"/>
          <w:highlight w:val="none"/>
          <w:lang w:val="en-US" w:eastAsia="zh-CN" w:bidi="ar"/>
        </w:rPr>
        <w:t>话：</w:t>
      </w:r>
      <w:r>
        <w:rPr>
          <w:rFonts w:ascii="仿宋_GB2312" w:hAnsi="仿宋_GB2312" w:eastAsia="仿宋_GB2312" w:cs="仿宋"/>
          <w:i w:val="0"/>
          <w:iCs w:val="0"/>
          <w:caps w:val="0"/>
          <w:color w:val="auto"/>
          <w:spacing w:val="0"/>
          <w:kern w:val="2"/>
          <w:sz w:val="32"/>
          <w:szCs w:val="22"/>
          <w:highlight w:val="none"/>
          <w:shd w:val="clear" w:fill="auto"/>
          <w:lang w:val="en-US" w:eastAsia="zh-CN" w:bidi="ar"/>
        </w:rPr>
        <w:t>0755-28333100</w:t>
      </w:r>
      <w:r>
        <w:rPr>
          <w:rFonts w:hint="default"/>
          <w:color w:val="auto"/>
          <w:highlight w:val="none"/>
          <w:lang w:val="en-US" w:eastAsia="zh-CN" w:bidi="ar"/>
        </w:rPr>
        <w:t>。服</w:t>
      </w:r>
      <w:r>
        <w:rPr>
          <w:rFonts w:hint="eastAsia"/>
          <w:color w:val="auto"/>
          <w:highlight w:val="none"/>
          <w:lang w:val="en-US" w:eastAsia="zh-CN"/>
        </w:rPr>
        <w:t>务时间：</w:t>
      </w:r>
      <w:r>
        <w:rPr>
          <w:rFonts w:hint="default"/>
          <w:color w:val="auto"/>
          <w:highlight w:val="none"/>
          <w:lang w:val="en-US" w:eastAsia="zh-CN"/>
        </w:rPr>
        <w:t>周一至周五9:00-17:</w:t>
      </w:r>
      <w:r>
        <w:rPr>
          <w:rFonts w:hint="eastAsia"/>
          <w:color w:val="auto"/>
          <w:highlight w:val="none"/>
          <w:lang w:val="en-US" w:eastAsia="zh-CN"/>
        </w:rPr>
        <w:t>3</w:t>
      </w:r>
      <w:r>
        <w:rPr>
          <w:rFonts w:hint="default"/>
          <w:color w:val="auto"/>
          <w:highlight w:val="none"/>
          <w:lang w:val="en-US" w:eastAsia="zh-CN"/>
        </w:rPr>
        <w:t>0</w:t>
      </w:r>
      <w:r>
        <w:rPr>
          <w:rFonts w:hint="eastAsia"/>
          <w:color w:val="auto"/>
          <w:highlight w:val="none"/>
          <w:lang w:val="en-US" w:eastAsia="zh-CN"/>
        </w:rPr>
        <w:t>，</w:t>
      </w:r>
      <w:r>
        <w:rPr>
          <w:rFonts w:hint="default"/>
          <w:color w:val="auto"/>
          <w:highlight w:val="none"/>
          <w:lang w:val="en-US" w:eastAsia="zh-CN"/>
        </w:rPr>
        <w:t>周六9:00-12:00（</w:t>
      </w:r>
      <w:r>
        <w:rPr>
          <w:rFonts w:hint="eastAsia"/>
          <w:color w:val="auto"/>
          <w:highlight w:val="none"/>
          <w:lang w:val="en-US" w:eastAsia="zh-CN"/>
        </w:rPr>
        <w:t>法定</w:t>
      </w:r>
      <w:r>
        <w:rPr>
          <w:rFonts w:hint="default"/>
          <w:color w:val="auto"/>
          <w:highlight w:val="none"/>
          <w:lang w:val="en-US" w:eastAsia="zh-CN"/>
        </w:rPr>
        <w:t>节假日除外）</w:t>
      </w:r>
      <w:r>
        <w:rPr>
          <w:rFonts w:hint="eastAsia"/>
          <w:color w:val="auto"/>
          <w:highlight w:val="none"/>
          <w:lang w:val="en-US" w:eastAsia="zh-CN"/>
        </w:rPr>
        <w:t>。</w:t>
      </w:r>
    </w:p>
    <w:p>
      <w:pPr>
        <w:bidi w:val="0"/>
        <w:spacing w:line="560" w:lineRule="exact"/>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2.申报单位营业执照或统一社会信用代码证书复印件</w:t>
      </w:r>
      <w:r>
        <w:rPr>
          <w:rFonts w:hint="eastAsia"/>
          <w:color w:val="000000" w:themeColor="text1"/>
          <w:highlight w:val="none"/>
          <w:lang w:val="en-US" w:eastAsia="zh-CN"/>
          <w14:textFill>
            <w14:solidFill>
              <w14:schemeClr w14:val="tx1"/>
            </w14:solidFill>
          </w14:textFill>
        </w:rPr>
        <w:t>。</w:t>
      </w:r>
    </w:p>
    <w:p>
      <w:pPr>
        <w:bidi w:val="0"/>
        <w:spacing w:line="560" w:lineRule="exact"/>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3.单位信用报告</w:t>
      </w:r>
      <w:r>
        <w:rPr>
          <w:rFonts w:hint="eastAsia"/>
          <w:color w:val="000000" w:themeColor="text1"/>
          <w:highlight w:val="none"/>
          <w:lang w:val="en-US" w:eastAsia="zh-CN"/>
          <w14:textFill>
            <w14:solidFill>
              <w14:schemeClr w14:val="tx1"/>
            </w14:solidFill>
          </w14:textFill>
        </w:rPr>
        <w:t>：</w:t>
      </w:r>
      <w:r>
        <w:rPr>
          <w:rFonts w:hint="default"/>
          <w:color w:val="000000" w:themeColor="text1"/>
          <w:highlight w:val="none"/>
          <w:lang w:val="en-US" w:eastAsia="zh-CN"/>
          <w14:textFill>
            <w14:solidFill>
              <w14:schemeClr w14:val="tx1"/>
            </w14:solidFill>
          </w14:textFill>
        </w:rPr>
        <w:t>“信用中国”查询截图、国家企业信用信息公示系统下载的企业信用报告</w:t>
      </w:r>
      <w:r>
        <w:rPr>
          <w:rFonts w:hint="eastAsia"/>
          <w:color w:val="000000" w:themeColor="text1"/>
          <w:highlight w:val="none"/>
          <w:lang w:val="en-US" w:eastAsia="zh-CN"/>
          <w14:textFill>
            <w14:solidFill>
              <w14:schemeClr w14:val="tx1"/>
            </w14:solidFill>
          </w14:textFill>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_GB2312" w:cstheme="majorBidi"/>
          <w:bCs/>
          <w:color w:val="000000" w:themeColor="text1"/>
          <w:kern w:val="2"/>
          <w:sz w:val="32"/>
          <w:szCs w:val="32"/>
          <w:highlight w:val="none"/>
          <w:lang w:val="en-US" w:eastAsia="zh-CN" w:bidi="ar-SA"/>
          <w14:textFill>
            <w14:solidFill>
              <w14:schemeClr w14:val="tx1"/>
            </w14:solidFill>
          </w14:textFill>
        </w:rPr>
        <w:t>（二）专项材料清单</w:t>
      </w:r>
    </w:p>
    <w:p>
      <w:pPr>
        <w:bidi w:val="0"/>
        <w:spacing w:line="560" w:lineRule="exact"/>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1.通用专项材料（所有奖励方向均需提交）：</w:t>
      </w:r>
    </w:p>
    <w:p>
      <w:pPr>
        <w:bidi w:val="0"/>
        <w:spacing w:line="560" w:lineRule="exact"/>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（1）项目成效总结（模板详见项目申报书）。</w:t>
      </w:r>
    </w:p>
    <w:p>
      <w:pPr>
        <w:bidi w:val="0"/>
        <w:spacing w:line="560" w:lineRule="exact"/>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（2）专项资金项目投入明细表及佐证材料（详见项目申报书）。</w:t>
      </w:r>
    </w:p>
    <w:p>
      <w:pPr>
        <w:bidi w:val="0"/>
        <w:spacing w:line="560" w:lineRule="exact"/>
        <w:rPr>
          <w:rFonts w:hint="eastAsia" w:ascii="仿宋_GB2312" w:eastAsia="仿宋_GB2312"/>
          <w:color w:val="000000" w:themeColor="text1"/>
          <w:highlight w:val="none"/>
          <w:lang w:val="en-US" w:eastAsia="zh-CN"/>
          <w14:textFill>
            <w14:solidFill>
              <w14:schemeClr w14:val="tx1"/>
            </w14:solidFill>
          </w14:textFill>
        </w:rPr>
      </w:pPr>
      <w:r>
        <w:rPr>
          <w:rFonts w:hint="eastAsia" w:ascii="仿宋_GB2312" w:eastAsia="仿宋_GB2312"/>
          <w:color w:val="000000" w:themeColor="text1"/>
          <w:highlight w:val="none"/>
          <w:lang w:val="en-US" w:eastAsia="zh-CN"/>
          <w14:textFill>
            <w14:solidFill>
              <w14:schemeClr w14:val="tx1"/>
            </w14:solidFill>
          </w14:textFill>
        </w:rPr>
        <w:t>2.分类型专项材料：</w:t>
      </w:r>
    </w:p>
    <w:p>
      <w:pPr>
        <w:widowControl/>
        <w:bidi w:val="0"/>
        <w:adjustRightInd/>
        <w:spacing w:before="0" w:after="0" w:line="560" w:lineRule="exact"/>
        <w:ind w:left="0" w:leftChars="0" w:firstLine="640" w:firstLineChars="200"/>
        <w:jc w:val="left"/>
        <w:rPr>
          <w:rFonts w:hint="eastAsia" w:ascii="仿宋_GB2312" w:hAnsi="仿宋_GB2312" w:eastAsia="仿宋_GB2312"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一是</w:t>
      </w:r>
      <w:r>
        <w:rPr>
          <w:rStyle w:val="19"/>
          <w:rFonts w:hint="eastAsia" w:ascii="仿宋_GB2312" w:hAnsi="仿宋_GB2312" w:eastAsia="仿宋_GB2312" w:cs="仿宋_GB2312"/>
          <w:color w:val="auto"/>
          <w:sz w:val="32"/>
          <w:szCs w:val="32"/>
          <w:highlight w:val="none"/>
          <w:lang w:val="en-US" w:eastAsia="zh-CN"/>
        </w:rPr>
        <w:t>支持专业展馆打造新品发布平台载体</w:t>
      </w:r>
      <w:r>
        <w:rPr>
          <w:rStyle w:val="19"/>
          <w:rFonts w:hint="eastAsia" w:cs="仿宋_GB2312"/>
          <w:color w:val="auto"/>
          <w:sz w:val="32"/>
          <w:szCs w:val="32"/>
          <w:highlight w:val="none"/>
          <w:lang w:val="en-US" w:eastAsia="zh-CN"/>
        </w:rPr>
        <w:t>：</w:t>
      </w:r>
    </w:p>
    <w:p>
      <w:pPr>
        <w:widowControl w:val="0"/>
        <w:bidi w:val="0"/>
        <w:adjustRightInd w:val="0"/>
        <w:spacing w:before="0" w:after="0" w:line="560" w:lineRule="exact"/>
        <w:ind w:left="0" w:leftChars="0" w:firstLine="640" w:firstLineChars="200"/>
        <w:jc w:val="both"/>
        <w:rPr>
          <w:rFonts w:hint="eastAsia" w:ascii="仿宋_GB2312" w:hAnsi="仿宋_GB2312" w:eastAsia="仿宋_GB2312"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（1）引进市内首展</w:t>
      </w:r>
    </w:p>
    <w:tbl>
      <w:tblPr>
        <w:tblStyle w:val="18"/>
        <w:tblW w:w="9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01"/>
        <w:gridCol w:w="3822"/>
        <w:gridCol w:w="31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220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类别</w:t>
            </w:r>
          </w:p>
        </w:tc>
        <w:tc>
          <w:tcPr>
            <w:tcW w:w="382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具体条件</w:t>
            </w:r>
          </w:p>
        </w:tc>
        <w:tc>
          <w:tcPr>
            <w:tcW w:w="3151"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default" w:ascii="仿宋_GB2312" w:hAnsi="宋体" w:eastAsia="仿宋_GB2312" w:cs="仿宋_GB2312"/>
                <w:b/>
                <w:bCs/>
                <w:i w:val="0"/>
                <w:iCs w:val="0"/>
                <w:color w:val="000000"/>
                <w:sz w:val="32"/>
                <w:szCs w:val="32"/>
                <w:highlight w:val="none"/>
                <w:u w:val="none"/>
                <w:lang w:val="en-US"/>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佐证材料</w:t>
            </w:r>
            <w:r>
              <w:rPr>
                <w:rFonts w:hint="eastAsia" w:hAnsi="宋体" w:cs="仿宋_GB2312"/>
                <w:b/>
                <w:bCs/>
                <w:i w:val="0"/>
                <w:iCs w:val="0"/>
                <w:color w:val="000000" w:themeColor="text1"/>
                <w:kern w:val="0"/>
                <w:sz w:val="32"/>
                <w:szCs w:val="32"/>
                <w:highlight w:val="none"/>
                <w:u w:val="none"/>
                <w:lang w:val="en-US" w:eastAsia="zh-CN" w:bidi="ar"/>
                <w14:textFill>
                  <w14:solidFill>
                    <w14:schemeClr w14:val="tx1"/>
                  </w14:solidFill>
                </w14:textFill>
              </w:rPr>
              <w:t>参考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220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专项条件</w:t>
            </w: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市内首展</w:t>
            </w:r>
          </w:p>
        </w:tc>
        <w:tc>
          <w:tcPr>
            <w:tcW w:w="3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首次在深圳市内举办说明；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jc w:val="center"/>
        </w:trPr>
        <w:tc>
          <w:tcPr>
            <w:tcW w:w="220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b/>
                <w:bCs/>
                <w:i w:val="0"/>
                <w:iCs w:val="0"/>
                <w:color w:val="000000"/>
                <w:sz w:val="32"/>
                <w:szCs w:val="32"/>
                <w:highlight w:val="none"/>
                <w:u w:val="none"/>
              </w:rPr>
            </w:pPr>
          </w:p>
        </w:tc>
        <w:tc>
          <w:tcPr>
            <w:tcW w:w="382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展会面积</w:t>
            </w:r>
          </w:p>
        </w:tc>
        <w:tc>
          <w:tcPr>
            <w:tcW w:w="31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default" w:ascii="仿宋_GB2312" w:hAnsi="宋体" w:eastAsia="仿宋_GB2312" w:cs="仿宋_GB2312"/>
                <w:i w:val="0"/>
                <w:iCs w:val="0"/>
                <w:color w:val="000000"/>
                <w:sz w:val="32"/>
                <w:szCs w:val="32"/>
                <w:highlight w:val="none"/>
                <w:u w:val="none"/>
                <w:lang w:val="en-US"/>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场地租赁与服务合同</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等。</w:t>
            </w:r>
          </w:p>
        </w:tc>
      </w:tr>
    </w:tbl>
    <w:p>
      <w:pPr>
        <w:widowControl w:val="0"/>
        <w:bidi w:val="0"/>
        <w:adjustRightInd w:val="0"/>
        <w:spacing w:before="0" w:after="0" w:line="560" w:lineRule="exact"/>
        <w:ind w:left="0" w:leftChars="0" w:firstLine="640" w:firstLineChars="200"/>
        <w:jc w:val="both"/>
        <w:rPr>
          <w:rFonts w:hint="eastAsia"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（2）引进首发/首秀活动</w:t>
      </w:r>
    </w:p>
    <w:tbl>
      <w:tblPr>
        <w:tblStyle w:val="18"/>
        <w:tblW w:w="91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65"/>
        <w:gridCol w:w="3376"/>
        <w:gridCol w:w="32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trPr>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类别</w:t>
            </w: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具体条件</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5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b/>
                <w:bCs/>
                <w:i w:val="0"/>
                <w:iCs w:val="0"/>
                <w:color w:val="000000"/>
                <w:sz w:val="32"/>
                <w:szCs w:val="32"/>
                <w:highlight w:val="none"/>
                <w:u w:val="none"/>
              </w:rPr>
            </w:pPr>
            <w:r>
              <w:rPr>
                <w:rFonts w:hint="eastAsia" w:hAnsi="宋体" w:cs="仿宋_GB2312"/>
                <w:b/>
                <w:bCs/>
                <w:i w:val="0"/>
                <w:iCs w:val="0"/>
                <w:color w:val="000000" w:themeColor="text1"/>
                <w:kern w:val="0"/>
                <w:sz w:val="32"/>
                <w:szCs w:val="32"/>
                <w:highlight w:val="none"/>
                <w:u w:val="none"/>
                <w:lang w:val="en-US" w:eastAsia="zh-CN" w:bidi="ar"/>
                <w14:textFill>
                  <w14:solidFill>
                    <w14:schemeClr w14:val="tx1"/>
                  </w14:solidFill>
                </w14:textFill>
              </w:rPr>
              <w:t>专项</w:t>
            </w: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条件</w:t>
            </w:r>
            <w:r>
              <w:rPr>
                <w:rFonts w:hint="eastAsia" w:ascii="仿宋_GB2312" w:hAnsi="宋体" w:eastAsia="仿宋_GB2312" w:cs="宋体"/>
                <w:i w:val="0"/>
                <w:iCs w:val="0"/>
                <w:color w:val="000000" w:themeColor="text1"/>
                <w:kern w:val="0"/>
                <w:sz w:val="32"/>
                <w:szCs w:val="32"/>
                <w:highlight w:val="none"/>
                <w:u w:val="none"/>
                <w:lang w:val="en-US" w:eastAsia="zh-CN" w:bidi="ar"/>
                <w14:textFill>
                  <w14:solidFill>
                    <w14:schemeClr w14:val="tx1"/>
                  </w14:solidFill>
                </w14:textFill>
              </w:rPr>
              <w:t>​</w:t>
            </w: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1.在深圳市专业展馆内举办</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与活动主（承）办方或组织方签订的场地租赁与服务合同复印件</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snapToGrid w:val="0"/>
              <w:ind w:left="0" w:leftChars="0" w:right="0" w:rightChars="0" w:firstLine="0" w:firstLineChars="0"/>
              <w:jc w:val="left"/>
              <w:rPr>
                <w:rFonts w:hint="eastAsia" w:ascii="仿宋_GB2312" w:hAnsi="宋体" w:eastAsia="仿宋_GB2312" w:cs="仿宋_GB2312"/>
                <w:b/>
                <w:bCs/>
                <w:i w:val="0"/>
                <w:iCs w:val="0"/>
                <w:color w:val="000000"/>
                <w:sz w:val="32"/>
                <w:szCs w:val="32"/>
                <w:highlight w:val="none"/>
                <w:u w:val="none"/>
              </w:rPr>
            </w:pP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2.活动需有明确的新产品</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新服务</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新技术</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，需包含品牌方主线产品，且属于第五条支持标准所列范围</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新产品</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新服务</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新技术</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清单；企业主营业务</w:t>
            </w:r>
            <w:r>
              <w:rPr>
                <w:rFonts w:hint="default" w:hAnsi="宋体" w:cs="仿宋_GB2312"/>
                <w:i w:val="0"/>
                <w:iCs w:val="0"/>
                <w:color w:val="000000" w:themeColor="text1"/>
                <w:kern w:val="0"/>
                <w:sz w:val="32"/>
                <w:szCs w:val="32"/>
                <w:highlight w:val="none"/>
                <w:u w:val="none"/>
                <w:lang w:eastAsia="zh-CN" w:bidi="ar"/>
                <w14:textFill>
                  <w14:solidFill>
                    <w14:schemeClr w14:val="tx1"/>
                  </w14:solidFill>
                </w14:textFill>
              </w:rPr>
              <w:t>产品</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说明等。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70" w:hRule="atLeast"/>
          <w:jc w:val="center"/>
        </w:trPr>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bidi w:val="0"/>
              <w:snapToGrid w:val="0"/>
              <w:ind w:left="0" w:leftChars="0" w:right="0" w:rightChars="0" w:firstLine="0" w:firstLineChars="0"/>
              <w:jc w:val="left"/>
              <w:rPr>
                <w:rFonts w:hint="eastAsia" w:ascii="仿宋_GB2312" w:hAnsi="宋体" w:eastAsia="仿宋_GB2312" w:cs="仿宋_GB2312"/>
                <w:b/>
                <w:bCs/>
                <w:i w:val="0"/>
                <w:iCs w:val="0"/>
                <w:color w:val="000000"/>
                <w:sz w:val="32"/>
                <w:szCs w:val="32"/>
                <w:highlight w:val="none"/>
                <w:u w:val="none"/>
              </w:rPr>
            </w:pPr>
          </w:p>
        </w:tc>
        <w:tc>
          <w:tcPr>
            <w:tcW w:w="33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default" w:ascii="仿宋_GB2312" w:hAnsi="宋体" w:eastAsia="仿宋_GB2312" w:cs="仿宋_GB2312"/>
                <w:i w:val="0"/>
                <w:iCs w:val="0"/>
                <w:color w:val="000000"/>
                <w:sz w:val="32"/>
                <w:szCs w:val="32"/>
                <w:highlight w:val="none"/>
                <w:u w:val="none"/>
                <w:lang w:val="en-US"/>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3.全国首发首秀</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活动</w:t>
            </w:r>
          </w:p>
        </w:tc>
        <w:tc>
          <w:tcPr>
            <w:tcW w:w="32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全国首发相关媒体报道、企业出具的相关说明等</w:t>
            </w:r>
          </w:p>
        </w:tc>
      </w:tr>
    </w:tbl>
    <w:p>
      <w:pPr>
        <w:widowControl w:val="0"/>
        <w:bidi w:val="0"/>
        <w:adjustRightInd w:val="0"/>
        <w:spacing w:before="0" w:after="0" w:line="560" w:lineRule="exact"/>
        <w:ind w:left="0" w:leftChars="0" w:firstLine="640" w:firstLineChars="200"/>
        <w:jc w:val="both"/>
        <w:rPr>
          <w:rFonts w:hint="default" w:ascii="仿宋_GB2312" w:hAnsi="仿宋_GB2312" w:eastAsia="仿宋_GB2312" w:cs="Times New Roman"/>
          <w:bCs/>
          <w:color w:val="000000"/>
          <w:kern w:val="0"/>
          <w:sz w:val="32"/>
          <w:szCs w:val="24"/>
          <w:highlight w:val="none"/>
          <w:lang w:val="en-US" w:eastAsia="zh-CN" w:bidi="ar-SA"/>
        </w:rPr>
      </w:pPr>
      <w:r>
        <w:rPr>
          <w:rFonts w:hint="eastAsia" w:cs="Times New Roman"/>
          <w:bCs/>
          <w:color w:val="000000"/>
          <w:kern w:val="0"/>
          <w:sz w:val="32"/>
          <w:szCs w:val="24"/>
          <w:highlight w:val="none"/>
          <w:lang w:val="en-US" w:eastAsia="zh-CN" w:bidi="ar-SA"/>
        </w:rPr>
        <w:t>二是</w:t>
      </w:r>
      <w:r>
        <w:rPr>
          <w:rStyle w:val="19"/>
          <w:rFonts w:hint="eastAsia" w:ascii="仿宋_GB2312" w:hAnsi="仿宋_GB2312" w:eastAsia="仿宋_GB2312" w:cs="仿宋_GB2312"/>
          <w:color w:val="auto"/>
          <w:sz w:val="32"/>
          <w:szCs w:val="32"/>
          <w:highlight w:val="none"/>
          <w:lang w:val="en-US" w:eastAsia="zh-CN"/>
        </w:rPr>
        <w:t>支持面向消费者的大型展会开设首发专区、专场</w:t>
      </w:r>
    </w:p>
    <w:tbl>
      <w:tblPr>
        <w:tblStyle w:val="18"/>
        <w:tblW w:w="917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883"/>
        <w:gridCol w:w="5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3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具体条件</w:t>
            </w:r>
          </w:p>
        </w:tc>
        <w:tc>
          <w:tcPr>
            <w:tcW w:w="5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center"/>
              <w:textAlignment w:val="center"/>
              <w:rPr>
                <w:rFonts w:hint="eastAsia" w:ascii="仿宋_GB2312" w:hAnsi="宋体" w:eastAsia="仿宋_GB2312" w:cs="仿宋_GB2312"/>
                <w:b/>
                <w:bCs/>
                <w:i w:val="0"/>
                <w:iCs w:val="0"/>
                <w:color w:val="000000"/>
                <w:sz w:val="32"/>
                <w:szCs w:val="32"/>
                <w:highlight w:val="none"/>
                <w:u w:val="none"/>
              </w:rPr>
            </w:pPr>
            <w:r>
              <w:rPr>
                <w:rFonts w:hint="eastAsia" w:ascii="仿宋_GB2312" w:hAnsi="宋体" w:eastAsia="仿宋_GB2312" w:cs="仿宋_GB2312"/>
                <w:b/>
                <w:bCs/>
                <w:i w:val="0"/>
                <w:iCs w:val="0"/>
                <w:color w:val="000000" w:themeColor="text1"/>
                <w:kern w:val="0"/>
                <w:sz w:val="32"/>
                <w:szCs w:val="32"/>
                <w:highlight w:val="none"/>
                <w:u w:val="none"/>
                <w:lang w:val="en-US" w:eastAsia="zh-CN" w:bidi="ar"/>
                <w14:textFill>
                  <w14:solidFill>
                    <w14:schemeClr w14:val="tx1"/>
                  </w14:solidFill>
                </w14:textFill>
              </w:rPr>
              <w:t>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为大型</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（面积≥1万㎡）面向消费者的</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展会</w:t>
            </w:r>
          </w:p>
        </w:tc>
        <w:tc>
          <w:tcPr>
            <w:tcW w:w="5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租赁合同；面向个人消费者开展展示、销售、体验等有关佐证材料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38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在展会现场专门规划了固定区域作为首发专区或专场，用于集中举办新品发布活动，并有明确的区域布局和功能划分</w:t>
            </w:r>
          </w:p>
        </w:tc>
        <w:tc>
          <w:tcPr>
            <w:tcW w:w="5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bidi w:val="0"/>
              <w:snapToGrid w:val="0"/>
              <w:spacing w:line="240" w:lineRule="auto"/>
              <w:ind w:left="0" w:leftChars="0" w:right="0" w:rightChars="0" w:firstLine="0" w:firstLineChars="0"/>
              <w:jc w:val="left"/>
              <w:textAlignment w:val="center"/>
              <w:rPr>
                <w:rFonts w:hint="eastAsia" w:ascii="仿宋_GB2312" w:hAnsi="宋体" w:eastAsia="仿宋_GB2312" w:cs="仿宋_GB2312"/>
                <w:i w:val="0"/>
                <w:iCs w:val="0"/>
                <w:color w:val="000000"/>
                <w:sz w:val="32"/>
                <w:szCs w:val="32"/>
                <w:highlight w:val="none"/>
                <w:u w:val="none"/>
              </w:rPr>
            </w:pP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首发专区/专场布局图、</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现场</w:t>
            </w:r>
            <w:r>
              <w:rPr>
                <w:rFonts w:hint="eastAsia" w:ascii="仿宋_GB2312" w:hAnsi="宋体" w:eastAsia="仿宋_GB2312" w:cs="仿宋_GB2312"/>
                <w:i w:val="0"/>
                <w:iCs w:val="0"/>
                <w:color w:val="000000" w:themeColor="text1"/>
                <w:kern w:val="0"/>
                <w:sz w:val="32"/>
                <w:szCs w:val="32"/>
                <w:highlight w:val="none"/>
                <w:u w:val="none"/>
                <w:lang w:val="en-US" w:eastAsia="zh-CN" w:bidi="ar"/>
                <w14:textFill>
                  <w14:solidFill>
                    <w14:schemeClr w14:val="tx1"/>
                  </w14:solidFill>
                </w14:textFill>
              </w:rPr>
              <w:t>照片、媒体报道、首发产品清单等</w:t>
            </w:r>
            <w:r>
              <w:rPr>
                <w:rFonts w:hint="eastAsia" w:hAnsi="宋体" w:cs="仿宋_GB2312"/>
                <w:i w:val="0"/>
                <w:iCs w:val="0"/>
                <w:color w:val="000000" w:themeColor="text1"/>
                <w:kern w:val="0"/>
                <w:sz w:val="32"/>
                <w:szCs w:val="32"/>
                <w:highlight w:val="none"/>
                <w:u w:val="none"/>
                <w:lang w:val="en-US" w:eastAsia="zh-CN" w:bidi="ar"/>
                <w14:textFill>
                  <w14:solidFill>
                    <w14:schemeClr w14:val="tx1"/>
                  </w14:solidFill>
                </w14:textFill>
              </w:rPr>
              <w:t>材料</w:t>
            </w:r>
          </w:p>
        </w:tc>
      </w:tr>
    </w:tbl>
    <w:p>
      <w:pPr>
        <w:bidi w:val="0"/>
        <w:spacing w:line="560" w:lineRule="exact"/>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以上申报材料按顺序一式</w:t>
      </w:r>
      <w:r>
        <w:rPr>
          <w:rFonts w:hint="eastAsia"/>
          <w:color w:val="000000" w:themeColor="text1"/>
          <w:highlight w:val="none"/>
          <w:lang w:val="en-US" w:eastAsia="zh-CN"/>
          <w14:textFill>
            <w14:solidFill>
              <w14:schemeClr w14:val="tx1"/>
            </w14:solidFill>
          </w14:textFill>
        </w:rPr>
        <w:t>四</w:t>
      </w:r>
      <w:r>
        <w:rPr>
          <w:rFonts w:hint="default"/>
          <w:color w:val="000000" w:themeColor="text1"/>
          <w:highlight w:val="none"/>
          <w:lang w:val="en-US" w:eastAsia="zh-CN"/>
          <w14:textFill>
            <w14:solidFill>
              <w14:schemeClr w14:val="tx1"/>
            </w14:solidFill>
          </w14:textFill>
        </w:rPr>
        <w:t>份（附可编辑电子版和PDF扫描件）装订成册，在封面加盖单位公章并加盖骑缝章（其中，申报</w:t>
      </w:r>
      <w:r>
        <w:rPr>
          <w:rFonts w:hint="eastAsia" w:ascii="仿宋_GB2312" w:eastAsia="仿宋_GB2312"/>
          <w:color w:val="000000" w:themeColor="text1"/>
          <w:highlight w:val="none"/>
          <w:lang w:val="en-US" w:eastAsia="zh-CN"/>
          <w14:textFill>
            <w14:solidFill>
              <w14:schemeClr w14:val="tx1"/>
            </w14:solidFill>
          </w14:textFill>
        </w:rPr>
        <w:t>指引</w:t>
      </w:r>
      <w:r>
        <w:rPr>
          <w:rFonts w:hint="default"/>
          <w:color w:val="000000" w:themeColor="text1"/>
          <w:highlight w:val="none"/>
          <w:lang w:val="en-US" w:eastAsia="zh-CN"/>
          <w14:textFill>
            <w14:solidFill>
              <w14:schemeClr w14:val="tx1"/>
            </w14:solidFill>
          </w14:textFill>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6" w:name="_Toc19526"/>
      <w:bookmarkStart w:id="17" w:name="_Toc571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七、申请表格</w:t>
      </w:r>
      <w:bookmarkEnd w:id="16"/>
      <w:bookmarkEnd w:id="17"/>
    </w:p>
    <w:p>
      <w:pPr>
        <w:bidi w:val="0"/>
        <w:spacing w:line="560" w:lineRule="exact"/>
        <w:rPr>
          <w:rFonts w:hint="default"/>
          <w:color w:val="auto"/>
          <w:highlight w:val="none"/>
          <w:lang w:val="en-US" w:eastAsia="zh-CN"/>
        </w:rPr>
      </w:pPr>
      <w:r>
        <w:rPr>
          <w:rFonts w:hint="eastAsia"/>
          <w:color w:val="auto"/>
          <w:highlight w:val="none"/>
          <w:lang w:val="en-US" w:eastAsia="zh-CN"/>
        </w:rPr>
        <w:t>请线上下载并填写《</w:t>
      </w:r>
      <w:r>
        <w:rPr>
          <w:rFonts w:hint="default"/>
          <w:color w:val="auto"/>
          <w:highlight w:val="none"/>
          <w:lang w:val="en-US" w:eastAsia="zh-CN"/>
        </w:rPr>
        <w:t>深圳市2026年中央资金消费新业态新模式新场景试点项目申报书</w:t>
      </w:r>
      <w:r>
        <w:rPr>
          <w:rFonts w:hint="eastAsia"/>
          <w:color w:val="auto"/>
          <w:highlight w:val="none"/>
          <w:lang w:val="en-US" w:eastAsia="zh-CN"/>
        </w:rPr>
        <w:t>》</w:t>
      </w:r>
      <w:r>
        <w:rPr>
          <w:rFonts w:hint="default"/>
          <w:color w:val="auto"/>
          <w:highlight w:val="none"/>
          <w:lang w:val="en-US"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18" w:name="_Toc13760"/>
      <w:bookmarkStart w:id="19" w:name="_Toc20121"/>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（一）受理机关</w:t>
      </w:r>
    </w:p>
    <w:p>
      <w:pPr>
        <w:keepNext/>
        <w:keepLines/>
        <w:widowControl w:val="0"/>
        <w:bidi w:val="0"/>
        <w:spacing w:before="0" w:after="0" w:line="560" w:lineRule="exact"/>
        <w:ind w:firstLine="640" w:firstLineChars="200"/>
        <w:jc w:val="both"/>
        <w:outlineLvl w:val="1"/>
        <w:rPr>
          <w:rFonts w:hint="eastAsia" w:cs="仿宋_GB2312"/>
          <w:color w:val="auto"/>
          <w:sz w:val="32"/>
          <w:szCs w:val="32"/>
          <w:highlight w:val="none"/>
          <w:u w:val="none"/>
          <w:lang w:eastAsia="zh-CN"/>
        </w:rPr>
      </w:pPr>
      <w:r>
        <w:rPr>
          <w:rFonts w:hint="eastAsia" w:cs="仿宋_GB2312"/>
          <w:color w:val="auto"/>
          <w:sz w:val="32"/>
          <w:szCs w:val="32"/>
          <w:highlight w:val="none"/>
          <w:u w:val="none"/>
          <w:lang w:eastAsia="zh-CN"/>
        </w:rPr>
        <w:t>深圳市大鹏新区商务局</w:t>
      </w:r>
    </w:p>
    <w:p>
      <w:pPr>
        <w:keepNext w:val="0"/>
        <w:keepLines w:val="0"/>
        <w:widowControl/>
        <w:bidi w:val="0"/>
        <w:spacing w:before="0" w:after="0" w:line="560" w:lineRule="exact"/>
        <w:ind w:firstLine="640" w:firstLineChars="200"/>
        <w:jc w:val="left"/>
        <w:outlineLvl w:val="9"/>
        <w:rPr>
          <w:rFonts w:hint="eastAsia" w:ascii="楷体" w:hAnsi="楷体" w:eastAsia="楷体" w:cstheme="majorBidi"/>
          <w:bCs/>
          <w:color w:val="auto"/>
          <w:kern w:val="2"/>
          <w:sz w:val="32"/>
          <w:szCs w:val="32"/>
          <w:highlight w:val="none"/>
          <w:u w:val="none"/>
          <w:lang w:val="en-US" w:eastAsia="zh-CN" w:bidi="ar-SA"/>
        </w:rPr>
      </w:pPr>
      <w:r>
        <w:rPr>
          <w:rFonts w:hint="eastAsia" w:ascii="楷体" w:hAnsi="楷体" w:eastAsia="楷体" w:cstheme="majorBidi"/>
          <w:bCs/>
          <w:color w:val="auto"/>
          <w:kern w:val="2"/>
          <w:sz w:val="32"/>
          <w:szCs w:val="32"/>
          <w:highlight w:val="none"/>
          <w:u w:val="none"/>
          <w:lang w:val="en-US" w:eastAsia="zh-CN" w:bidi="ar-SA"/>
        </w:rPr>
        <w:t>（二）受理时间</w:t>
      </w:r>
    </w:p>
    <w:p>
      <w:pPr>
        <w:bidi w:val="0"/>
        <w:spacing w:line="560" w:lineRule="exact"/>
        <w:rPr>
          <w:rFonts w:hint="default"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1.网络填报时间：202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26</w:t>
      </w:r>
      <w:r>
        <w:rPr>
          <w:rFonts w:hint="eastAsia" w:ascii="仿宋_GB2312" w:hAnsi="宋体" w:eastAsia="仿宋_GB2312" w:cs="宋体"/>
          <w:color w:val="auto"/>
          <w:kern w:val="0"/>
          <w:sz w:val="32"/>
          <w:szCs w:val="32"/>
          <w:highlight w:val="none"/>
          <w:u w:val="none"/>
          <w:lang w:val="en-US" w:eastAsia="zh-CN"/>
        </w:rPr>
        <w:t>日-202</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r>
        <w:rPr>
          <w:rFonts w:hint="eastAsia" w:hAnsi="宋体" w:cs="宋体"/>
          <w:color w:val="auto"/>
          <w:kern w:val="0"/>
          <w:sz w:val="32"/>
          <w:szCs w:val="32"/>
          <w:highlight w:val="none"/>
          <w:u w:val="none"/>
          <w:lang w:val="en-US" w:eastAsia="zh-CN"/>
        </w:rPr>
        <w:t>。</w:t>
      </w:r>
    </w:p>
    <w:p>
      <w:pPr>
        <w:bidi w:val="0"/>
        <w:spacing w:line="560" w:lineRule="exact"/>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2.材料提交时间：2026年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6</w:t>
      </w:r>
      <w:r>
        <w:rPr>
          <w:rFonts w:hint="eastAsia" w:ascii="仿宋_GB2312" w:hAnsi="宋体" w:eastAsia="仿宋_GB2312" w:cs="宋体"/>
          <w:color w:val="auto"/>
          <w:kern w:val="0"/>
          <w:sz w:val="32"/>
          <w:szCs w:val="32"/>
          <w:highlight w:val="none"/>
          <w:u w:val="none"/>
          <w:lang w:val="en-US" w:eastAsia="zh-CN"/>
        </w:rPr>
        <w:t>日-2026年</w:t>
      </w:r>
      <w:r>
        <w:rPr>
          <w:rFonts w:hint="eastAsia" w:hAnsi="宋体" w:cs="宋体"/>
          <w:color w:val="auto"/>
          <w:kern w:val="0"/>
          <w:sz w:val="32"/>
          <w:szCs w:val="32"/>
          <w:highlight w:val="none"/>
          <w:u w:val="none"/>
          <w:lang w:val="en-US" w:eastAsia="zh-CN"/>
        </w:rPr>
        <w:t>7</w:t>
      </w:r>
      <w:r>
        <w:rPr>
          <w:rFonts w:hint="eastAsia" w:ascii="仿宋_GB2312" w:hAnsi="宋体" w:eastAsia="仿宋_GB2312" w:cs="宋体"/>
          <w:color w:val="auto"/>
          <w:kern w:val="0"/>
          <w:sz w:val="32"/>
          <w:szCs w:val="32"/>
          <w:highlight w:val="none"/>
          <w:u w:val="none"/>
          <w:lang w:val="en-US" w:eastAsia="zh-CN"/>
        </w:rPr>
        <w:t>月</w:t>
      </w:r>
      <w:r>
        <w:rPr>
          <w:rFonts w:hint="eastAsia" w:hAnsi="宋体" w:cs="宋体"/>
          <w:color w:val="auto"/>
          <w:kern w:val="0"/>
          <w:sz w:val="32"/>
          <w:szCs w:val="32"/>
          <w:highlight w:val="none"/>
          <w:u w:val="none"/>
          <w:lang w:val="en-US" w:eastAsia="zh-CN"/>
        </w:rPr>
        <w:t>17</w:t>
      </w:r>
      <w:r>
        <w:rPr>
          <w:rFonts w:hint="eastAsia" w:ascii="仿宋_GB2312" w:hAnsi="宋体" w:eastAsia="仿宋_GB2312" w:cs="宋体"/>
          <w:color w:val="auto"/>
          <w:kern w:val="0"/>
          <w:sz w:val="32"/>
          <w:szCs w:val="32"/>
          <w:highlight w:val="none"/>
          <w:u w:val="none"/>
          <w:lang w:val="en-US" w:eastAsia="zh-CN"/>
        </w:rPr>
        <w:t>日。</w:t>
      </w:r>
    </w:p>
    <w:p>
      <w:pPr>
        <w:bidi w:val="0"/>
        <w:spacing w:line="560" w:lineRule="exact"/>
        <w:rPr>
          <w:rFonts w:hint="eastAsia" w:ascii="仿宋_GB2312" w:hAnsi="宋体" w:eastAsia="仿宋_GB2312" w:cs="宋体"/>
          <w:color w:val="auto"/>
          <w:kern w:val="0"/>
          <w:sz w:val="32"/>
          <w:szCs w:val="32"/>
          <w:highlight w:val="none"/>
          <w:u w:val="none"/>
          <w:lang w:val="en-US" w:eastAsia="zh-CN"/>
        </w:rPr>
      </w:pPr>
      <w:r>
        <w:rPr>
          <w:rFonts w:hint="eastAsia" w:ascii="仿宋_GB2312" w:hAnsi="宋体" w:eastAsia="仿宋_GB2312" w:cs="宋体"/>
          <w:color w:val="auto"/>
          <w:kern w:val="0"/>
          <w:sz w:val="32"/>
          <w:szCs w:val="32"/>
          <w:highlight w:val="none"/>
          <w:u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（三）受理地点</w:t>
      </w:r>
    </w:p>
    <w:p>
      <w:pPr>
        <w:keepNext w:val="0"/>
        <w:keepLines w:val="0"/>
        <w:widowControl/>
        <w:suppressLineNumbers w:val="0"/>
        <w:spacing w:line="560" w:lineRule="exact"/>
        <w:jc w:val="left"/>
        <w:rPr>
          <w:rFonts w:hint="eastAsia"/>
          <w:color w:val="auto"/>
          <w:highlight w:val="none"/>
          <w:u w:val="none"/>
          <w:lang w:val="en-US" w:eastAsia="zh-CN"/>
        </w:rPr>
      </w:pPr>
      <w:r>
        <w:rPr>
          <w:rFonts w:hint="eastAsia" w:cs="仿宋_GB2312"/>
          <w:color w:val="auto"/>
          <w:sz w:val="32"/>
          <w:szCs w:val="32"/>
          <w:highlight w:val="none"/>
          <w:u w:val="none"/>
          <w:lang w:eastAsia="zh-CN"/>
        </w:rPr>
        <w:t>线上受理：</w:t>
      </w:r>
      <w:r>
        <w:rPr>
          <w:rFonts w:hint="eastAsia"/>
          <w:color w:val="auto"/>
          <w:highlight w:val="none"/>
          <w:u w:val="none"/>
          <w:lang w:val="en-US" w:eastAsia="zh-CN"/>
        </w:rPr>
        <w:fldChar w:fldCharType="begin"/>
      </w:r>
      <w:r>
        <w:rPr>
          <w:rFonts w:hint="eastAsia"/>
          <w:color w:val="auto"/>
          <w:highlight w:val="none"/>
          <w:u w:val="none"/>
          <w:lang w:val="en-US" w:eastAsia="zh-CN"/>
        </w:rPr>
        <w:instrText xml:space="preserve"> HYPERLINK "https://www.gdzwfw.gov.cn/（广东政务服务网）。" </w:instrText>
      </w:r>
      <w:r>
        <w:rPr>
          <w:rFonts w:hint="eastAsia"/>
          <w:color w:val="auto"/>
          <w:highlight w:val="none"/>
          <w:u w:val="none"/>
          <w:lang w:val="en-US" w:eastAsia="zh-CN"/>
        </w:rPr>
        <w:fldChar w:fldCharType="separate"/>
      </w:r>
      <w:r>
        <w:rPr>
          <w:rStyle w:val="21"/>
          <w:rFonts w:hint="eastAsia"/>
          <w:color w:val="auto"/>
          <w:highlight w:val="none"/>
          <w:u w:val="none"/>
          <w:lang w:val="en-US" w:eastAsia="zh-CN"/>
        </w:rPr>
        <w:t>https://www.gdzwfw.gov.cn/（广东政务服务网）。</w:t>
      </w:r>
      <w:r>
        <w:rPr>
          <w:rFonts w:hint="eastAsia"/>
          <w:color w:val="auto"/>
          <w:highlight w:val="none"/>
          <w:u w:val="none"/>
          <w:lang w:val="en-US" w:eastAsia="zh-CN"/>
        </w:rPr>
        <w:fldChar w:fldCharType="end"/>
      </w:r>
    </w:p>
    <w:p>
      <w:pPr>
        <w:keepNext w:val="0"/>
        <w:keepLines w:val="0"/>
        <w:widowControl/>
        <w:suppressLineNumbers w:val="0"/>
        <w:spacing w:line="560" w:lineRule="exact"/>
        <w:jc w:val="left"/>
        <w:rPr>
          <w:rFonts w:hint="eastAsia" w:cs="仿宋_GB2312"/>
          <w:color w:val="auto"/>
          <w:szCs w:val="32"/>
          <w:highlight w:val="none"/>
          <w:u w:val="none"/>
          <w:lang w:val="en-US" w:eastAsia="zh-CN"/>
        </w:rPr>
      </w:pPr>
      <w:r>
        <w:rPr>
          <w:rFonts w:hint="eastAsia" w:cs="仿宋_GB2312"/>
          <w:color w:val="auto"/>
          <w:sz w:val="32"/>
          <w:szCs w:val="32"/>
          <w:highlight w:val="none"/>
          <w:u w:val="none"/>
          <w:lang w:eastAsia="zh-CN"/>
        </w:rPr>
        <w:t>线下材料递交地址：</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深圳市大鹏新区葵涌街道金业大道140号生命科学产业园B13栋大鹏新区政务服务中心一楼综合窗口</w:t>
      </w:r>
      <w:r>
        <w:rPr>
          <w:rFonts w:hint="eastAsia" w:cs="仿宋_GB2312"/>
          <w:color w:val="auto"/>
          <w:szCs w:val="32"/>
          <w:highlight w:val="none"/>
          <w:u w:val="none"/>
          <w:lang w:val="en-US" w:eastAsia="zh-CN"/>
        </w:rPr>
        <w:t>。办公电</w:t>
      </w:r>
      <w:r>
        <w:rPr>
          <w:rFonts w:hint="eastAsia" w:cs="仿宋_GB2312"/>
          <w:color w:val="auto"/>
          <w:szCs w:val="32"/>
          <w:highlight w:val="none"/>
          <w:u w:val="none"/>
          <w:lang w:val="en-US" w:eastAsia="zh-CN" w:bidi="ar"/>
        </w:rPr>
        <w:t>话：</w:t>
      </w:r>
      <w:r>
        <w:rPr>
          <w:rFonts w:hint="eastAsia" w:ascii="仿宋_GB2312" w:hAnsi="仿宋_GB2312" w:eastAsia="仿宋_GB2312" w:cs="仿宋_GB2312"/>
          <w:i w:val="0"/>
          <w:iCs w:val="0"/>
          <w:caps w:val="0"/>
          <w:color w:val="auto"/>
          <w:spacing w:val="0"/>
          <w:kern w:val="2"/>
          <w:sz w:val="32"/>
          <w:szCs w:val="32"/>
          <w:highlight w:val="none"/>
          <w:u w:val="none"/>
          <w:shd w:val="clear"/>
          <w:lang w:val="en-US" w:eastAsia="zh-CN" w:bidi="ar"/>
        </w:rPr>
        <w:t>0755-28333100</w:t>
      </w:r>
      <w:r>
        <w:rPr>
          <w:rFonts w:hint="eastAsia" w:cs="仿宋_GB2312"/>
          <w:color w:val="auto"/>
          <w:szCs w:val="32"/>
          <w:highlight w:val="none"/>
          <w:u w:val="none"/>
          <w:lang w:val="en-US" w:eastAsia="zh-CN" w:bidi="ar"/>
        </w:rPr>
        <w:t>。服</w:t>
      </w:r>
      <w:r>
        <w:rPr>
          <w:rFonts w:hint="eastAsia" w:cs="仿宋_GB2312"/>
          <w:color w:val="auto"/>
          <w:szCs w:val="32"/>
          <w:highlight w:val="none"/>
          <w:u w:val="none"/>
          <w:lang w:val="en-US" w:eastAsia="zh-CN"/>
        </w:rPr>
        <w:t>务时间：周一至周五9:00-17:30，周六9:00-12:00（法定节假日除外）。</w:t>
      </w:r>
    </w:p>
    <w:p>
      <w:pPr>
        <w:bidi w:val="0"/>
        <w:spacing w:before="0" w:after="0" w:line="560" w:lineRule="exact"/>
        <w:ind w:left="645" w:firstLine="0" w:firstLineChars="0"/>
        <w:rPr>
          <w:rFonts w:ascii="楷体_GB2312" w:hAnsi="楷体_GB2312" w:eastAsia="楷体_GB2312" w:cs="楷体_GB2312"/>
          <w:color w:val="auto"/>
          <w:sz w:val="32"/>
          <w:szCs w:val="32"/>
          <w:highlight w:val="none"/>
          <w:u w:val="none"/>
        </w:rPr>
      </w:pPr>
      <w:r>
        <w:rPr>
          <w:rFonts w:hint="eastAsia" w:ascii="楷体_GB2312" w:hAnsi="楷体_GB2312" w:eastAsia="楷体_GB2312" w:cs="楷体_GB2312"/>
          <w:color w:val="auto"/>
          <w:sz w:val="32"/>
          <w:szCs w:val="32"/>
          <w:highlight w:val="none"/>
          <w:u w:val="none"/>
        </w:rPr>
        <w:t>（四）咨询电话</w:t>
      </w:r>
    </w:p>
    <w:p>
      <w:pPr>
        <w:bidi w:val="0"/>
        <w:spacing w:line="560" w:lineRule="exact"/>
        <w:rPr>
          <w:rFonts w:hint="eastAsia" w:ascii="仿宋_GB2312" w:hAnsi="仿宋_GB2312" w:eastAsia="仿宋_GB2312" w:cs="仿宋_GB2312"/>
          <w:color w:val="auto"/>
          <w:sz w:val="32"/>
          <w:szCs w:val="32"/>
          <w:highlight w:val="none"/>
          <w:u w:val="none"/>
        </w:rPr>
      </w:pPr>
      <w:r>
        <w:rPr>
          <w:rFonts w:hint="eastAsia" w:cs="仿宋_GB2312"/>
          <w:color w:val="auto"/>
          <w:sz w:val="32"/>
          <w:szCs w:val="32"/>
          <w:highlight w:val="none"/>
          <w:u w:val="none"/>
          <w:lang w:val="en-US" w:eastAsia="zh-CN"/>
        </w:rPr>
        <w:t>0755-28333810</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u w:val="none"/>
          <w:lang w:val="en-US" w:eastAsia="zh-CN" w:bidi="ar-SA"/>
        </w:rPr>
      </w:pPr>
      <w:bookmarkStart w:id="20" w:name="_Toc1376"/>
      <w:bookmarkStart w:id="21" w:name="_Toc9722"/>
      <w:r>
        <w:rPr>
          <w:rFonts w:hint="eastAsia" w:ascii="黑体" w:hAnsi="黑体" w:eastAsia="黑体" w:cs="仿宋"/>
          <w:color w:val="auto"/>
          <w:kern w:val="2"/>
          <w:sz w:val="32"/>
          <w:szCs w:val="22"/>
          <w:highlight w:val="none"/>
          <w:u w:val="none"/>
          <w:lang w:val="en-US" w:eastAsia="zh-CN" w:bidi="ar-SA"/>
        </w:rPr>
        <w:t>九、申请决定机关</w:t>
      </w:r>
      <w:bookmarkEnd w:id="20"/>
      <w:bookmarkEnd w:id="21"/>
    </w:p>
    <w:p>
      <w:pPr>
        <w:bidi w:val="0"/>
        <w:spacing w:line="560" w:lineRule="exact"/>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bookmarkStart w:id="22" w:name="_Toc2137"/>
      <w:bookmarkStart w:id="23" w:name="_Toc161850809"/>
      <w:bookmarkStart w:id="24" w:name="_Toc10305"/>
      <w:bookmarkStart w:id="25" w:name="_Toc125127183"/>
      <w:r>
        <w:rPr>
          <w:rFonts w:hint="eastAsia" w:hAnsi="宋体" w:cs="宋体"/>
          <w:color w:val="000000" w:themeColor="text1"/>
          <w:kern w:val="0"/>
          <w:sz w:val="32"/>
          <w:szCs w:val="32"/>
          <w:highlight w:val="none"/>
          <w:lang w:val="en-US" w:eastAsia="zh-CN"/>
          <w14:textFill>
            <w14:solidFill>
              <w14:schemeClr w14:val="tx1"/>
            </w14:solidFill>
          </w14:textFill>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6" w:name="_Toc11274"/>
      <w:bookmarkStart w:id="27" w:name="_Toc16198"/>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十、办理流程</w:t>
      </w:r>
      <w:bookmarkEnd w:id="26"/>
      <w:bookmarkEnd w:id="27"/>
    </w:p>
    <w:p>
      <w:pPr>
        <w:bidi w:val="0"/>
        <w:spacing w:line="560" w:lineRule="exact"/>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pP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000000" w:themeColor="text1"/>
          <w:sz w:val="32"/>
          <w:szCs w:val="32"/>
          <w:highlight w:val="none"/>
          <w:lang w:bidi="ar"/>
          <w14:textFill>
            <w14:solidFill>
              <w14:schemeClr w14:val="tx1"/>
            </w14:solidFill>
          </w14:textFill>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28" w:name="_Toc3693"/>
      <w:bookmarkStart w:id="29" w:name="_Toc28790"/>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十一、办理时限</w:t>
      </w:r>
      <w:bookmarkEnd w:id="28"/>
      <w:bookmarkEnd w:id="29"/>
    </w:p>
    <w:p>
      <w:pPr>
        <w:bidi w:val="0"/>
        <w:spacing w:line="560" w:lineRule="exact"/>
        <w:rPr>
          <w:rFonts w:hint="default" w:eastAsia="仿宋_GB2312"/>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bookmarkStart w:id="30" w:name="_Toc32254"/>
      <w:bookmarkStart w:id="31" w:name="_Toc29872"/>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十二、证件及有效期</w:t>
      </w:r>
      <w:bookmarkEnd w:id="30"/>
      <w:bookmarkEnd w:id="31"/>
    </w:p>
    <w:p>
      <w:pPr>
        <w:bidi w:val="0"/>
        <w:spacing w:line="56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证件：无</w:t>
      </w:r>
    </w:p>
    <w:p>
      <w:pPr>
        <w:bidi w:val="0"/>
        <w:spacing w:line="56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2" w:name="_Toc19920"/>
      <w:bookmarkStart w:id="33" w:name="_Toc17239"/>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十三、证件的法律效力</w:t>
      </w:r>
      <w:bookmarkEnd w:id="32"/>
      <w:bookmarkEnd w:id="33"/>
    </w:p>
    <w:p>
      <w:pPr>
        <w:bidi w:val="0"/>
        <w:spacing w:line="56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4" w:name="_Toc6842"/>
      <w:bookmarkStart w:id="35" w:name="_Toc750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十四、收费</w:t>
      </w:r>
      <w:bookmarkEnd w:id="34"/>
      <w:bookmarkEnd w:id="35"/>
    </w:p>
    <w:p>
      <w:pPr>
        <w:bidi w:val="0"/>
        <w:spacing w:line="56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000000" w:themeColor="text1"/>
          <w:kern w:val="2"/>
          <w:sz w:val="32"/>
          <w:szCs w:val="32"/>
          <w:highlight w:val="none"/>
          <w:lang w:val="en-US" w:eastAsia="zh-CN" w:bidi="ar-SA"/>
          <w14:textFill>
            <w14:solidFill>
              <w14:schemeClr w14:val="tx1"/>
            </w14:solidFill>
          </w14:textFill>
        </w:rPr>
      </w:pPr>
      <w:bookmarkStart w:id="36" w:name="_Toc30145"/>
      <w:bookmarkStart w:id="37" w:name="_Toc30475"/>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十五、年审或年检</w:t>
      </w:r>
      <w:bookmarkEnd w:id="36"/>
      <w:bookmarkEnd w:id="37"/>
    </w:p>
    <w:p>
      <w:pPr>
        <w:bidi w:val="0"/>
        <w:spacing w:line="56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无</w:t>
      </w:r>
      <w:bookmarkStart w:id="38" w:name="_Toc20677"/>
      <w:bookmarkStart w:id="39" w:name="_Toc28762"/>
    </w:p>
    <w:p>
      <w:pPr>
        <w:bidi w:val="0"/>
        <w:spacing w:line="560" w:lineRule="exact"/>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pPr>
      <w:r>
        <w:rPr>
          <w:rFonts w:hint="eastAsia" w:ascii="黑体" w:hAnsi="黑体" w:eastAsia="黑体" w:cs="Times New Roman"/>
          <w:color w:val="000000" w:themeColor="text1"/>
          <w:kern w:val="2"/>
          <w:sz w:val="32"/>
          <w:szCs w:val="32"/>
          <w:highlight w:val="none"/>
          <w:lang w:val="en-US" w:eastAsia="zh-CN" w:bidi="ar-SA"/>
          <w14:textFill>
            <w14:solidFill>
              <w14:schemeClr w14:val="tx1"/>
            </w14:solidFill>
          </w14:textFill>
        </w:rPr>
        <w:t>十六、监督检查和补充说明</w:t>
      </w:r>
      <w:bookmarkEnd w:id="38"/>
      <w:bookmarkEnd w:id="39"/>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（一）申报单位应当按要求配合市、区两级商务部门和其他相关部门的监督检查，按要求做好项目资金管理、绩效评估等工作。</w:t>
      </w:r>
      <w:r>
        <w:rPr>
          <w:rFonts w:hint="eastAsia"/>
          <w:color w:val="000000"/>
          <w:highlight w:val="none"/>
          <w:lang w:val="en-US" w:eastAsia="zh-CN"/>
        </w:rPr>
        <w:t>申报指南未尽事宜或特殊情形，以发布机构负责解释为准。</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（二）申报单位存在以下情形之一的，应当按要求将已获得的部分或全部财政专项资金退回国库，并按照有关规定处理；涉嫌犯罪的，依法移送有关机关处理：</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1.申报单位未履行或未完全履行申报承诺并经查证属实的。</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2.申报单位不符合项目申报条件获得资助的。</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3.申报单位存在利用不正当手段套取、骗取、盗取专项资金的。</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4.审计、巡视、巡察等核查需要申报单位退回专项资金的。</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5.其他按照有关规定需要退回资金的。</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spacing w:line="560" w:lineRule="exact"/>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spacing w:line="560" w:lineRule="exact"/>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五</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受理单位</w:t>
      </w:r>
      <w:r>
        <w:rPr>
          <w:rFonts w:hint="eastAsia"/>
          <w:color w:val="000000" w:themeColor="text1"/>
          <w:highlight w:val="none"/>
          <w14:textFill>
            <w14:solidFill>
              <w14:schemeClr w14:val="tx1"/>
            </w14:solidFill>
          </w14:textFill>
        </w:rPr>
        <w:t>从未委托任何单位和个人为申报单位代理专项资金扶持计划项目申报事宜</w:t>
      </w:r>
      <w:r>
        <w:rPr>
          <w:color w:val="000000" w:themeColor="text1"/>
          <w:highlight w:val="none"/>
          <w14:textFill>
            <w14:solidFill>
              <w14:schemeClr w14:val="tx1"/>
            </w14:solidFill>
          </w14:textFill>
        </w:rPr>
        <w:t>，申报单位应</w:t>
      </w:r>
      <w:r>
        <w:rPr>
          <w:rFonts w:hint="eastAsia"/>
          <w:color w:val="000000" w:themeColor="text1"/>
          <w:highlight w:val="none"/>
          <w14:textFill>
            <w14:solidFill>
              <w14:schemeClr w14:val="tx1"/>
            </w14:solidFill>
          </w14:textFill>
        </w:rPr>
        <w:t>自主申报。我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严格按照有关</w:t>
      </w:r>
      <w:r>
        <w:rPr>
          <w:color w:val="000000" w:themeColor="text1"/>
          <w:highlight w:val="none"/>
          <w14:textFill>
            <w14:solidFill>
              <w14:schemeClr w14:val="tx1"/>
            </w14:solidFill>
          </w14:textFill>
        </w:rPr>
        <w:t>规定</w:t>
      </w:r>
      <w:r>
        <w:rPr>
          <w:rFonts w:hint="eastAsia"/>
          <w:color w:val="000000" w:themeColor="text1"/>
          <w:highlight w:val="none"/>
          <w14:textFill>
            <w14:solidFill>
              <w14:schemeClr w14:val="tx1"/>
            </w14:solidFill>
          </w14:textFill>
        </w:rPr>
        <w:t>和程序受理申请，不收取任何费用。如有任何中介机构和个人假借我</w:t>
      </w:r>
      <w:r>
        <w:rPr>
          <w:rFonts w:hint="eastAsia"/>
          <w:color w:val="000000" w:themeColor="text1"/>
          <w:highlight w:val="none"/>
          <w:lang w:eastAsia="zh-CN"/>
          <w14:textFill>
            <w14:solidFill>
              <w14:schemeClr w14:val="tx1"/>
            </w14:solidFill>
          </w14:textFill>
        </w:rPr>
        <w:t>单位</w:t>
      </w:r>
      <w:r>
        <w:rPr>
          <w:color w:val="000000" w:themeColor="text1"/>
          <w:highlight w:val="none"/>
          <w14:textFill>
            <w14:solidFill>
              <w14:schemeClr w14:val="tx1"/>
            </w14:solidFill>
          </w14:textFill>
        </w:rPr>
        <w:t>或</w:t>
      </w:r>
      <w:r>
        <w:rPr>
          <w:rFonts w:hint="eastAsia"/>
          <w:color w:val="000000" w:themeColor="text1"/>
          <w:highlight w:val="none"/>
          <w14:textFill>
            <w14:solidFill>
              <w14:schemeClr w14:val="tx1"/>
            </w14:solidFill>
          </w14:textFill>
        </w:rPr>
        <w:t>工作人员名义向申报单位收取费用的，请向我</w:t>
      </w:r>
      <w:r>
        <w:rPr>
          <w:rFonts w:hint="eastAsia"/>
          <w:color w:val="000000" w:themeColor="text1"/>
          <w:highlight w:val="none"/>
          <w:lang w:eastAsia="zh-CN"/>
          <w14:textFill>
            <w14:solidFill>
              <w14:schemeClr w14:val="tx1"/>
            </w14:solidFill>
          </w14:textFill>
        </w:rPr>
        <w:t>单位</w:t>
      </w:r>
      <w:r>
        <w:rPr>
          <w:rFonts w:hint="eastAsia"/>
          <w:color w:val="000000" w:themeColor="text1"/>
          <w:highlight w:val="none"/>
          <w14:textFill>
            <w14:solidFill>
              <w14:schemeClr w14:val="tx1"/>
            </w14:solidFill>
          </w14:textFill>
        </w:rPr>
        <w:t>举报</w:t>
      </w:r>
      <w:r>
        <w:rPr>
          <w:rFonts w:hint="eastAsia"/>
          <w:color w:val="000000" w:themeColor="text1"/>
          <w:highlight w:val="none"/>
          <w:lang w:val="en-US" w:eastAsia="zh-CN"/>
          <w14:textFill>
            <w14:solidFill>
              <w14:schemeClr w14:val="tx1"/>
            </w14:solidFill>
          </w14:textFill>
        </w:rPr>
        <w:t>。（</w:t>
      </w:r>
      <w:r>
        <w:rPr>
          <w:rFonts w:hint="eastAsia" w:ascii="仿宋_GB2312" w:hAnsi="仿宋_GB2312" w:eastAsia="仿宋_GB2312" w:cs="仿宋"/>
          <w:i w:val="0"/>
          <w:iCs w:val="0"/>
          <w:caps w:val="0"/>
          <w:color w:val="000000" w:themeColor="text1"/>
          <w:spacing w:val="0"/>
          <w:kern w:val="2"/>
          <w:sz w:val="32"/>
          <w:szCs w:val="22"/>
          <w:highlight w:val="none"/>
          <w:shd w:val="clear" w:fill="auto"/>
          <w:lang w:val="en-US" w:eastAsia="zh-CN" w:bidi="ar"/>
          <w14:textFill>
            <w14:solidFill>
              <w14:schemeClr w14:val="tx1"/>
            </w14:solidFill>
          </w14:textFill>
        </w:rPr>
        <w:t>0755-88159722</w:t>
      </w:r>
      <w:r>
        <w:rPr>
          <w:rFonts w:hint="eastAsia"/>
          <w:color w:val="000000" w:themeColor="text1"/>
          <w:highlight w:val="none"/>
          <w:lang w:val="en-US" w:eastAsia="zh-CN"/>
          <w14:textFill>
            <w14:solidFill>
              <w14:schemeClr w14:val="tx1"/>
            </w14:solidFill>
          </w14:textFill>
        </w:rPr>
        <w:t>）</w:t>
      </w:r>
    </w:p>
    <w:p>
      <w:pPr>
        <w:bidi w:val="0"/>
        <w:spacing w:line="560" w:lineRule="exact"/>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六</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申报单位在项目申报期间发生企业名称、联系信息变更的，应及时联系并提供变更材料，如因未及时变更产生的后果由企业自行承担。</w:t>
      </w:r>
    </w:p>
    <w:p>
      <w:pPr>
        <w:bidi w:val="0"/>
        <w:spacing w:line="560" w:lineRule="exact"/>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七</w:t>
      </w:r>
      <w:r>
        <w:rPr>
          <w:rFonts w:hint="eastAsia"/>
          <w:color w:val="000000" w:themeColor="text1"/>
          <w:highlight w:val="none"/>
          <w14:textFill>
            <w14:solidFill>
              <w14:schemeClr w14:val="tx1"/>
            </w14:solidFill>
          </w14:textFill>
        </w:rPr>
        <w:t>）资助拨款按照申请书银行账户信息办理。因</w:t>
      </w:r>
      <w:r>
        <w:rPr>
          <w:color w:val="000000" w:themeColor="text1"/>
          <w:highlight w:val="none"/>
          <w14:textFill>
            <w14:solidFill>
              <w14:schemeClr w14:val="tx1"/>
            </w14:solidFill>
          </w14:textFill>
        </w:rPr>
        <w:t>账户信息变更或企业填写错误等原因导致</w:t>
      </w:r>
      <w:r>
        <w:rPr>
          <w:rFonts w:hint="eastAsia"/>
          <w:color w:val="000000" w:themeColor="text1"/>
          <w:highlight w:val="none"/>
          <w:lang w:eastAsia="zh-CN"/>
          <w14:textFill>
            <w14:solidFill>
              <w14:schemeClr w14:val="tx1"/>
            </w14:solidFill>
          </w14:textFill>
        </w:rPr>
        <w:t>拨付</w:t>
      </w:r>
      <w:r>
        <w:rPr>
          <w:color w:val="000000" w:themeColor="text1"/>
          <w:highlight w:val="none"/>
          <w14:textFill>
            <w14:solidFill>
              <w14:schemeClr w14:val="tx1"/>
            </w14:solidFill>
          </w14:textFill>
        </w:rPr>
        <w:t>不成功的，</w:t>
      </w:r>
      <w:r>
        <w:rPr>
          <w:rFonts w:hint="eastAsia"/>
          <w:color w:val="000000" w:themeColor="text1"/>
          <w:highlight w:val="none"/>
          <w14:textFill>
            <w14:solidFill>
              <w14:schemeClr w14:val="tx1"/>
            </w14:solidFill>
          </w14:textFill>
        </w:rPr>
        <w:t>原则上予以办理一次拨款信息更改并再次拨付。</w:t>
      </w:r>
      <w:r>
        <w:rPr>
          <w:color w:val="000000" w:themeColor="text1"/>
          <w:highlight w:val="none"/>
          <w14:textFill>
            <w14:solidFill>
              <w14:schemeClr w14:val="tx1"/>
            </w14:solidFill>
          </w14:textFill>
        </w:rPr>
        <w:t>申报单位</w:t>
      </w:r>
      <w:r>
        <w:rPr>
          <w:rFonts w:hint="eastAsia"/>
          <w:color w:val="000000" w:themeColor="text1"/>
          <w:highlight w:val="none"/>
          <w14:textFill>
            <w14:solidFill>
              <w14:schemeClr w14:val="tx1"/>
            </w14:solidFill>
          </w14:textFill>
        </w:rPr>
        <w:t>应当按照要求办理资金拨款手续。</w:t>
      </w:r>
    </w:p>
    <w:p>
      <w:pPr>
        <w:bidi w:val="0"/>
        <w:spacing w:line="560" w:lineRule="exact"/>
        <w:rPr>
          <w:rFonts w:hint="eastAsia" w:eastAsia="仿宋_GB2312"/>
          <w:color w:val="000000" w:themeColor="text1"/>
          <w:highlight w:val="none"/>
          <w:lang w:eastAsia="zh-CN"/>
          <w14:textFill>
            <w14:solidFill>
              <w14:schemeClr w14:val="tx1"/>
            </w14:solidFill>
          </w14:textFill>
        </w:rPr>
      </w:pPr>
    </w:p>
    <w:bookmarkEnd w:id="22"/>
    <w:bookmarkEnd w:id="23"/>
    <w:bookmarkEnd w:id="24"/>
    <w:bookmarkEnd w:id="25"/>
    <w:p>
      <w:pPr>
        <w:pStyle w:val="17"/>
        <w:spacing w:line="560" w:lineRule="exact"/>
        <w:rPr>
          <w:rFonts w:hint="eastAsia" w:ascii="仿宋_GB2312" w:hAnsi="仿宋_GB2312"/>
          <w:color w:val="000000" w:themeColor="text1"/>
          <w:highlight w:val="none"/>
          <w:lang w:eastAsia="zh-CN"/>
          <w14:textFill>
            <w14:solidFill>
              <w14:schemeClr w14:val="tx1"/>
            </w14:solidFill>
          </w14:textFill>
        </w:rPr>
      </w:pPr>
      <w:r>
        <w:rPr>
          <w:rFonts w:hint="eastAsia" w:ascii="仿宋_GB2312" w:hAnsi="仿宋_GB2312"/>
          <w:color w:val="000000" w:themeColor="text1"/>
          <w:highlight w:val="none"/>
          <w:lang w:eastAsia="zh-CN"/>
          <w14:textFill>
            <w14:solidFill>
              <w14:schemeClr w14:val="tx1"/>
            </w14:solidFill>
          </w14:textFill>
        </w:rPr>
        <w:t>附录：名词解释</w:t>
      </w:r>
    </w:p>
    <w:p>
      <w:pPr>
        <w:rPr>
          <w:rFonts w:hint="eastAsia" w:ascii="仿宋_GB2312" w:hAnsi="仿宋_GB2312"/>
          <w:color w:val="000000" w:themeColor="text1"/>
          <w:highlight w:val="none"/>
          <w:lang w:eastAsia="zh-CN"/>
          <w14:textFill>
            <w14:solidFill>
              <w14:schemeClr w14:val="tx1"/>
            </w14:solidFill>
          </w14:textFill>
        </w:rPr>
      </w:pPr>
      <w:r>
        <w:rPr>
          <w:rFonts w:hint="eastAsia" w:ascii="仿宋_GB2312" w:hAnsi="仿宋_GB2312"/>
          <w:color w:val="000000" w:themeColor="text1"/>
          <w:highlight w:val="none"/>
          <w:lang w:eastAsia="zh-CN"/>
          <w14:textFill>
            <w14:solidFill>
              <w14:schemeClr w14:val="tx1"/>
            </w14:solidFill>
          </w14:textFill>
        </w:rPr>
        <w:br w:type="page"/>
      </w:r>
    </w:p>
    <w:p>
      <w:pPr>
        <w:pStyle w:val="17"/>
        <w:keepNext w:val="0"/>
        <w:keepLines w:val="0"/>
        <w:pageBreakBefore w:val="0"/>
        <w:widowControl w:val="0"/>
        <w:kinsoku/>
        <w:wordWrap/>
        <w:overflowPunct/>
        <w:topLinePunct w:val="0"/>
        <w:autoSpaceDE/>
        <w:autoSpaceDN/>
        <w:bidi w:val="0"/>
        <w:snapToGrid/>
        <w:spacing w:line="560" w:lineRule="exact"/>
        <w:ind w:firstLine="0" w:firstLineChars="0"/>
        <w:textAlignment w:val="auto"/>
        <w:rPr>
          <w:rFonts w:hint="eastAsia" w:ascii="仿宋_GB2312" w:hAnsi="仿宋_GB2312"/>
          <w:color w:val="000000" w:themeColor="text1"/>
          <w:highlight w:val="none"/>
          <w:lang w:eastAsia="zh-CN"/>
          <w14:textFill>
            <w14:solidFill>
              <w14:schemeClr w14:val="tx1"/>
            </w14:solidFill>
          </w14:textFill>
        </w:rPr>
      </w:pPr>
      <w:r>
        <w:rPr>
          <w:rFonts w:hint="eastAsia" w:ascii="黑体" w:hAnsi="黑体" w:eastAsia="黑体" w:cs="黑体"/>
          <w:color w:val="000000" w:themeColor="text1"/>
          <w:highlight w:val="none"/>
          <w:lang w:eastAsia="zh-CN"/>
          <w14:textFill>
            <w14:solidFill>
              <w14:schemeClr w14:val="tx1"/>
            </w14:solidFill>
          </w14:textFill>
        </w:rPr>
        <w:t>附录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一、专业展馆：</w:t>
      </w:r>
      <w:r>
        <w:rPr>
          <w:rFonts w:hint="eastAsia" w:ascii="仿宋_GB2312" w:hAnsi="仿宋_GB2312" w:eastAsia="仿宋_GB2312" w:cs="仿宋_GB2312"/>
          <w:b w:val="0"/>
          <w:bCs w:val="0"/>
          <w:color w:val="auto"/>
          <w:sz w:val="32"/>
          <w:szCs w:val="32"/>
          <w:highlight w:val="none"/>
          <w:lang w:val="en-US" w:eastAsia="zh-CN"/>
        </w:rPr>
        <w:t>指</w:t>
      </w:r>
      <w:r>
        <w:rPr>
          <w:rFonts w:hint="eastAsia" w:ascii="仿宋_GB2312" w:hAnsi="仿宋_GB2312" w:eastAsia="仿宋_GB2312" w:cs="仿宋_GB2312"/>
          <w:color w:val="auto"/>
          <w:sz w:val="32"/>
          <w:szCs w:val="32"/>
          <w:highlight w:val="none"/>
          <w:lang w:val="en-US" w:eastAsia="zh-CN"/>
        </w:rPr>
        <w:t>以举办展览活动为主要功能（以规划部门的批准文件为准），以为展会提供场地等服务作为主营业务的永久性建筑物，其名称可以是会展中心、展览中心、博览中心等，室内展览总面积不低于1万平方米（以规划部门的批准文件为准）。</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Fonts w:hint="eastAsia" w:ascii="仿宋_GB2312" w:hAnsi="仿宋_GB2312" w:eastAsia="仿宋_GB2312" w:cs="仿宋_GB2312"/>
          <w:b/>
          <w:bCs/>
          <w:color w:val="auto"/>
          <w:sz w:val="32"/>
          <w:szCs w:val="32"/>
          <w:highlight w:val="none"/>
          <w:lang w:val="en-US" w:eastAsia="zh-CN"/>
        </w:rPr>
      </w:pPr>
      <w:r>
        <w:rPr>
          <w:rFonts w:hint="eastAsia" w:cs="仿宋_GB2312"/>
          <w:b/>
          <w:bCs/>
          <w:color w:val="auto"/>
          <w:sz w:val="32"/>
          <w:szCs w:val="32"/>
          <w:highlight w:val="none"/>
          <w:lang w:val="en-US" w:eastAsia="zh-CN"/>
        </w:rPr>
        <w:t>二</w:t>
      </w:r>
      <w:r>
        <w:rPr>
          <w:rFonts w:hint="eastAsia" w:ascii="仿宋_GB2312" w:hAnsi="仿宋_GB2312" w:eastAsia="仿宋_GB2312" w:cs="仿宋_GB2312"/>
          <w:b/>
          <w:bCs/>
          <w:color w:val="auto"/>
          <w:sz w:val="32"/>
          <w:szCs w:val="32"/>
          <w:highlight w:val="none"/>
          <w:lang w:val="en-US" w:eastAsia="zh-CN"/>
        </w:rPr>
        <w:t>、</w:t>
      </w:r>
      <w:r>
        <w:rPr>
          <w:rStyle w:val="19"/>
          <w:rFonts w:hint="eastAsia" w:ascii="仿宋_GB2312" w:hAnsi="仿宋_GB2312" w:eastAsia="仿宋_GB2312" w:cs="仿宋_GB2312"/>
          <w:b/>
          <w:bCs/>
          <w:color w:val="auto"/>
          <w:sz w:val="32"/>
          <w:szCs w:val="32"/>
          <w:highlight w:val="none"/>
          <w:lang w:val="en-US" w:eastAsia="zh-CN"/>
        </w:rPr>
        <w:t>市内首展：</w:t>
      </w:r>
      <w:r>
        <w:rPr>
          <w:rStyle w:val="19"/>
          <w:rFonts w:hint="eastAsia" w:ascii="仿宋_GB2312" w:hAnsi="仿宋_GB2312" w:eastAsia="仿宋_GB2312" w:cs="仿宋_GB2312"/>
          <w:b w:val="0"/>
          <w:bCs w:val="0"/>
          <w:color w:val="auto"/>
          <w:sz w:val="32"/>
          <w:szCs w:val="32"/>
          <w:highlight w:val="none"/>
          <w:lang w:val="en-US" w:eastAsia="zh-CN"/>
        </w:rPr>
        <w:t>指</w:t>
      </w:r>
      <w:r>
        <w:rPr>
          <w:rFonts w:hint="eastAsia" w:ascii="仿宋_GB2312" w:hAnsi="仿宋_GB2312" w:eastAsia="仿宋_GB2312" w:cs="仿宋_GB2312"/>
          <w:color w:val="auto"/>
          <w:sz w:val="32"/>
          <w:szCs w:val="32"/>
          <w:highlight w:val="none"/>
          <w:lang w:val="en-US" w:eastAsia="zh-CN"/>
        </w:rPr>
        <w:t>未在深圳市举办过且展览面积5000平方米（含）以上的展会。</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pPr>
        <w:pStyle w:val="17"/>
        <w:rPr>
          <w:rFonts w:hint="eastAsia" w:ascii="仿宋_GB2312" w:hAnsi="仿宋_GB2312"/>
          <w:color w:val="000000" w:themeColor="text1"/>
          <w:highlight w:val="none"/>
          <w:lang w:eastAsia="zh-CN"/>
          <w14:textFill>
            <w14:solidFill>
              <w14:schemeClr w14:val="tx1"/>
            </w14:solidFill>
          </w14:textFill>
        </w:rPr>
      </w:pPr>
    </w:p>
    <w:sectPr>
      <w:footerReference r:id="rId5" w:type="default"/>
      <w:pgSz w:w="11906" w:h="16838"/>
      <w:pgMar w:top="2098" w:right="1474" w:bottom="1984" w:left="158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1"/>
    <w:family w:val="swiss"/>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2"/>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1D5640"/>
    <w:rsid w:val="02803A46"/>
    <w:rsid w:val="02CB1CF7"/>
    <w:rsid w:val="02DA63DE"/>
    <w:rsid w:val="02E93786"/>
    <w:rsid w:val="032C6A46"/>
    <w:rsid w:val="070F7027"/>
    <w:rsid w:val="07EF187B"/>
    <w:rsid w:val="08D07A1E"/>
    <w:rsid w:val="0A2D6324"/>
    <w:rsid w:val="0A6C5760"/>
    <w:rsid w:val="0A862EC4"/>
    <w:rsid w:val="0B35692F"/>
    <w:rsid w:val="0B4456D1"/>
    <w:rsid w:val="0BE1742C"/>
    <w:rsid w:val="0C633A76"/>
    <w:rsid w:val="0D1F0CED"/>
    <w:rsid w:val="0F95719B"/>
    <w:rsid w:val="0FE131A1"/>
    <w:rsid w:val="10BF0BFF"/>
    <w:rsid w:val="11A73770"/>
    <w:rsid w:val="124226AB"/>
    <w:rsid w:val="126D73E5"/>
    <w:rsid w:val="13460D42"/>
    <w:rsid w:val="13A40095"/>
    <w:rsid w:val="13CC3246"/>
    <w:rsid w:val="14053C83"/>
    <w:rsid w:val="163D2AB4"/>
    <w:rsid w:val="168D7437"/>
    <w:rsid w:val="17111F73"/>
    <w:rsid w:val="172A2DF8"/>
    <w:rsid w:val="17B005EC"/>
    <w:rsid w:val="17E5DB6A"/>
    <w:rsid w:val="185533C0"/>
    <w:rsid w:val="187E0EC3"/>
    <w:rsid w:val="18AB1F57"/>
    <w:rsid w:val="18E1003E"/>
    <w:rsid w:val="190653E0"/>
    <w:rsid w:val="197B53D3"/>
    <w:rsid w:val="1C210334"/>
    <w:rsid w:val="1C964CCC"/>
    <w:rsid w:val="1CFC17D2"/>
    <w:rsid w:val="1FCD8FDD"/>
    <w:rsid w:val="205A510F"/>
    <w:rsid w:val="21127D99"/>
    <w:rsid w:val="222701FE"/>
    <w:rsid w:val="22C22819"/>
    <w:rsid w:val="246A3FA3"/>
    <w:rsid w:val="26E72CF4"/>
    <w:rsid w:val="2976170C"/>
    <w:rsid w:val="2A104310"/>
    <w:rsid w:val="2A4B3E74"/>
    <w:rsid w:val="2BA068F1"/>
    <w:rsid w:val="2C2A1457"/>
    <w:rsid w:val="2CAE0A32"/>
    <w:rsid w:val="2FFC0AFB"/>
    <w:rsid w:val="302C0287"/>
    <w:rsid w:val="31A36B4A"/>
    <w:rsid w:val="31A95387"/>
    <w:rsid w:val="31B31F93"/>
    <w:rsid w:val="321653A8"/>
    <w:rsid w:val="329C19A3"/>
    <w:rsid w:val="32F52701"/>
    <w:rsid w:val="34143ABB"/>
    <w:rsid w:val="341A4C22"/>
    <w:rsid w:val="347B2CCE"/>
    <w:rsid w:val="35887E0C"/>
    <w:rsid w:val="363C0287"/>
    <w:rsid w:val="3654545B"/>
    <w:rsid w:val="36565190"/>
    <w:rsid w:val="366C2500"/>
    <w:rsid w:val="382C7B34"/>
    <w:rsid w:val="387303F9"/>
    <w:rsid w:val="39162FC5"/>
    <w:rsid w:val="3B012D77"/>
    <w:rsid w:val="3B0E3D0E"/>
    <w:rsid w:val="3BFC17F2"/>
    <w:rsid w:val="3CFD6976"/>
    <w:rsid w:val="3D5D42F6"/>
    <w:rsid w:val="3DB808BA"/>
    <w:rsid w:val="3E33266E"/>
    <w:rsid w:val="3EC7AC3A"/>
    <w:rsid w:val="3EFF90AE"/>
    <w:rsid w:val="3FBFD3B8"/>
    <w:rsid w:val="3FFEF34F"/>
    <w:rsid w:val="418D6C3A"/>
    <w:rsid w:val="423806ED"/>
    <w:rsid w:val="428230B1"/>
    <w:rsid w:val="437A5877"/>
    <w:rsid w:val="43BB3CEC"/>
    <w:rsid w:val="44A91A1A"/>
    <w:rsid w:val="44D052C5"/>
    <w:rsid w:val="46AE1F3D"/>
    <w:rsid w:val="46EB3B02"/>
    <w:rsid w:val="473C23B2"/>
    <w:rsid w:val="47781E40"/>
    <w:rsid w:val="48541414"/>
    <w:rsid w:val="4900762E"/>
    <w:rsid w:val="4A6B0082"/>
    <w:rsid w:val="4AB56AE2"/>
    <w:rsid w:val="4AF7BE3D"/>
    <w:rsid w:val="4B6E7935"/>
    <w:rsid w:val="4DC7C93A"/>
    <w:rsid w:val="4E7E74BD"/>
    <w:rsid w:val="4E817A3F"/>
    <w:rsid w:val="4F197492"/>
    <w:rsid w:val="4FC2745B"/>
    <w:rsid w:val="4FEF3C4E"/>
    <w:rsid w:val="509A0D5C"/>
    <w:rsid w:val="52252BFC"/>
    <w:rsid w:val="53295096"/>
    <w:rsid w:val="54D07401"/>
    <w:rsid w:val="54E753F5"/>
    <w:rsid w:val="55145A25"/>
    <w:rsid w:val="563F7F48"/>
    <w:rsid w:val="5779221D"/>
    <w:rsid w:val="578F73D0"/>
    <w:rsid w:val="578F7B53"/>
    <w:rsid w:val="57FC69CC"/>
    <w:rsid w:val="589B5008"/>
    <w:rsid w:val="58A326D8"/>
    <w:rsid w:val="59466376"/>
    <w:rsid w:val="5B90691A"/>
    <w:rsid w:val="5BF51433"/>
    <w:rsid w:val="5C735EB5"/>
    <w:rsid w:val="5D3F321F"/>
    <w:rsid w:val="5D77A5D3"/>
    <w:rsid w:val="5FFF8D5C"/>
    <w:rsid w:val="602F799C"/>
    <w:rsid w:val="623151CA"/>
    <w:rsid w:val="63677391"/>
    <w:rsid w:val="64DB7056"/>
    <w:rsid w:val="66982F4F"/>
    <w:rsid w:val="6888651F"/>
    <w:rsid w:val="6894168D"/>
    <w:rsid w:val="691F2F3A"/>
    <w:rsid w:val="695C7769"/>
    <w:rsid w:val="69B52798"/>
    <w:rsid w:val="6A7451AD"/>
    <w:rsid w:val="6AC14C27"/>
    <w:rsid w:val="6B225C48"/>
    <w:rsid w:val="6BC41409"/>
    <w:rsid w:val="6C030E4B"/>
    <w:rsid w:val="6C5C62E3"/>
    <w:rsid w:val="6CAB30BC"/>
    <w:rsid w:val="6CED51AD"/>
    <w:rsid w:val="6FCC3E6E"/>
    <w:rsid w:val="6FEFB7EB"/>
    <w:rsid w:val="72694444"/>
    <w:rsid w:val="727264B2"/>
    <w:rsid w:val="73A0155B"/>
    <w:rsid w:val="73F14C65"/>
    <w:rsid w:val="74783646"/>
    <w:rsid w:val="75FF4687"/>
    <w:rsid w:val="7625601A"/>
    <w:rsid w:val="77BF249E"/>
    <w:rsid w:val="77DDA2EB"/>
    <w:rsid w:val="77DFBEEA"/>
    <w:rsid w:val="78D33F7B"/>
    <w:rsid w:val="7903BF51"/>
    <w:rsid w:val="79592CF6"/>
    <w:rsid w:val="797DE034"/>
    <w:rsid w:val="79DC2F35"/>
    <w:rsid w:val="79E5D5B5"/>
    <w:rsid w:val="7B57C040"/>
    <w:rsid w:val="7C1A6A34"/>
    <w:rsid w:val="7CBE4AD3"/>
    <w:rsid w:val="7CF50474"/>
    <w:rsid w:val="7D1C7CE5"/>
    <w:rsid w:val="7D79963A"/>
    <w:rsid w:val="7DC7B158"/>
    <w:rsid w:val="7EC97091"/>
    <w:rsid w:val="7F363046"/>
    <w:rsid w:val="7FBF2427"/>
    <w:rsid w:val="7FDD96AB"/>
    <w:rsid w:val="7FDF003E"/>
    <w:rsid w:val="7FF78EE0"/>
    <w:rsid w:val="7FF8294A"/>
    <w:rsid w:val="7FFE6D5A"/>
    <w:rsid w:val="8EFFBC18"/>
    <w:rsid w:val="986F9EFE"/>
    <w:rsid w:val="AFFF71BB"/>
    <w:rsid w:val="B6AF2DAA"/>
    <w:rsid w:val="B7FB40D9"/>
    <w:rsid w:val="BE7EC658"/>
    <w:rsid w:val="BFF0E9AE"/>
    <w:rsid w:val="CBFFA6F5"/>
    <w:rsid w:val="CEDF2B57"/>
    <w:rsid w:val="CFDD5623"/>
    <w:rsid w:val="CFFC7679"/>
    <w:rsid w:val="D7B4526A"/>
    <w:rsid w:val="D83FFE99"/>
    <w:rsid w:val="D9B7FBAA"/>
    <w:rsid w:val="D9FBAD09"/>
    <w:rsid w:val="DB1F9788"/>
    <w:rsid w:val="DE6F3668"/>
    <w:rsid w:val="EBBDD1E6"/>
    <w:rsid w:val="EEBC3D25"/>
    <w:rsid w:val="EF7F1DE0"/>
    <w:rsid w:val="F5F530BC"/>
    <w:rsid w:val="F5FAFAEA"/>
    <w:rsid w:val="F75DF6AA"/>
    <w:rsid w:val="F7FFBCB5"/>
    <w:rsid w:val="FBFF1C65"/>
    <w:rsid w:val="FDFFCB38"/>
    <w:rsid w:val="FF4FF6CB"/>
    <w:rsid w:val="FFE90779"/>
    <w:rsid w:val="FFFBA92B"/>
    <w:rsid w:val="FFFBF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5642</Words>
  <Characters>5865</Characters>
  <Lines>0</Lines>
  <Paragraphs>0</Paragraphs>
  <TotalTime>1</TotalTime>
  <ScaleCrop>false</ScaleCrop>
  <LinksUpToDate>false</LinksUpToDate>
  <CharactersWithSpaces>5873</CharactersWithSpaces>
  <Application>WPS Office_11.8.2.11806_F1E327BC-269C-435d-A152-05C5408002CA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2025-07-12T18:47:00Z</dcterms:created>
  <dc:creator>黄佩琳</dc:creator>
  <cp:lastModifiedBy>黎恩</cp:lastModifiedBy>
  <cp:lastPrinted>2026-03-22T22:46:00Z</cp:lastPrinted>
  <dcterms:modified xsi:type="dcterms:W3CDTF">2026-06-25T17:08:43Z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2052-11.8.2.11806</vt:lpwstr>
  </property>
  <property fmtid="{D5CDD505-2E9C-101B-9397-08002B2CF9AE}" pid="3" name="ICV">
    <vt:lpwstr>F4D1E0886D714F40B261178C1120CCB8_13</vt:lpwstr>
  </property>
  <property fmtid="{D5CDD505-2E9C-101B-9397-08002B2CF9AE}" pid="4" name="KSOTemplateDocerSaveRecord">
    <vt:lpwstr>eyJoZGlkIjoiY2NiNzc0ZWE4MzBjY2JmMGYyMmY4NjkxNmNhZGJlNDUiLCJ1c2VySWQiOiI4NzUyMjIyNTQifQ==</vt:lpwstr>
  </property>
</Properties>
</file>