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bookmarkStart w:id="0" w:name="_Toc32562"/>
      <w:bookmarkStart w:id="1" w:name="_Toc5810"/>
      <w:bookmarkStart w:id="2" w:name="_Toc125127182"/>
      <w:bookmarkStart w:id="3" w:name="_Toc13216"/>
      <w:r>
        <w:rPr>
          <w:rFonts w:hint="eastAsia" w:ascii="黑体" w:hAnsi="黑体" w:eastAsia="黑体" w:cs="黑体"/>
          <w:color w:val="auto"/>
          <w:sz w:val="32"/>
          <w:szCs w:val="32"/>
          <w:highlight w:val="none"/>
          <w:lang w:val="en-US" w:eastAsia="zh-CN"/>
        </w:rPr>
        <w:t>附件1</w:t>
      </w:r>
      <w:r>
        <w:rPr>
          <w:rFonts w:hint="default" w:ascii="黑体" w:hAnsi="黑体" w:eastAsia="黑体" w:cs="黑体"/>
          <w:color w:val="auto"/>
          <w:sz w:val="32"/>
          <w:szCs w:val="32"/>
          <w:highlight w:val="none"/>
          <w:lang w:val="en-US" w:eastAsia="zh-CN"/>
        </w:rPr>
        <w:t>1</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深圳市2026年中央资金消费新业态新模式新场景试点（支持优质消费资源与知名IP跨界</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联名—优质消费资源与知名IP跨界联合单体场景资助项目）申报指南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0798"/>
      <w:bookmarkStart w:id="5"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支持具备影响力和粉丝基础的IP（包含影视、游戏、动漫、国潮文化等）与消费场景深度融合，通过场景搭建、业态创新和互动设计，打造具有一定规模、影响力</w:t>
      </w:r>
      <w:r>
        <w:rPr>
          <w:rFonts w:hint="eastAsia"/>
          <w:color w:val="auto"/>
          <w:highlight w:val="none"/>
          <w:lang w:val="en-US" w:eastAsia="zh-CN"/>
        </w:rPr>
        <w:t>，</w:t>
      </w:r>
      <w:bookmarkStart w:id="40" w:name="_GoBack"/>
      <w:bookmarkEnd w:id="40"/>
      <w:r>
        <w:rPr>
          <w:rFonts w:hint="eastAsia" w:ascii="仿宋_GB2312" w:eastAsia="仿宋_GB2312"/>
          <w:color w:val="auto"/>
          <w:highlight w:val="none"/>
          <w:lang w:val="en-US" w:eastAsia="zh-CN"/>
        </w:rPr>
        <w:t>兼具情感共鸣与沉浸式体验的新型消费空间。</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18411"/>
      <w:bookmarkStart w:id="9"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申报项目应符合以下类型之一：</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1.支持新开设IP主题文化消费店铺</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（1）申报项目以IP主题衍生品销售、IP文化体验等为核心业务；</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（2）拥有自主知识产权或正规授权、IP衍生品产品类型不少于3类；</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（3）月均提供服务次数不低于1000次（统计周期为2025年9月30日至申报受理前一个月月末；月均值按该期间实际运营数据计算，不足一个月的部分，按日均值折算为月均值）。</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2.支持新开设IP焕新体验空间</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lang w:val="en-US" w:eastAsia="zh-CN"/>
        </w:rPr>
      </w:pPr>
      <w:r>
        <w:rPr>
          <w:rFonts w:hint="eastAsia"/>
          <w:color w:val="auto"/>
          <w:highlight w:val="none"/>
          <w:lang w:val="en-US" w:eastAsia="zh-CN"/>
        </w:rPr>
        <w:t>（1）</w:t>
      </w:r>
      <w:r>
        <w:rPr>
          <w:rFonts w:hint="eastAsia"/>
          <w:color w:val="auto"/>
          <w:lang w:val="en-US" w:eastAsia="zh-CN"/>
        </w:rPr>
        <w:t>申报</w:t>
      </w:r>
      <w:r>
        <w:rPr>
          <w:rFonts w:hint="eastAsia"/>
          <w:color w:val="auto"/>
          <w:lang w:eastAsia="zh-CN"/>
        </w:rPr>
        <w:t>项目</w:t>
      </w:r>
      <w:r>
        <w:rPr>
          <w:rFonts w:hint="eastAsia"/>
          <w:color w:val="auto"/>
          <w:lang w:val="en-US" w:eastAsia="zh-CN"/>
        </w:rPr>
        <w:t>须对现有商业空间进行跨界联名、主题升级、内容共创等IP化改造与内容焕新，成功打造兼具情感共鸣与沉浸式体验的新型消费场景；</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lang w:val="en-US" w:eastAsia="zh-CN"/>
        </w:rPr>
      </w:pPr>
      <w:r>
        <w:rPr>
          <w:rFonts w:hint="eastAsia"/>
          <w:color w:val="auto"/>
          <w:lang w:val="en-US" w:eastAsia="zh-CN"/>
        </w:rPr>
        <w:t>（2）场景主题明确，拥有自主知识产权或正规授权。</w:t>
      </w:r>
    </w:p>
    <w:p>
      <w:pPr>
        <w:pStyle w:val="36"/>
        <w:keepNext w:val="0"/>
        <w:keepLines w:val="0"/>
        <w:pageBreakBefore w:val="0"/>
        <w:widowControl w:val="0"/>
        <w:kinsoku/>
        <w:wordWrap/>
        <w:overflowPunct/>
        <w:topLinePunct w:val="0"/>
        <w:autoSpaceDE/>
        <w:autoSpaceDN/>
        <w:bidi w:val="0"/>
        <w:adjustRightInd/>
        <w:snapToGrid/>
        <w:spacing w:before="0" w:after="0"/>
        <w:ind w:firstLine="640"/>
        <w:textAlignment w:val="auto"/>
        <w:rPr>
          <w:rFonts w:hint="eastAsia"/>
          <w:color w:val="auto"/>
          <w:highlight w:val="none"/>
          <w:lang w:val="en-US" w:eastAsia="zh-CN"/>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w:t>
      </w:r>
      <w:r>
        <w:rPr>
          <w:rStyle w:val="19"/>
          <w:rFonts w:hint="eastAsia" w:cs="仿宋_GB2312"/>
          <w:color w:val="auto"/>
          <w:sz w:val="32"/>
          <w:szCs w:val="32"/>
          <w:highlight w:val="none"/>
          <w:lang w:val="en-US" w:eastAsia="zh-CN"/>
        </w:rPr>
        <w:t>需</w:t>
      </w:r>
      <w:r>
        <w:rPr>
          <w:rStyle w:val="19"/>
          <w:rFonts w:hint="eastAsia" w:ascii="仿宋_GB2312" w:hAnsi="仿宋_GB2312" w:cs="仿宋_GB2312"/>
          <w:color w:val="auto"/>
          <w:sz w:val="32"/>
          <w:szCs w:val="32"/>
          <w:highlight w:val="none"/>
          <w:lang w:val="en-US" w:eastAsia="zh-CN"/>
        </w:rPr>
        <w:t>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31102"/>
      <w:bookmarkStart w:id="13"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color w:val="auto"/>
          <w:highlight w:val="none"/>
          <w:lang w:val="en-US" w:eastAsia="zh-CN"/>
        </w:rPr>
      </w:pPr>
      <w:r>
        <w:rPr>
          <w:rFonts w:hint="eastAsia"/>
          <w:color w:val="auto"/>
          <w:highlight w:val="none"/>
          <w:lang w:val="en-US" w:eastAsia="zh-CN"/>
        </w:rPr>
        <w:t>（一）支持新开设IP主题文化消费店铺，按项目相关的实际有效投入的20%给予资助，试点期间最高不超过100万元。</w:t>
      </w:r>
    </w:p>
    <w:p>
      <w:pPr>
        <w:bidi w:val="0"/>
        <w:rPr>
          <w:rFonts w:hint="eastAsia" w:ascii="仿宋_GB2312" w:eastAsia="仿宋_GB2312"/>
          <w:color w:val="auto"/>
          <w:highlight w:val="none"/>
          <w:lang w:val="en-US" w:eastAsia="zh-CN"/>
        </w:rPr>
      </w:pPr>
      <w:r>
        <w:rPr>
          <w:rFonts w:hint="eastAsia"/>
          <w:color w:val="auto"/>
          <w:highlight w:val="none"/>
          <w:lang w:val="en-US" w:eastAsia="zh-CN"/>
        </w:rPr>
        <w:t>（二）支持新开设IP焕新体验空间，按项目相关的实际有效投入的20%给予资助，试点期间最高不超过100万元</w:t>
      </w:r>
      <w:r>
        <w:rPr>
          <w:rFonts w:hint="eastAsia" w:ascii="仿宋_GB2312" w:eastAsia="仿宋_GB2312"/>
          <w:color w:val="auto"/>
          <w:highlight w:val="none"/>
          <w:lang w:val="en-US" w:eastAsia="zh-CN"/>
        </w:rPr>
        <w:t>。</w:t>
      </w:r>
    </w:p>
    <w:p>
      <w:pPr>
        <w:tabs>
          <w:tab w:val="center" w:pos="4153"/>
          <w:tab w:val="right" w:pos="8306"/>
        </w:tabs>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w:t>
      </w:r>
      <w:r>
        <w:rPr>
          <w:rStyle w:val="19"/>
          <w:rFonts w:hint="eastAsia"/>
          <w:color w:val="auto"/>
          <w:sz w:val="32"/>
          <w:szCs w:val="32"/>
          <w:highlight w:val="none"/>
          <w:lang w:val="en-US" w:eastAsia="zh-CN"/>
        </w:rPr>
        <w:t>IP单体场景</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27028"/>
      <w:bookmarkStart w:id="15" w:name="_Toc7147"/>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spacing w:line="560" w:lineRule="exact"/>
        <w:rPr>
          <w:rFonts w:hint="default" w:ascii="楷体" w:hAnsi="楷体" w:eastAsia="楷体_GB2312" w:cs="Times New Roman"/>
          <w:bCs/>
          <w:color w:val="auto"/>
          <w:kern w:val="2"/>
          <w:szCs w:val="32"/>
          <w:highlight w:val="none"/>
          <w:lang w:val="en-US" w:eastAsia="zh-CN" w:bidi="ar-SA"/>
        </w:rPr>
      </w:pPr>
      <w:r>
        <w:rPr>
          <w:rFonts w:hint="eastAsia"/>
          <w:color w:val="000000" w:themeColor="text1"/>
          <w:highlight w:val="none"/>
          <w:lang w:val="en-US" w:eastAsia="zh-CN"/>
          <w14:textFill>
            <w14:solidFill>
              <w14:schemeClr w14:val="tx1"/>
            </w14:solidFill>
          </w14:textFill>
        </w:rPr>
        <w:t>请各项目申报单位</w:t>
      </w:r>
      <w:r>
        <w:rPr>
          <w:rFonts w:hint="eastAsia"/>
          <w:color w:val="auto"/>
          <w:highlight w:val="none"/>
          <w:lang w:val="en-US" w:eastAsia="zh-CN"/>
        </w:rPr>
        <w:t>于线上</w:t>
      </w:r>
      <w:r>
        <w:rPr>
          <w:rFonts w:hint="eastAsia"/>
          <w:color w:val="000000" w:themeColor="text1"/>
          <w:highlight w:val="none"/>
          <w:lang w:val="en-US" w:eastAsia="zh-CN"/>
          <w14:textFill>
            <w14:solidFill>
              <w14:schemeClr w14:val="tx1"/>
            </w14:solidFill>
          </w14:textFill>
        </w:rPr>
        <w:t>填写并提交《项目申报书》，</w:t>
      </w:r>
      <w:r>
        <w:rPr>
          <w:rFonts w:hint="eastAsia"/>
          <w:color w:val="auto"/>
          <w:highlight w:val="none"/>
          <w:lang w:val="en-US" w:eastAsia="zh-CN"/>
        </w:rPr>
        <w:t>网址：https://www.gdzwfw.gov.cn/（广东政务服务网），搜索“消费新业态新场景新模式试点”——选择深圳-大鹏新区后，按照相关事项提示流程和要求进行线上申报（特别提醒该事项办理需申报主体以法人账号登录提交，不接受个人账号提交），并按办理指南提交相关材料（包括但不限于）如下：</w:t>
      </w:r>
    </w:p>
    <w:p>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w:t>
      </w:r>
      <w:r>
        <w:rPr>
          <w:rFonts w:hint="eastAsia"/>
          <w:color w:val="auto"/>
          <w:highlight w:val="none"/>
          <w:lang w:val="en-US" w:eastAsia="zh-CN"/>
        </w:rPr>
        <w:t>递交（大鹏新区政务服务中心综合窗口）</w:t>
      </w:r>
      <w:r>
        <w:rPr>
          <w:rFonts w:hint="default"/>
          <w:color w:val="auto"/>
          <w:highlight w:val="none"/>
          <w:lang w:val="en-US" w:eastAsia="zh-CN"/>
        </w:rPr>
        <w:t>，线下</w:t>
      </w:r>
      <w:r>
        <w:rPr>
          <w:rFonts w:hint="eastAsia"/>
          <w:color w:val="auto"/>
          <w:highlight w:val="none"/>
          <w:lang w:val="en-US" w:eastAsia="zh-CN"/>
        </w:rPr>
        <w:t>材料递交地址：</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深圳市大鹏新区葵涌街道金业大道140号生命科学产业园B13栋大鹏新区政务服务中心一楼综合窗口</w:t>
      </w:r>
      <w:r>
        <w:rPr>
          <w:rFonts w:hint="default"/>
          <w:color w:val="auto"/>
          <w:highlight w:val="none"/>
          <w:lang w:val="en-US" w:eastAsia="zh-CN"/>
        </w:rPr>
        <w:t>。</w:t>
      </w:r>
      <w:r>
        <w:rPr>
          <w:rFonts w:hint="eastAsia"/>
          <w:color w:val="auto"/>
          <w:highlight w:val="none"/>
          <w:lang w:val="en-US" w:eastAsia="zh-CN"/>
        </w:rPr>
        <w:t>办公电</w:t>
      </w:r>
      <w:r>
        <w:rPr>
          <w:rFonts w:hint="default"/>
          <w:color w:val="auto"/>
          <w:highlight w:val="none"/>
          <w:lang w:val="en-US" w:eastAsia="zh-CN" w:bidi="ar"/>
        </w:rPr>
        <w:t>话：</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0755-28333100</w:t>
      </w:r>
      <w:r>
        <w:rPr>
          <w:rFonts w:hint="default"/>
          <w:color w:val="auto"/>
          <w:highlight w:val="none"/>
          <w:lang w:val="en-US" w:eastAsia="zh-CN" w:bidi="ar"/>
        </w:rPr>
        <w:t>。服</w:t>
      </w:r>
      <w:r>
        <w:rPr>
          <w:rFonts w:hint="eastAsia"/>
          <w:color w:val="auto"/>
          <w:highlight w:val="none"/>
          <w:lang w:val="en-US" w:eastAsia="zh-CN"/>
        </w:rPr>
        <w:t>务时间：</w:t>
      </w:r>
      <w:r>
        <w:rPr>
          <w:rFonts w:hint="default"/>
          <w:color w:val="auto"/>
          <w:highlight w:val="none"/>
          <w:lang w:val="en-US" w:eastAsia="zh-CN"/>
        </w:rPr>
        <w:t>周一至周五9:00-17:</w:t>
      </w:r>
      <w:r>
        <w:rPr>
          <w:rFonts w:hint="eastAsia"/>
          <w:color w:val="auto"/>
          <w:highlight w:val="none"/>
          <w:lang w:val="en-US" w:eastAsia="zh-CN"/>
        </w:rPr>
        <w:t>3</w:t>
      </w:r>
      <w:r>
        <w:rPr>
          <w:rFonts w:hint="default"/>
          <w:color w:val="auto"/>
          <w:highlight w:val="none"/>
          <w:lang w:val="en-US" w:eastAsia="zh-CN"/>
        </w:rPr>
        <w:t>0</w:t>
      </w:r>
      <w:r>
        <w:rPr>
          <w:rFonts w:hint="eastAsia"/>
          <w:color w:val="auto"/>
          <w:highlight w:val="none"/>
          <w:lang w:val="en-US" w:eastAsia="zh-CN"/>
        </w:rPr>
        <w:t>，</w:t>
      </w:r>
      <w:r>
        <w:rPr>
          <w:rFonts w:hint="default"/>
          <w:color w:val="auto"/>
          <w:highlight w:val="none"/>
          <w:lang w:val="en-US" w:eastAsia="zh-CN"/>
        </w:rPr>
        <w:t>周六9:00-12:00（</w:t>
      </w:r>
      <w:r>
        <w:rPr>
          <w:rFonts w:hint="eastAsia"/>
          <w:color w:val="auto"/>
          <w:highlight w:val="none"/>
          <w:lang w:val="en-US" w:eastAsia="zh-CN"/>
        </w:rPr>
        <w:t>法定</w:t>
      </w:r>
      <w:r>
        <w:rPr>
          <w:rFonts w:hint="default"/>
          <w:color w:val="auto"/>
          <w:highlight w:val="none"/>
          <w:lang w:val="en-US" w:eastAsia="zh-CN"/>
        </w:rPr>
        <w:t>节假日除外）</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default"/>
          <w:color w:val="auto"/>
          <w:highlight w:val="none"/>
          <w:lang w:val="en-US" w:eastAsia="zh-CN"/>
        </w:rPr>
      </w:pPr>
      <w:r>
        <w:rPr>
          <w:rFonts w:hint="default"/>
          <w:color w:val="auto"/>
          <w:highlight w:val="none"/>
          <w:lang w:val="en-US" w:eastAsia="zh-CN"/>
        </w:rPr>
        <w:t>1.通用专项材料（两类方向均需提交）</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（1）项目成效总结（模板详见项目申报书）。</w:t>
      </w:r>
    </w:p>
    <w:p>
      <w:pPr>
        <w:bidi w:val="0"/>
        <w:rPr>
          <w:rFonts w:hint="eastAsia"/>
          <w:color w:val="auto"/>
          <w:highlight w:val="none"/>
          <w:lang w:val="en-US" w:eastAsia="zh-CN"/>
        </w:rPr>
      </w:pPr>
      <w:r>
        <w:rPr>
          <w:rFonts w:hint="eastAsia"/>
          <w:color w:val="auto"/>
          <w:highlight w:val="none"/>
          <w:lang w:val="en-US" w:eastAsia="zh-CN"/>
        </w:rPr>
        <w:t>（2）专项资金项目投入明细表及佐证材料（详见项目申报书）。</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IP授权证明</w:t>
      </w:r>
      <w:r>
        <w:rPr>
          <w:rFonts w:hint="eastAsia"/>
          <w:color w:val="auto"/>
          <w:highlight w:val="none"/>
          <w:lang w:val="en-US" w:eastAsia="zh-CN"/>
        </w:rPr>
        <w:t>：</w:t>
      </w:r>
      <w:r>
        <w:rPr>
          <w:rFonts w:hint="default"/>
          <w:color w:val="auto"/>
          <w:highlight w:val="none"/>
          <w:lang w:val="en-US" w:eastAsia="zh-CN"/>
        </w:rPr>
        <w:tab/>
      </w:r>
      <w:r>
        <w:rPr>
          <w:rFonts w:hint="default"/>
          <w:color w:val="auto"/>
          <w:highlight w:val="none"/>
          <w:lang w:val="en-US" w:eastAsia="zh-CN"/>
        </w:rPr>
        <w:t>IP方出具的正式授权书或合作协议</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（4）固定经营场所佐证材料：不动产权证书、租赁合同或场地使用文件。</w:t>
      </w:r>
    </w:p>
    <w:p>
      <w:pPr>
        <w:bidi w:val="0"/>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分类型专项材料（选择</w:t>
      </w:r>
      <w:r>
        <w:rPr>
          <w:rFonts w:hint="eastAsia"/>
          <w:color w:val="auto"/>
          <w:highlight w:val="none"/>
          <w:lang w:val="en-US" w:eastAsia="zh-CN"/>
        </w:rPr>
        <w:t>一类型</w:t>
      </w:r>
      <w:r>
        <w:rPr>
          <w:rFonts w:hint="default"/>
          <w:color w:val="auto"/>
          <w:highlight w:val="none"/>
          <w:lang w:val="en-US" w:eastAsia="zh-CN"/>
        </w:rPr>
        <w:t>提交）</w:t>
      </w:r>
      <w:r>
        <w:rPr>
          <w:rFonts w:hint="eastAsia"/>
          <w:color w:val="auto"/>
          <w:highlight w:val="none"/>
          <w:lang w:val="en-US" w:eastAsia="zh-CN"/>
        </w:rPr>
        <w:t>：</w:t>
      </w:r>
    </w:p>
    <w:p>
      <w:pPr>
        <w:bidi w:val="0"/>
        <w:rPr>
          <w:rFonts w:hint="default"/>
          <w:color w:val="auto"/>
          <w:highlight w:val="none"/>
          <w:lang w:val="en-US" w:eastAsia="zh-CN"/>
        </w:rPr>
      </w:pPr>
      <w:r>
        <w:rPr>
          <w:rFonts w:hint="eastAsia"/>
          <w:color w:val="auto"/>
          <w:highlight w:val="none"/>
          <w:lang w:val="en-US" w:eastAsia="zh-CN"/>
        </w:rPr>
        <w:t>一是</w:t>
      </w:r>
      <w:r>
        <w:rPr>
          <w:rFonts w:hint="default"/>
          <w:color w:val="auto"/>
          <w:highlight w:val="none"/>
          <w:lang w:val="en-US" w:eastAsia="zh-CN"/>
        </w:rPr>
        <w:t>IP主题文化消费店铺</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（1）核心业务材料：项目说明（须体现以IP衍生品销售、IP文化体验为核心业务）。</w:t>
      </w:r>
    </w:p>
    <w:p>
      <w:pPr>
        <w:bidi w:val="0"/>
        <w:rPr>
          <w:rFonts w:hint="eastAsia"/>
          <w:color w:val="auto"/>
          <w:highlight w:val="none"/>
          <w:lang w:val="en-US" w:eastAsia="zh-CN"/>
        </w:rPr>
      </w:pPr>
      <w:r>
        <w:rPr>
          <w:rFonts w:hint="eastAsia"/>
          <w:color w:val="auto"/>
          <w:highlight w:val="none"/>
          <w:lang w:val="en-US" w:eastAsia="zh-CN"/>
        </w:rPr>
        <w:t>（2）产品类型佐证材料：IP衍生品清单（须体现产品类型不少于3类）。</w:t>
      </w:r>
    </w:p>
    <w:p>
      <w:pPr>
        <w:bidi w:val="0"/>
        <w:rPr>
          <w:rFonts w:hint="eastAsia"/>
          <w:color w:val="auto"/>
          <w:highlight w:val="none"/>
          <w:lang w:val="en-US" w:eastAsia="zh-CN"/>
        </w:rPr>
      </w:pPr>
      <w:r>
        <w:rPr>
          <w:rFonts w:hint="eastAsia"/>
          <w:color w:val="auto"/>
          <w:highlight w:val="none"/>
          <w:lang w:val="en-US" w:eastAsia="zh-CN"/>
        </w:rPr>
        <w:t>（3）服务次数佐证材料：后台服务记录、消费订单数据等（须体现月均不低于1000次）。</w:t>
      </w:r>
    </w:p>
    <w:p>
      <w:pPr>
        <w:bidi w:val="0"/>
        <w:rPr>
          <w:rFonts w:hint="eastAsia"/>
          <w:color w:val="auto"/>
          <w:highlight w:val="none"/>
          <w:lang w:val="en-US" w:eastAsia="zh-CN"/>
        </w:rPr>
      </w:pPr>
      <w:r>
        <w:rPr>
          <w:rFonts w:hint="eastAsia"/>
          <w:color w:val="auto"/>
          <w:highlight w:val="none"/>
          <w:lang w:val="en-US" w:eastAsia="zh-CN"/>
        </w:rPr>
        <w:t>（4）开设时间佐证材料：营业执照或开业登记、媒体报道等材料【须体现为2025年9月30日（含）之后新开设店铺】。</w:t>
      </w:r>
    </w:p>
    <w:p>
      <w:pPr>
        <w:bidi w:val="0"/>
        <w:rPr>
          <w:rFonts w:hint="default"/>
          <w:color w:val="auto"/>
          <w:highlight w:val="none"/>
          <w:lang w:val="en-US" w:eastAsia="zh-CN"/>
        </w:rPr>
      </w:pPr>
      <w:r>
        <w:rPr>
          <w:rFonts w:hint="eastAsia"/>
          <w:color w:val="auto"/>
          <w:highlight w:val="none"/>
          <w:lang w:val="en-US" w:eastAsia="zh-CN"/>
        </w:rPr>
        <w:t>二是</w:t>
      </w:r>
      <w:r>
        <w:rPr>
          <w:rFonts w:hint="default"/>
          <w:color w:val="auto"/>
          <w:highlight w:val="none"/>
          <w:lang w:val="en-US" w:eastAsia="zh-CN"/>
        </w:rPr>
        <w:t>IP焕新体验空间</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（1）焕新体验说明材料：详细说明跨界联名、主题升级、内容共创等改造升级内容，附改造前后对比照片、改造方案、施工记录等。</w:t>
      </w:r>
    </w:p>
    <w:p>
      <w:pPr>
        <w:bidi w:val="0"/>
        <w:rPr>
          <w:rFonts w:hint="eastAsia"/>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场景主题佐证材料：明确场景IP主题，提供主题设计方案、实景呈现资料</w:t>
      </w:r>
      <w:r>
        <w:rPr>
          <w:rFonts w:hint="eastAsia"/>
          <w:color w:val="auto"/>
          <w:highlight w:val="none"/>
          <w:lang w:val="en-US" w:eastAsia="zh-CN"/>
        </w:rPr>
        <w:t>等。</w:t>
      </w:r>
    </w:p>
    <w:p>
      <w:pPr>
        <w:bidi w:val="0"/>
        <w:rPr>
          <w:rFonts w:hint="default"/>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开设时间佐证材料：营业执照</w:t>
      </w:r>
      <w:r>
        <w:rPr>
          <w:rFonts w:hint="eastAsia"/>
          <w:color w:val="auto"/>
          <w:highlight w:val="none"/>
          <w:lang w:val="en-US" w:eastAsia="zh-CN"/>
        </w:rPr>
        <w:t>或开业登记、媒体报道等材料【须体现为2025年9月30日（含）之后新开设店铺】。</w:t>
      </w:r>
    </w:p>
    <w:p>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19526"/>
      <w:bookmarkStart w:id="17" w:name="_Toc5711"/>
      <w:r>
        <w:rPr>
          <w:rFonts w:hint="eastAsia" w:ascii="黑体" w:hAnsi="黑体" w:eastAsia="黑体" w:cs="仿宋"/>
          <w:color w:val="auto"/>
          <w:kern w:val="2"/>
          <w:sz w:val="32"/>
          <w:szCs w:val="22"/>
          <w:highlight w:val="none"/>
          <w:lang w:val="en-US" w:eastAsia="zh-CN" w:bidi="ar-SA"/>
        </w:rPr>
        <w:t>七、申请表格</w:t>
      </w:r>
      <w:bookmarkEnd w:id="16"/>
      <w:bookmarkEnd w:id="17"/>
    </w:p>
    <w:p>
      <w:pPr>
        <w:bidi w:val="0"/>
        <w:spacing w:line="560" w:lineRule="exact"/>
        <w:rPr>
          <w:rFonts w:hint="default"/>
          <w:color w:val="auto"/>
          <w:highlight w:val="none"/>
          <w:lang w:val="en-US" w:eastAsia="zh-CN"/>
        </w:rPr>
      </w:pPr>
      <w:r>
        <w:rPr>
          <w:rFonts w:hint="eastAsia"/>
          <w:color w:val="auto"/>
          <w:highlight w:val="none"/>
          <w:lang w:val="en-US" w:eastAsia="zh-CN"/>
        </w:rPr>
        <w:t>请线上下载并填写《</w:t>
      </w:r>
      <w:r>
        <w:rPr>
          <w:rFonts w:hint="default"/>
          <w:color w:val="auto"/>
          <w:highlight w:val="none"/>
          <w:lang w:val="en-US" w:eastAsia="zh-CN"/>
        </w:rPr>
        <w:t>深圳市2026年中央资金消费新业态新模式新场景试点项目申报书</w:t>
      </w:r>
      <w:r>
        <w:rPr>
          <w:rFonts w:hint="eastAsia"/>
          <w:color w:val="auto"/>
          <w:highlight w:val="none"/>
          <w:lang w:val="en-US" w:eastAsia="zh-CN"/>
        </w:rPr>
        <w:t>》</w:t>
      </w:r>
      <w:r>
        <w:rPr>
          <w:rFonts w:hint="default"/>
          <w:color w:val="auto"/>
          <w:highlight w:val="none"/>
          <w:lang w:val="en-US"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18" w:name="_Toc13760"/>
      <w:bookmarkStart w:id="19" w:name="_Toc20121"/>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u w:val="none"/>
          <w:lang w:val="en-US" w:eastAsia="zh-CN" w:bidi="ar-SA"/>
        </w:rPr>
      </w:pPr>
      <w:r>
        <w:rPr>
          <w:rFonts w:hint="eastAsia" w:ascii="楷体" w:hAnsi="楷体" w:eastAsia="楷体" w:cstheme="majorBidi"/>
          <w:bCs/>
          <w:color w:val="auto"/>
          <w:kern w:val="2"/>
          <w:sz w:val="32"/>
          <w:szCs w:val="32"/>
          <w:highlight w:val="none"/>
          <w:u w:val="none"/>
          <w:lang w:val="en-US" w:eastAsia="zh-CN" w:bidi="ar-SA"/>
        </w:rPr>
        <w:t>（一）受理机关</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u w:val="none"/>
          <w:lang w:val="en-US" w:eastAsia="zh-CN" w:bidi="ar-SA"/>
        </w:rPr>
      </w:pPr>
      <w:r>
        <w:rPr>
          <w:rFonts w:hint="eastAsia" w:cs="仿宋_GB2312"/>
          <w:color w:val="auto"/>
          <w:sz w:val="32"/>
          <w:szCs w:val="32"/>
          <w:highlight w:val="none"/>
          <w:u w:val="none"/>
          <w:lang w:eastAsia="zh-CN"/>
        </w:rPr>
        <w:t>深圳市大鹏新区商务局</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u w:val="none"/>
          <w:lang w:val="en-US" w:eastAsia="zh-CN" w:bidi="ar-SA"/>
        </w:rPr>
      </w:pPr>
      <w:r>
        <w:rPr>
          <w:rFonts w:hint="eastAsia" w:ascii="楷体" w:hAnsi="楷体" w:eastAsia="楷体" w:cstheme="majorBidi"/>
          <w:bCs/>
          <w:color w:val="auto"/>
          <w:kern w:val="2"/>
          <w:sz w:val="32"/>
          <w:szCs w:val="32"/>
          <w:highlight w:val="none"/>
          <w:u w:val="none"/>
          <w:lang w:val="en-US" w:eastAsia="zh-CN" w:bidi="ar-SA"/>
        </w:rPr>
        <w:t>（二）受理时间</w:t>
      </w:r>
    </w:p>
    <w:p>
      <w:pPr>
        <w:bidi w:val="0"/>
        <w:rPr>
          <w:rFonts w:hint="default"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1.网络填报时间：202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26</w:t>
      </w:r>
      <w:r>
        <w:rPr>
          <w:rFonts w:hint="eastAsia" w:ascii="仿宋_GB2312" w:hAnsi="宋体" w:eastAsia="仿宋_GB2312" w:cs="宋体"/>
          <w:color w:val="auto"/>
          <w:kern w:val="0"/>
          <w:sz w:val="32"/>
          <w:szCs w:val="32"/>
          <w:highlight w:val="none"/>
          <w:u w:val="none"/>
          <w:lang w:val="en-US" w:eastAsia="zh-CN"/>
        </w:rPr>
        <w:t>日-202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r>
        <w:rPr>
          <w:rFonts w:hint="eastAsia" w:hAnsi="宋体" w:cs="宋体"/>
          <w:color w:val="auto"/>
          <w:kern w:val="0"/>
          <w:sz w:val="32"/>
          <w:szCs w:val="32"/>
          <w:highlight w:val="none"/>
          <w:u w:val="none"/>
          <w:lang w:val="en-US" w:eastAsia="zh-CN"/>
        </w:rPr>
        <w:t>。</w:t>
      </w:r>
    </w:p>
    <w:p>
      <w:pPr>
        <w:bidi w:val="0"/>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2.材料提交时间：2026年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日-2026年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p>
    <w:p>
      <w:pPr>
        <w:bidi w:val="0"/>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（三）受理地点</w:t>
      </w:r>
    </w:p>
    <w:p>
      <w:pPr>
        <w:keepNext w:val="0"/>
        <w:keepLines w:val="0"/>
        <w:widowControl/>
        <w:suppressLineNumbers w:val="0"/>
        <w:spacing w:line="560" w:lineRule="exact"/>
        <w:jc w:val="left"/>
        <w:rPr>
          <w:rFonts w:hint="eastAsia"/>
          <w:color w:val="auto"/>
          <w:highlight w:val="none"/>
          <w:u w:val="none"/>
          <w:lang w:val="en-US" w:eastAsia="zh-CN"/>
        </w:rPr>
      </w:pPr>
      <w:r>
        <w:rPr>
          <w:rFonts w:hint="eastAsia" w:cs="仿宋_GB2312"/>
          <w:color w:val="auto"/>
          <w:sz w:val="32"/>
          <w:szCs w:val="32"/>
          <w:highlight w:val="none"/>
          <w:u w:val="none"/>
          <w:lang w:eastAsia="zh-CN"/>
        </w:rPr>
        <w:t>线上受理：</w:t>
      </w:r>
      <w:r>
        <w:rPr>
          <w:rFonts w:hint="eastAsia"/>
          <w:color w:val="auto"/>
          <w:highlight w:val="none"/>
          <w:u w:val="none"/>
          <w:lang w:val="en-US" w:eastAsia="zh-CN"/>
        </w:rPr>
        <w:fldChar w:fldCharType="begin"/>
      </w:r>
      <w:r>
        <w:rPr>
          <w:rFonts w:hint="eastAsia"/>
          <w:color w:val="auto"/>
          <w:highlight w:val="none"/>
          <w:u w:val="none"/>
          <w:lang w:val="en-US" w:eastAsia="zh-CN"/>
        </w:rPr>
        <w:instrText xml:space="preserve"> HYPERLINK "https://www.gdzwfw.gov.cn/（广东政务服务网）。" </w:instrText>
      </w:r>
      <w:r>
        <w:rPr>
          <w:rFonts w:hint="eastAsia"/>
          <w:color w:val="auto"/>
          <w:highlight w:val="none"/>
          <w:u w:val="none"/>
          <w:lang w:val="en-US" w:eastAsia="zh-CN"/>
        </w:rPr>
        <w:fldChar w:fldCharType="separate"/>
      </w:r>
      <w:r>
        <w:rPr>
          <w:rStyle w:val="21"/>
          <w:rFonts w:hint="eastAsia"/>
          <w:color w:val="auto"/>
          <w:highlight w:val="none"/>
          <w:u w:val="none"/>
          <w:lang w:val="en-US" w:eastAsia="zh-CN"/>
        </w:rPr>
        <w:t>https://www.gdzwfw.gov.cn/（广东政务服务网）。</w:t>
      </w:r>
      <w:r>
        <w:rPr>
          <w:rFonts w:hint="eastAsia"/>
          <w:color w:val="auto"/>
          <w:highlight w:val="none"/>
          <w:u w:val="none"/>
          <w:lang w:val="en-US" w:eastAsia="zh-CN"/>
        </w:rPr>
        <w:fldChar w:fldCharType="end"/>
      </w:r>
    </w:p>
    <w:p>
      <w:pPr>
        <w:keepNext w:val="0"/>
        <w:keepLines w:val="0"/>
        <w:widowControl/>
        <w:suppressLineNumbers w:val="0"/>
        <w:spacing w:line="560" w:lineRule="exact"/>
        <w:jc w:val="left"/>
        <w:rPr>
          <w:rFonts w:hint="eastAsia" w:cs="仿宋_GB2312"/>
          <w:color w:val="auto"/>
          <w:szCs w:val="32"/>
          <w:highlight w:val="none"/>
          <w:u w:val="none"/>
          <w:lang w:val="en-US" w:eastAsia="zh-CN"/>
        </w:rPr>
      </w:pPr>
      <w:r>
        <w:rPr>
          <w:rFonts w:hint="eastAsia" w:cs="仿宋_GB2312"/>
          <w:color w:val="auto"/>
          <w:sz w:val="32"/>
          <w:szCs w:val="32"/>
          <w:highlight w:val="none"/>
          <w:u w:val="none"/>
          <w:lang w:eastAsia="zh-CN"/>
        </w:rPr>
        <w:t>线下材料递交地址：</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深圳市大鹏新区葵涌街道金业大道140号生命科学产业园B13栋大鹏新区政务服务中心一楼综合窗口</w:t>
      </w:r>
      <w:r>
        <w:rPr>
          <w:rFonts w:hint="eastAsia" w:cs="仿宋_GB2312"/>
          <w:color w:val="auto"/>
          <w:szCs w:val="32"/>
          <w:highlight w:val="none"/>
          <w:u w:val="none"/>
          <w:lang w:val="en-US" w:eastAsia="zh-CN"/>
        </w:rPr>
        <w:t>。办公电</w:t>
      </w:r>
      <w:r>
        <w:rPr>
          <w:rFonts w:hint="eastAsia" w:cs="仿宋_GB2312"/>
          <w:color w:val="auto"/>
          <w:szCs w:val="32"/>
          <w:highlight w:val="none"/>
          <w:u w:val="none"/>
          <w:lang w:val="en-US" w:eastAsia="zh-CN" w:bidi="ar"/>
        </w:rPr>
        <w:t>话：</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0755-28333100</w:t>
      </w:r>
      <w:r>
        <w:rPr>
          <w:rFonts w:hint="eastAsia" w:cs="仿宋_GB2312"/>
          <w:color w:val="auto"/>
          <w:szCs w:val="32"/>
          <w:highlight w:val="none"/>
          <w:u w:val="none"/>
          <w:lang w:val="en-US" w:eastAsia="zh-CN" w:bidi="ar"/>
        </w:rPr>
        <w:t>。服</w:t>
      </w:r>
      <w:r>
        <w:rPr>
          <w:rFonts w:hint="eastAsia" w:cs="仿宋_GB2312"/>
          <w:color w:val="auto"/>
          <w:szCs w:val="32"/>
          <w:highlight w:val="none"/>
          <w:u w:val="none"/>
          <w:lang w:val="en-US" w:eastAsia="zh-CN"/>
        </w:rPr>
        <w:t>务时间：周一至周五9:00-17:30，周六9:00-12:00（法定节假日除外）。</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（四）咨询电话</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u w:val="none"/>
          <w:lang w:val="en-US" w:eastAsia="zh-CN" w:bidi="ar-SA"/>
        </w:rPr>
      </w:pPr>
      <w:r>
        <w:rPr>
          <w:rFonts w:hint="eastAsia" w:cs="仿宋_GB2312"/>
          <w:color w:val="auto"/>
          <w:sz w:val="32"/>
          <w:szCs w:val="32"/>
          <w:highlight w:val="none"/>
          <w:u w:val="none"/>
          <w:lang w:val="en-US" w:eastAsia="zh-CN"/>
        </w:rPr>
        <w:t>0755-28333810</w:t>
      </w:r>
      <w:bookmarkStart w:id="20" w:name="_Toc1376"/>
      <w:bookmarkStart w:id="21" w:name="_Toc9722"/>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125127183"/>
      <w:bookmarkStart w:id="23" w:name="_Toc2137"/>
      <w:bookmarkStart w:id="24" w:name="_Toc161850809"/>
      <w:bookmarkStart w:id="25" w:name="_Toc10305"/>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1274"/>
      <w:bookmarkStart w:id="27" w:name="_Toc16198"/>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3693"/>
      <w:bookmarkStart w:id="29" w:name="_Toc28790"/>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9920"/>
      <w:bookmarkStart w:id="33" w:name="_Toc17239"/>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6842"/>
      <w:bookmarkStart w:id="35" w:name="_Toc7505"/>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475"/>
      <w:bookmarkStart w:id="37" w:name="_Toc3014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8762"/>
      <w:bookmarkStart w:id="39" w:name="_Toc20677"/>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（一）申报单位应当按要求配合市、区两级商务部门和其他相关部门的监督检查，按要求做好项目资金管理、绩效评估等工作。申报指南未尽事宜或特殊情形，以发布机构负责解释为准。</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color w:val="000000" w:themeColor="text1"/>
          <w:highlight w:val="none"/>
          <w:lang w:val="en-US" w:eastAsia="zh-CN"/>
          <w14:textFill>
            <w14:solidFill>
              <w14:schemeClr w14:val="tx1"/>
            </w14:solidFill>
          </w14:textFill>
        </w:rPr>
        <w:t>（</w:t>
      </w:r>
      <w:r>
        <w:rPr>
          <w:rFonts w:hint="eastAsia" w:ascii="仿宋_GB2312" w:hAnsi="仿宋_GB2312" w:eastAsia="仿宋_GB2312" w:cs="仿宋"/>
          <w:i w:val="0"/>
          <w:iCs w:val="0"/>
          <w:caps w:val="0"/>
          <w:color w:val="000000" w:themeColor="text1"/>
          <w:spacing w:val="0"/>
          <w:kern w:val="2"/>
          <w:sz w:val="32"/>
          <w:szCs w:val="22"/>
          <w:highlight w:val="none"/>
          <w:shd w:val="clear" w:fill="auto"/>
          <w:lang w:val="en-US" w:eastAsia="zh-CN" w:bidi="ar"/>
          <w14:textFill>
            <w14:solidFill>
              <w14:schemeClr w14:val="tx1"/>
            </w14:solidFill>
          </w14:textFill>
        </w:rPr>
        <w:t>0755-88159722</w:t>
      </w:r>
      <w:r>
        <w:rPr>
          <w:rFonts w:hint="eastAsia"/>
          <w:color w:val="000000" w:themeColor="text1"/>
          <w:highlight w:val="none"/>
          <w:lang w:val="en-US" w:eastAsia="zh-CN"/>
          <w14:textFill>
            <w14:solidFill>
              <w14:schemeClr w14:val="tx1"/>
            </w14:solidFill>
          </w14:textFill>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bidi w:val="0"/>
        <w:ind w:firstLine="0" w:firstLineChars="0"/>
        <w:rPr>
          <w:rFonts w:hint="eastAsia"/>
          <w:color w:val="auto"/>
          <w:highlight w:val="none"/>
          <w:lang w:val="en-US" w:eastAsia="zh-CN"/>
        </w:rPr>
      </w:pPr>
    </w:p>
    <w:bookmarkEnd w:id="22"/>
    <w:bookmarkEnd w:id="23"/>
    <w:bookmarkEnd w:id="24"/>
    <w:bookmarkEnd w:id="25"/>
    <w:p>
      <w:pPr>
        <w:pStyle w:val="17"/>
        <w:rPr>
          <w:rFonts w:hint="eastAsia" w:ascii="仿宋_GB2312" w:hAnsi="仿宋_GB2312"/>
          <w:color w:val="auto"/>
          <w:highlight w:val="none"/>
          <w:lang w:eastAsia="zh-CN"/>
        </w:rPr>
      </w:pPr>
      <w:r>
        <w:rPr>
          <w:rFonts w:hint="eastAsia" w:ascii="仿宋_GB2312" w:hAnsi="仿宋_GB2312"/>
          <w:color w:val="auto"/>
          <w:highlight w:val="none"/>
          <w:lang w:eastAsia="zh-CN"/>
        </w:rPr>
        <w:t>附录：名词解释</w:t>
      </w:r>
    </w:p>
    <w:p>
      <w:pPr>
        <w:rPr>
          <w:rFonts w:hint="eastAsia" w:ascii="仿宋_GB2312" w:hAnsi="仿宋_GB2312"/>
          <w:color w:val="auto"/>
          <w:highlight w:val="none"/>
          <w:lang w:eastAsia="zh-CN"/>
        </w:rPr>
      </w:pPr>
      <w:r>
        <w:rPr>
          <w:rFonts w:hint="eastAsia" w:ascii="仿宋_GB2312" w:hAnsi="仿宋_GB2312"/>
          <w:color w:val="auto"/>
          <w:highlight w:val="none"/>
          <w:lang w:eastAsia="zh-CN"/>
        </w:rPr>
        <w:br w:type="page"/>
      </w:r>
    </w:p>
    <w:p>
      <w:pPr>
        <w:pStyle w:val="17"/>
        <w:keepNext w:val="0"/>
        <w:keepLines w:val="0"/>
        <w:pageBreakBefore w:val="0"/>
        <w:widowControl w:val="0"/>
        <w:kinsoku/>
        <w:wordWrap/>
        <w:overflowPunct/>
        <w:topLinePunct w:val="0"/>
        <w:autoSpaceDE/>
        <w:autoSpaceDN/>
        <w:bidi w:val="0"/>
        <w:snapToGrid/>
        <w:spacing w:line="560" w:lineRule="exact"/>
        <w:ind w:firstLine="0" w:firstLineChars="0"/>
        <w:textAlignment w:val="auto"/>
        <w:rPr>
          <w:rFonts w:hint="eastAsia" w:ascii="仿宋_GB2312" w:hAnsi="仿宋_GB2312"/>
          <w:color w:val="auto"/>
          <w:highlight w:val="none"/>
          <w:lang w:eastAsia="zh-CN"/>
        </w:rPr>
      </w:pPr>
      <w:r>
        <w:rPr>
          <w:rFonts w:hint="eastAsia" w:ascii="黑体" w:hAnsi="黑体" w:eastAsia="黑体" w:cs="黑体"/>
          <w:color w:val="auto"/>
          <w:highlight w:val="none"/>
          <w:lang w:eastAsia="zh-CN"/>
        </w:rPr>
        <w:t>附录</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b/>
          <w:bCs/>
          <w:color w:val="auto"/>
          <w:sz w:val="32"/>
          <w:szCs w:val="32"/>
          <w:highlight w:val="none"/>
          <w:lang w:val="en-US" w:eastAsia="zh-CN"/>
        </w:rPr>
        <w:t>、IP衍生品产品类型</w:t>
      </w:r>
      <w:r>
        <w:rPr>
          <w:rStyle w:val="19"/>
          <w:rFonts w:hint="default" w:ascii="仿宋_GB2312" w:hAnsi="仿宋_GB2312" w:eastAsia="仿宋_GB2312" w:cs="仿宋_GB2312"/>
          <w:b/>
          <w:bCs/>
          <w:color w:val="auto"/>
          <w:sz w:val="32"/>
          <w:szCs w:val="32"/>
          <w:highlight w:val="none"/>
          <w:lang w:val="en-US" w:eastAsia="zh-CN"/>
        </w:rPr>
        <w:t>：</w:t>
      </w:r>
      <w:r>
        <w:rPr>
          <w:rStyle w:val="19"/>
          <w:rFonts w:hint="default" w:ascii="仿宋_GB2312" w:hAnsi="仿宋_GB2312" w:eastAsia="仿宋_GB2312" w:cs="仿宋_GB2312"/>
          <w:color w:val="auto"/>
          <w:sz w:val="32"/>
          <w:szCs w:val="32"/>
          <w:highlight w:val="none"/>
          <w:lang w:val="en-US" w:eastAsia="zh-CN"/>
        </w:rPr>
        <w:t>涵盖</w:t>
      </w:r>
      <w:r>
        <w:rPr>
          <w:rStyle w:val="19"/>
          <w:rFonts w:hint="eastAsia" w:ascii="仿宋_GB2312" w:hAnsi="仿宋_GB2312" w:eastAsia="仿宋_GB2312" w:cs="仿宋_GB2312"/>
          <w:color w:val="auto"/>
          <w:sz w:val="32"/>
          <w:szCs w:val="32"/>
          <w:highlight w:val="none"/>
          <w:lang w:val="en-US" w:eastAsia="zh-CN"/>
        </w:rPr>
        <w:t>文创潮玩、服饰配饰、数码周边、家居生活、食品饮品、美妆个护等品类</w:t>
      </w:r>
      <w:r>
        <w:rPr>
          <w:rStyle w:val="19"/>
          <w:rFonts w:hint="default"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三</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pStyle w:val="17"/>
        <w:ind w:firstLine="0" w:firstLineChars="0"/>
        <w:rPr>
          <w:rFonts w:hint="eastAsia" w:ascii="仿宋_GB2312" w:hAnsi="仿宋_GB2312"/>
          <w:color w:val="auto"/>
          <w:highlight w:val="none"/>
          <w:lang w:eastAsia="zh-CN"/>
        </w:rPr>
      </w:pPr>
    </w:p>
    <w:sectPr>
      <w:footerReference r:id="rId5" w:type="default"/>
      <w:pgSz w:w="11906" w:h="16838"/>
      <w:pgMar w:top="2098" w:right="1474" w:bottom="1984" w:left="158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swiss"/>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2A09FA"/>
    <w:rsid w:val="02803A46"/>
    <w:rsid w:val="02CB1CF7"/>
    <w:rsid w:val="02DA63DE"/>
    <w:rsid w:val="02E93786"/>
    <w:rsid w:val="032C6A46"/>
    <w:rsid w:val="03B55433"/>
    <w:rsid w:val="04033440"/>
    <w:rsid w:val="04123AB3"/>
    <w:rsid w:val="05036B9E"/>
    <w:rsid w:val="052D305E"/>
    <w:rsid w:val="052E6828"/>
    <w:rsid w:val="06426774"/>
    <w:rsid w:val="06825C75"/>
    <w:rsid w:val="068A4895"/>
    <w:rsid w:val="070F7027"/>
    <w:rsid w:val="08461CA3"/>
    <w:rsid w:val="0A2D6324"/>
    <w:rsid w:val="0A302337"/>
    <w:rsid w:val="0A58254D"/>
    <w:rsid w:val="0A6C5760"/>
    <w:rsid w:val="0B35692F"/>
    <w:rsid w:val="0B4456D1"/>
    <w:rsid w:val="0BAD1FAB"/>
    <w:rsid w:val="0BE1742C"/>
    <w:rsid w:val="0D0E36C4"/>
    <w:rsid w:val="0D1F0CED"/>
    <w:rsid w:val="0E511A57"/>
    <w:rsid w:val="0E913392"/>
    <w:rsid w:val="0F95719B"/>
    <w:rsid w:val="0FE131A1"/>
    <w:rsid w:val="0FED3255"/>
    <w:rsid w:val="10BF0BFF"/>
    <w:rsid w:val="11A73770"/>
    <w:rsid w:val="124226AB"/>
    <w:rsid w:val="126D73E5"/>
    <w:rsid w:val="13A40095"/>
    <w:rsid w:val="14053C83"/>
    <w:rsid w:val="15C958A9"/>
    <w:rsid w:val="160A19AA"/>
    <w:rsid w:val="163D2AB4"/>
    <w:rsid w:val="16DD6486"/>
    <w:rsid w:val="172A2DF8"/>
    <w:rsid w:val="17B005EC"/>
    <w:rsid w:val="18354C7F"/>
    <w:rsid w:val="185533C0"/>
    <w:rsid w:val="187E0EC3"/>
    <w:rsid w:val="18AB1F57"/>
    <w:rsid w:val="190653E0"/>
    <w:rsid w:val="197B53D3"/>
    <w:rsid w:val="1A595627"/>
    <w:rsid w:val="1C210334"/>
    <w:rsid w:val="1C964CCC"/>
    <w:rsid w:val="1CFC17D2"/>
    <w:rsid w:val="1EBE0883"/>
    <w:rsid w:val="205A510F"/>
    <w:rsid w:val="209827B1"/>
    <w:rsid w:val="20BA48E3"/>
    <w:rsid w:val="21127D99"/>
    <w:rsid w:val="21A5207B"/>
    <w:rsid w:val="22C22819"/>
    <w:rsid w:val="246A3FA3"/>
    <w:rsid w:val="26E72CF4"/>
    <w:rsid w:val="272E1910"/>
    <w:rsid w:val="2976170C"/>
    <w:rsid w:val="2A104310"/>
    <w:rsid w:val="2A1A1904"/>
    <w:rsid w:val="2A4B3E74"/>
    <w:rsid w:val="2BA068F1"/>
    <w:rsid w:val="2C2A1457"/>
    <w:rsid w:val="2C961EBF"/>
    <w:rsid w:val="2CAE0A32"/>
    <w:rsid w:val="2F0A3862"/>
    <w:rsid w:val="2FA3658C"/>
    <w:rsid w:val="2FEE3698"/>
    <w:rsid w:val="2FFC0AFB"/>
    <w:rsid w:val="302C0287"/>
    <w:rsid w:val="30EE38E6"/>
    <w:rsid w:val="31A95387"/>
    <w:rsid w:val="31B31F93"/>
    <w:rsid w:val="31BF20C5"/>
    <w:rsid w:val="321653A8"/>
    <w:rsid w:val="322E20A6"/>
    <w:rsid w:val="329C19A3"/>
    <w:rsid w:val="32F52701"/>
    <w:rsid w:val="341A4C22"/>
    <w:rsid w:val="347B2CCE"/>
    <w:rsid w:val="352B3694"/>
    <w:rsid w:val="363C0287"/>
    <w:rsid w:val="3654545B"/>
    <w:rsid w:val="36565190"/>
    <w:rsid w:val="366C2500"/>
    <w:rsid w:val="37355261"/>
    <w:rsid w:val="382C7B34"/>
    <w:rsid w:val="387303F9"/>
    <w:rsid w:val="38EF3D95"/>
    <w:rsid w:val="3AE03440"/>
    <w:rsid w:val="3B0E3D0E"/>
    <w:rsid w:val="3BFC17F2"/>
    <w:rsid w:val="3C0C0B0D"/>
    <w:rsid w:val="3CFD6976"/>
    <w:rsid w:val="3D4A73E3"/>
    <w:rsid w:val="3D5D42F6"/>
    <w:rsid w:val="3DAF2F73"/>
    <w:rsid w:val="3DB808BA"/>
    <w:rsid w:val="3FAC643B"/>
    <w:rsid w:val="407A2ECB"/>
    <w:rsid w:val="410B0D5A"/>
    <w:rsid w:val="418D6C3A"/>
    <w:rsid w:val="423806ED"/>
    <w:rsid w:val="428230B1"/>
    <w:rsid w:val="437A5877"/>
    <w:rsid w:val="43BB3CEC"/>
    <w:rsid w:val="4412784D"/>
    <w:rsid w:val="44A91A1A"/>
    <w:rsid w:val="44D052C5"/>
    <w:rsid w:val="46A70EF9"/>
    <w:rsid w:val="46AE1F3D"/>
    <w:rsid w:val="473C23B2"/>
    <w:rsid w:val="4743523B"/>
    <w:rsid w:val="474450E0"/>
    <w:rsid w:val="47781E40"/>
    <w:rsid w:val="48541414"/>
    <w:rsid w:val="4900762E"/>
    <w:rsid w:val="4A6B0082"/>
    <w:rsid w:val="4AB56AE2"/>
    <w:rsid w:val="4B0038EE"/>
    <w:rsid w:val="4B6E7935"/>
    <w:rsid w:val="4C7C4174"/>
    <w:rsid w:val="4DF504FF"/>
    <w:rsid w:val="4E7E74BD"/>
    <w:rsid w:val="4E805B64"/>
    <w:rsid w:val="4F214F20"/>
    <w:rsid w:val="4F9660BB"/>
    <w:rsid w:val="4FB87893"/>
    <w:rsid w:val="4FC2745B"/>
    <w:rsid w:val="500B1C9B"/>
    <w:rsid w:val="50642A2E"/>
    <w:rsid w:val="509A0D5C"/>
    <w:rsid w:val="50CB0BE4"/>
    <w:rsid w:val="51A47BE3"/>
    <w:rsid w:val="52252BFC"/>
    <w:rsid w:val="52A362AC"/>
    <w:rsid w:val="543117F2"/>
    <w:rsid w:val="54D06548"/>
    <w:rsid w:val="54E753F5"/>
    <w:rsid w:val="55E8634D"/>
    <w:rsid w:val="56074C5D"/>
    <w:rsid w:val="563F7F48"/>
    <w:rsid w:val="56F7427F"/>
    <w:rsid w:val="575C572B"/>
    <w:rsid w:val="5779221D"/>
    <w:rsid w:val="584C4C5F"/>
    <w:rsid w:val="589B5008"/>
    <w:rsid w:val="58A326D8"/>
    <w:rsid w:val="59466376"/>
    <w:rsid w:val="5AE03675"/>
    <w:rsid w:val="5BF51433"/>
    <w:rsid w:val="5D3A2B61"/>
    <w:rsid w:val="5E7F4C2B"/>
    <w:rsid w:val="5F23F087"/>
    <w:rsid w:val="5F6568F7"/>
    <w:rsid w:val="5FFF15C4"/>
    <w:rsid w:val="5FFF8D5C"/>
    <w:rsid w:val="60C802BC"/>
    <w:rsid w:val="610E0E32"/>
    <w:rsid w:val="61DE0EB4"/>
    <w:rsid w:val="623151CA"/>
    <w:rsid w:val="625059B8"/>
    <w:rsid w:val="62FE10F2"/>
    <w:rsid w:val="6393434F"/>
    <w:rsid w:val="63A419D8"/>
    <w:rsid w:val="64D37E08"/>
    <w:rsid w:val="64DB7056"/>
    <w:rsid w:val="65FD25F5"/>
    <w:rsid w:val="66982F4F"/>
    <w:rsid w:val="66C07C02"/>
    <w:rsid w:val="66F0546D"/>
    <w:rsid w:val="67486004"/>
    <w:rsid w:val="67DB1C97"/>
    <w:rsid w:val="6888651F"/>
    <w:rsid w:val="6894168D"/>
    <w:rsid w:val="68EB6152"/>
    <w:rsid w:val="69B52798"/>
    <w:rsid w:val="6A7451AD"/>
    <w:rsid w:val="6AC14C27"/>
    <w:rsid w:val="6BC41409"/>
    <w:rsid w:val="6C030E4B"/>
    <w:rsid w:val="6C5C62E3"/>
    <w:rsid w:val="6CAB30BC"/>
    <w:rsid w:val="6CED51AD"/>
    <w:rsid w:val="6D042BC1"/>
    <w:rsid w:val="6E365A3C"/>
    <w:rsid w:val="6FCC3E6E"/>
    <w:rsid w:val="6FEFB7EB"/>
    <w:rsid w:val="71D6011D"/>
    <w:rsid w:val="72694444"/>
    <w:rsid w:val="72AF14FA"/>
    <w:rsid w:val="73A0155B"/>
    <w:rsid w:val="73DF2968"/>
    <w:rsid w:val="73FDC8C0"/>
    <w:rsid w:val="74F90479"/>
    <w:rsid w:val="750C1C31"/>
    <w:rsid w:val="75B717BE"/>
    <w:rsid w:val="75DACFB4"/>
    <w:rsid w:val="75DD36E3"/>
    <w:rsid w:val="7625601A"/>
    <w:rsid w:val="764053D0"/>
    <w:rsid w:val="77BF249E"/>
    <w:rsid w:val="78D33F7B"/>
    <w:rsid w:val="798E36E0"/>
    <w:rsid w:val="7BDF157F"/>
    <w:rsid w:val="7C1A6A34"/>
    <w:rsid w:val="7CA7F01C"/>
    <w:rsid w:val="7CBD213A"/>
    <w:rsid w:val="7CBE4AD3"/>
    <w:rsid w:val="7CC4499D"/>
    <w:rsid w:val="7D1C7CE5"/>
    <w:rsid w:val="7D63EB3B"/>
    <w:rsid w:val="7ECB7E26"/>
    <w:rsid w:val="7F363046"/>
    <w:rsid w:val="7F7FF29C"/>
    <w:rsid w:val="7FB58BE1"/>
    <w:rsid w:val="7FEEB544"/>
    <w:rsid w:val="7FF7ED48"/>
    <w:rsid w:val="8EFFBC18"/>
    <w:rsid w:val="9FFE61B6"/>
    <w:rsid w:val="E5FBAAAA"/>
    <w:rsid w:val="E7A2F884"/>
    <w:rsid w:val="EBFB17B4"/>
    <w:rsid w:val="EEDFAE39"/>
    <w:rsid w:val="EFEE286F"/>
    <w:rsid w:val="F2FFD4DB"/>
    <w:rsid w:val="F94D465B"/>
    <w:rsid w:val="F96B78CC"/>
    <w:rsid w:val="FBB93E9C"/>
    <w:rsid w:val="FFB91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5967</Words>
  <Characters>6211</Characters>
  <Lines>0</Lines>
  <Paragraphs>0</Paragraphs>
  <TotalTime>1</TotalTime>
  <ScaleCrop>false</ScaleCrop>
  <LinksUpToDate>false</LinksUpToDate>
  <CharactersWithSpaces>6227</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2025-07-10T02:47:00Z</dcterms:created>
  <dc:creator>黄佩琳</dc:creator>
  <cp:lastModifiedBy>黎恩</cp:lastModifiedBy>
  <cp:lastPrinted>2026-03-20T06:46:00Z</cp:lastPrinted>
  <dcterms:modified xsi:type="dcterms:W3CDTF">2026-06-26T09:10:14Z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18EBFC2A2A144A7B81107828AC4A451B_13</vt:lpwstr>
  </property>
  <property fmtid="{D5CDD505-2E9C-101B-9397-08002B2CF9AE}" pid="4" name="KSOTemplateDocerSaveRecord">
    <vt:lpwstr>eyJoZGlkIjoiY2NiNzc0ZWE4MzBjY2JmMGYyMmY4NjkxNmNhZGJlNDUiLCJ1c2VySWQiOiI4NzUyMjIyNTQifQ==</vt:lpwstr>
  </property>
</Properties>
</file>