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ascii="宋体" w:hAnsi="宋体" w:cs="宋体"/>
          <w:b/>
          <w:color w:val="000000" w:themeColor="text1"/>
          <w:sz w:val="36"/>
          <w:szCs w:val="36"/>
          <w14:textFill>
            <w14:solidFill>
              <w14:schemeClr w14:val="tx1"/>
            </w14:solidFill>
          </w14:textFill>
        </w:rPr>
        <w:t>QH2026076</w:t>
      </w: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ascii="宋体" w:hAnsi="宋体" w:cs="宋体"/>
          <w:b/>
          <w:color w:val="000000"/>
          <w:sz w:val="36"/>
          <w:szCs w:val="36"/>
        </w:rPr>
        <w:t>前海管理局2026年政府采购领域清查</w:t>
      </w:r>
      <w:r>
        <w:rPr>
          <w:rFonts w:hint="eastAsia" w:ascii="宋体" w:hAnsi="宋体" w:cs="宋体"/>
          <w:b/>
          <w:color w:val="000000"/>
          <w:sz w:val="36"/>
          <w:szCs w:val="36"/>
        </w:rPr>
        <w:t>服务</w:t>
      </w:r>
      <w:r>
        <w:rPr>
          <w:rFonts w:ascii="宋体" w:hAnsi="宋体" w:cs="宋体"/>
          <w:b/>
          <w:color w:val="000000"/>
          <w:sz w:val="36"/>
          <w:szCs w:val="36"/>
        </w:rPr>
        <w:t>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2026年6月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8"/>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8"/>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8"/>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8"/>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8"/>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8"/>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shd w:val="clear"/>
        <w:autoSpaceDE w:val="0"/>
        <w:autoSpaceDN w:val="0"/>
        <w:adjustRightInd w:val="0"/>
        <w:spacing w:line="360" w:lineRule="auto"/>
        <w:ind w:firstLine="482" w:firstLineChars="200"/>
        <w:jc w:val="left"/>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关于享受对本国产品的政府采购支持政策的主体、价格扣除比例等事项的说明。</w:t>
      </w:r>
    </w:p>
    <w:p>
      <w:pPr>
        <w:shd w:val="clea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1适用主体：国有企业、民营企业、外资企业等各类经营主体平等享受对本国产品的政府采购支持政策。</w:t>
      </w:r>
    </w:p>
    <w:p>
      <w:pPr>
        <w:shd w:val="clea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hd w:val="clea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hd w:val="clea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shd w:val="clear"/>
        <w:autoSpaceDE w:val="0"/>
        <w:autoSpaceDN w:val="0"/>
        <w:adjustRightInd w:val="0"/>
        <w:spacing w:line="360" w:lineRule="auto"/>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关于同时满足中小企业扶持政策和对本国产品的支持政策的事项说明。</w:t>
      </w:r>
    </w:p>
    <w:p>
      <w:pPr>
        <w:shd w:val="clea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20%-100</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10%=70元。具体情形如下：</w:t>
      </w:r>
    </w:p>
    <w:p>
      <w:pPr>
        <w:shd w:val="clea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hd w:val="clea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上述支持政策不改变最终中标（成交）价格，政府采购合同仍按照中标（成交）供应商的报价签订。</w:t>
      </w:r>
    </w:p>
    <w:p>
      <w:pPr>
        <w:rPr>
          <w:rFonts w:hint="eastAsia"/>
        </w:rPr>
      </w:pP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p>
    <w:p>
      <w:pP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5"/>
        <w:tabs>
          <w:tab w:val="right" w:leader="dot" w:pos="8306"/>
        </w:tabs>
        <w:spacing w:line="480" w:lineRule="auto"/>
        <w:rPr>
          <w:b/>
          <w:bCs/>
          <w:color w:val="000000" w:themeColor="text1"/>
          <w:sz w:val="24"/>
          <w:szCs w:val="32"/>
          <w14:textFill>
            <w14:solidFill>
              <w14:schemeClr w14:val="tx1"/>
            </w14:solidFill>
          </w14:textFill>
        </w:rPr>
      </w:pPr>
    </w:p>
    <w:p>
      <w:pPr>
        <w:pStyle w:val="15"/>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fldChar w:fldCharType="begin"/>
      </w:r>
      <w:r>
        <w:instrText xml:space="preserve"> HYPERLINK \l "_Toc17273" </w:instrText>
      </w:r>
      <w: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8</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"_Toc10214" </w:instrText>
      </w:r>
      <w: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12</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"_Toc20176" </w:instrText>
      </w:r>
      <w: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"_Toc3567" </w:instrText>
      </w:r>
      <w: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17</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"_Toc25518" </w:instrText>
      </w:r>
      <w: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"_Toc23822" </w:instrText>
      </w:r>
      <w: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"_Toc9548" </w:instrText>
      </w:r>
      <w: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5"/>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"_Toc742" </w:instrText>
      </w:r>
      <w: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5"/>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文件编码：0722-26FE6455SZF-1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ascii="宋体" w:hAnsi="宋体" w:cs="宋体"/>
          <w:color w:val="000000"/>
          <w:sz w:val="24"/>
          <w:u w:val="single"/>
        </w:rPr>
        <w:t>前海管理局2026年政府采购领域清查</w:t>
      </w:r>
      <w:r>
        <w:rPr>
          <w:rFonts w:hint="eastAsia" w:ascii="宋体" w:hAnsi="宋体" w:cs="宋体"/>
          <w:color w:val="000000"/>
          <w:sz w:val="24"/>
          <w:u w:val="single"/>
        </w:rPr>
        <w:t>服务</w:t>
      </w:r>
      <w:r>
        <w:rPr>
          <w:rFonts w:ascii="宋体" w:hAnsi="宋体" w:cs="宋体"/>
          <w:color w:val="000000"/>
          <w:sz w:val="24"/>
          <w:u w:val="single"/>
        </w:rPr>
        <w:t>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QH2026076</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前海管理局2026年政府采购领域清查服务项目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sz w:val="24"/>
              </w:rPr>
              <w:t>清查供应商、采购人、采购代理机构、评审专家及有关部门工作人员等5个方面18类违法违规行为，开展政府采购领域清查工作。清查范围为2023年1月1日—2026年4月30日实施的前海管理局政府采购项目。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¥280,000.00（人民币贰拾捌万元整）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2026年</w:t>
            </w:r>
            <w:r>
              <w:rPr>
                <w:rFonts w:hint="eastAsia" w:ascii="宋体" w:hAnsi="宋体" w:cs="宋体"/>
                <w:b/>
                <w:bCs/>
                <w:color w:val="000000" w:themeColor="text1"/>
                <w:kern w:val="0"/>
                <w:sz w:val="24"/>
                <w:lang w:val="en-US" w:eastAsia="zh-CN"/>
                <w14:textFill>
                  <w14:solidFill>
                    <w14:schemeClr w14:val="tx1"/>
                  </w14:solidFill>
                </w14:textFill>
              </w:rPr>
              <w:t>7</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前送达（现场递交或邮寄）至深圳市南山区前海深港合作区桂湾五路123号前海管理局前海大厦T1栋2516室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人：郭女士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话：0755-88105026</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8"/>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已包含中标人提供本项目服务的全部费用，本项目服务费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采购方的费用；差旅费；税费等所有费用；由企业根据招标文件所提供的资料自行测算投标报价；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8" w:name="_Toc28359009"/>
            <w:bookmarkStart w:id="9"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联系人：郭女士</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话：0755-88105026</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87"/>
            <w:bookmarkStart w:id="11"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w:t>
            </w:r>
            <w:r>
              <w:rPr>
                <w:rFonts w:hint="eastAsia" w:ascii="宋体" w:hAnsi="宋体" w:cs="宋体"/>
                <w:color w:val="000000" w:themeColor="text1"/>
                <w:kern w:val="0"/>
                <w:sz w:val="24"/>
                <w:lang w:eastAsia="zh-CN"/>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2026年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2" w:name="_Toc10214"/>
      <w:r>
        <w:rPr>
          <w:rFonts w:hint="eastAsia" w:ascii="宋体" w:hAnsi="宋体" w:cs="宋体"/>
          <w:b/>
          <w:bCs/>
          <w:color w:val="000000" w:themeColor="text1"/>
          <w:sz w:val="24"/>
          <w14:textFill>
            <w14:solidFill>
              <w14:schemeClr w14:val="tx1"/>
            </w14:solidFill>
          </w14:textFill>
        </w:rPr>
        <w:t>投标须知</w:t>
      </w:r>
      <w:bookmarkEnd w:id="12"/>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ascii="宋体" w:hAnsi="宋体" w:cs="宋体"/>
          <w:color w:val="000000"/>
          <w:sz w:val="24"/>
        </w:rPr>
        <w:t>前海管理局2026年政府采购领域清查</w:t>
      </w:r>
      <w:r>
        <w:rPr>
          <w:rFonts w:hint="eastAsia" w:ascii="宋体" w:hAnsi="宋体" w:cs="宋体"/>
          <w:color w:val="000000"/>
          <w:sz w:val="24"/>
        </w:rPr>
        <w:t>服务</w:t>
      </w:r>
      <w:r>
        <w:rPr>
          <w:rFonts w:ascii="宋体" w:hAnsi="宋体" w:cs="宋体"/>
          <w:color w:val="000000"/>
          <w:sz w:val="24"/>
        </w:rPr>
        <w:t>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3"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3"/>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4" w:name="_Toc20176"/>
      <w:r>
        <w:rPr>
          <w:rFonts w:hint="eastAsia" w:ascii="宋体" w:hAnsi="宋体" w:cs="宋体"/>
          <w:b/>
          <w:bCs/>
          <w:color w:val="000000" w:themeColor="text1"/>
          <w:sz w:val="24"/>
          <w14:textFill>
            <w14:solidFill>
              <w14:schemeClr w14:val="tx1"/>
            </w14:solidFill>
          </w14:textFill>
        </w:rPr>
        <w:t>评标程序</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四、开标时间：2026年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五、会议开始：2026年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八、采购代理机构就投标文件中的资格证明等内容对投标供应商进行资格审查。</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九、评审委员会审查供应商的投标文件，工作人员记录审查的情况。</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十、</w:t>
      </w:r>
      <w:r>
        <w:rPr>
          <w:rFonts w:hint="eastAsia" w:ascii="宋体" w:hAnsi="宋体" w:cs="宋体"/>
          <w:color w:val="000000" w:themeColor="text1"/>
          <w:sz w:val="24"/>
          <w:highlight w:val="none"/>
          <w14:textFill>
            <w14:solidFill>
              <w14:schemeClr w14:val="tx1"/>
            </w14:solidFill>
          </w14:textFill>
        </w:rPr>
        <w:t>评审委员会按以下工作程序进行：</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1、评标委员会对各供应商的投标文件进行符合性审查，对未能通过符合性审查的投标文件作投标无效处理。</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2、对通过初审的供应商的投标文件进行详细的比较和评价。如需要，进行必要的澄清/说明工作。</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3、根据参与投标且符合招标文件要求的供应商数量情况，确定本项目的评审方法。</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4、采用综合评分法的情况：评审委员会将分别对供应商递交的投标文件进行评审。</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4.2如果二个及以上供应商的综合评分相同时，取投标价格低者为第一中标候选人。</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4.3如果二个及以上供应商的综合评分相同，且投标价格也相同时，取技术部分得分高者为第一中标候选人。</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5、采用谈判的情况：参与投标且符合招标文件要求的供应商仅有一家，评审委员会将与投标供应商进行谈判。</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供应商在谈判时由项目负责人与评审委员会进行谈判；</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原则上成交价不超过最初报价的95%。</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val="en-US" w:eastAsia="zh-CN"/>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、根据本次采购的结果，1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个工作日内与中标供应商签订合同</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5" w:name="_Toc3567"/>
      <w:r>
        <w:rPr>
          <w:rFonts w:hint="eastAsia" w:ascii="宋体" w:hAnsi="宋体" w:cs="宋体"/>
          <w:b/>
          <w:bCs/>
          <w:color w:val="000000" w:themeColor="text1"/>
          <w:sz w:val="24"/>
          <w14:textFill>
            <w14:solidFill>
              <w14:schemeClr w14:val="tx1"/>
            </w14:solidFill>
          </w14:textFill>
        </w:rPr>
        <w:t>合同格式及合同条款</w:t>
      </w:r>
      <w:bookmarkEnd w:id="15"/>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6" w:name="_Toc84303603"/>
      <w:bookmarkStart w:id="17" w:name="_Toc73521592"/>
      <w:bookmarkStart w:id="18" w:name="_Toc73517685"/>
      <w:bookmarkStart w:id="19" w:name="_Toc73521680"/>
      <w:bookmarkStart w:id="20" w:name="_Toc101074886"/>
      <w:bookmarkStart w:id="21" w:name="_Toc73518163"/>
      <w:bookmarkStart w:id="22" w:name="_Toc100052414"/>
    </w:p>
    <w:bookmarkEnd w:id="16"/>
    <w:bookmarkEnd w:id="17"/>
    <w:bookmarkEnd w:id="18"/>
    <w:bookmarkEnd w:id="19"/>
    <w:bookmarkEnd w:id="20"/>
    <w:bookmarkEnd w:id="21"/>
    <w:bookmarkEnd w:id="22"/>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前海管理局2026年政府采购领域清查服务项目委托合同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：前海管理局2026年政府采购领域清查服务项目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二〇二六年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560" w:lineRule="exact"/>
        <w:ind w:left="2168" w:hanging="2168" w:hangingChars="9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甲方：深圳市前海深港现代服务业合作区管理局</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法定代表人：王守睿</w:t>
      </w:r>
    </w:p>
    <w:p>
      <w:pPr>
        <w:spacing w:line="560" w:lineRule="exact"/>
        <w:ind w:left="720" w:hanging="720" w:hanging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地址：深圳市前海深港合作区桂湾五路123号前海大厦T1栋前海管理局</w:t>
      </w:r>
    </w:p>
    <w:p>
      <w:pPr>
        <w:spacing w:line="560" w:lineRule="exact"/>
        <w:rPr>
          <w:rFonts w:hint="eastAsia" w:ascii="宋体" w:hAnsi="宋体" w:cs="宋体"/>
          <w:color w:val="000000" w:themeColor="text1"/>
          <w:sz w:val="24"/>
          <w14:textFill>
            <w14:solidFill>
              <w14:schemeClr w14:val="tx1"/>
            </w14:solidFill>
          </w14:textFill>
        </w:rPr>
      </w:pP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pPr>
        <w:widowControl/>
        <w:spacing w:line="560" w:lineRule="exact"/>
        <w:rPr>
          <w:rFonts w:hint="eastAsia" w:ascii="宋体" w:hAnsi="宋体" w:cs="宋体"/>
          <w:color w:val="000000" w:themeColor="text1"/>
          <w:sz w:val="24"/>
          <w14:textFill>
            <w14:solidFill>
              <w14:schemeClr w14:val="tx1"/>
            </w14:solidFill>
          </w14:textFill>
        </w:rPr>
      </w:pP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2026XXX】招标项目的中标结果，甲、乙双方经友好协商，就甲方委托乙方承担前海管理局2026年政府采购领域清查服务项目（以下简称本项目），达成以下合同条款：</w:t>
      </w:r>
    </w:p>
    <w:p>
      <w:pPr>
        <w:spacing w:line="560" w:lineRule="exact"/>
        <w:ind w:firstLine="482" w:firstLineChars="200"/>
        <w:outlineLvl w:val="2"/>
        <w:rPr>
          <w:rFonts w:hint="eastAsia" w:ascii="宋体" w:hAnsi="宋体" w:cs="宋体"/>
          <w:color w:val="000000" w:themeColor="text1"/>
          <w:sz w:val="24"/>
          <w14:textFill>
            <w14:solidFill>
              <w14:schemeClr w14:val="tx1"/>
            </w14:solidFill>
          </w14:textFill>
        </w:rPr>
      </w:pPr>
      <w:bookmarkStart w:id="23" w:name="_Toc16131"/>
      <w:r>
        <w:rPr>
          <w:rFonts w:hint="eastAsia" w:ascii="宋体" w:hAnsi="宋体" w:cs="宋体"/>
          <w:b/>
          <w:bCs/>
          <w:color w:val="000000" w:themeColor="text1"/>
          <w:sz w:val="24"/>
          <w14:textFill>
            <w14:solidFill>
              <w14:schemeClr w14:val="tx1"/>
            </w14:solidFill>
          </w14:textFill>
        </w:rPr>
        <w:t>一、服务内容</w:t>
      </w:r>
      <w:bookmarkEnd w:id="23"/>
      <w:bookmarkStart w:id="24" w:name="_Toc23975"/>
    </w:p>
    <w:bookmarkEnd w:id="24"/>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1.项目名称：前海管理局2026年政府采购领域清查服务项目。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2.项目概况：本次清查范围为2023年1月1日—2026年4月30日实施的前海管理局政府采购项目，具体包括供应商、采购人、采购代理机构、评审专家及有关部门工作人员等5个方面18类违法违规行为。</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3.项目内容：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3.1.供应商违法行为排查。重点筛查供应商围标串标、提供虚假材料（如虚假检测报告、认证证书、合同业绩、中小企业声明函等）等违法线索；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3.2.采购人行为合规性审查。聚焦采购人在采购过程中的行为是否符合法律法规要求，重点排查是否存在设置差别歧视条款、指向特定供应商、以不合理条件排斥潜在投标人等违法违规行为；</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3.3采购代理机构履职检查。全面检查代理机构在采购活动中的履职尽责情况，重点排查代理机构是否存在违规收费、逾期退还保证金、不作为乱作为等问题；</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3.4.采购文件与合同履约审查。对采购文件合规性、合同签订及履行情况、履约验收及资金支付等进行全面核查；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3.5.问题线索整理与报告编制。汇总整理排查发现的问题线索，梳理形成问题清单和整改台账，找准问题的根因，系统性提出资产管理建议，出具专项排查工作报告。</w:t>
      </w:r>
    </w:p>
    <w:p>
      <w:pPr>
        <w:tabs>
          <w:tab w:val="left" w:pos="720"/>
        </w:tabs>
        <w:autoSpaceDE w:val="0"/>
        <w:autoSpaceDN w:val="0"/>
        <w:adjustRightInd w:val="0"/>
        <w:spacing w:line="360" w:lineRule="auto"/>
        <w:ind w:right="17" w:firstLine="480" w:firstLineChars="200"/>
        <w:jc w:val="left"/>
        <w:outlineLvl w:val="1"/>
        <w:rPr>
          <w:rFonts w:hint="eastAsia" w:ascii="宋体" w:hAnsi="宋体" w:eastAsia="宋体" w:cs="宋体"/>
          <w:bCs/>
          <w:color w:val="000000"/>
          <w:sz w:val="24"/>
        </w:rPr>
      </w:pPr>
      <w:r>
        <w:rPr>
          <w:rFonts w:hint="eastAsia" w:ascii="宋体" w:hAnsi="宋体" w:eastAsia="宋体" w:cs="宋体"/>
          <w:bCs/>
          <w:color w:val="000000"/>
          <w:sz w:val="24"/>
        </w:rPr>
        <w:t>3.6制度完善与协助培训。针对整治中暴露的问题，深挖问题症结，按照政府采购公开透明、廉洁诚信的要求，协助完善内控工作机制，加快制度机制建设。协助</w:t>
      </w:r>
      <w:r>
        <w:rPr>
          <w:rFonts w:hint="eastAsia" w:ascii="宋体" w:hAnsi="宋体" w:eastAsia="宋体" w:cs="宋体"/>
          <w:bCs/>
          <w:color w:val="000000"/>
          <w:sz w:val="24"/>
          <w:lang w:eastAsia="zh-CN"/>
        </w:rPr>
        <w:t>甲方</w:t>
      </w:r>
      <w:r>
        <w:rPr>
          <w:rFonts w:hint="eastAsia" w:ascii="宋体" w:hAnsi="宋体" w:eastAsia="宋体" w:cs="宋体"/>
          <w:bCs/>
          <w:color w:val="000000"/>
          <w:sz w:val="24"/>
        </w:rPr>
        <w:t>开展政府采购培训，提升</w:t>
      </w:r>
      <w:r>
        <w:rPr>
          <w:rFonts w:hint="eastAsia" w:ascii="宋体" w:hAnsi="宋体" w:eastAsia="宋体" w:cs="宋体"/>
          <w:bCs/>
          <w:color w:val="000000"/>
          <w:sz w:val="24"/>
          <w:lang w:eastAsia="zh-CN"/>
        </w:rPr>
        <w:t>甲方</w:t>
      </w:r>
      <w:r>
        <w:rPr>
          <w:rFonts w:hint="eastAsia" w:ascii="宋体" w:hAnsi="宋体" w:eastAsia="宋体" w:cs="宋体"/>
          <w:bCs/>
          <w:color w:val="000000"/>
          <w:sz w:val="24"/>
        </w:rPr>
        <w:t>各处室的政府采购业务能力。</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sz w:val="24"/>
        </w:rPr>
      </w:pPr>
      <w:r>
        <w:rPr>
          <w:rFonts w:hint="eastAsia" w:ascii="宋体" w:hAnsi="宋体" w:cs="宋体"/>
          <w:color w:val="000000"/>
          <w:sz w:val="24"/>
        </w:rPr>
        <w:t>4.服务地点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sz w:val="24"/>
        </w:rPr>
      </w:pPr>
      <w:r>
        <w:rPr>
          <w:rFonts w:hint="eastAsia" w:ascii="宋体" w:hAnsi="宋体" w:cs="宋体"/>
          <w:color w:val="000000"/>
          <w:sz w:val="24"/>
        </w:rPr>
        <w:t>甲方指定地点。</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第二条  服务期限及工作进程</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1、服务期限：本项目服务时间为自签署合同之日起</w:t>
      </w:r>
      <w:r>
        <w:rPr>
          <w:rFonts w:ascii="宋体" w:hAnsi="宋体" w:cs="宋体"/>
          <w:color w:val="000000"/>
          <w:sz w:val="24"/>
        </w:rPr>
        <w:t>6</w:t>
      </w:r>
      <w:r>
        <w:rPr>
          <w:rFonts w:hint="eastAsia" w:ascii="宋体" w:hAnsi="宋体" w:cs="宋体"/>
          <w:color w:val="000000"/>
          <w:sz w:val="24"/>
        </w:rPr>
        <w:t>个月内。</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2.工作计划</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）2026年8月31日前，乙方应向甲方提交初步报告；</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）2026年9月30日前，乙方根据甲方意见完成修改，并提交总结报告终稿。</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3.后续服务要求</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本项目后续服务期限为乙方提交的本项目最终成果通过甲方审查验收之日起一年。服务期内乙方应向甲方提供后续的专业技术支持与咨询服务。</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第三条  项目资料归属</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1、所有提交给甲方的项目文件及相关资料的</w:t>
      </w:r>
      <w:r>
        <w:rPr>
          <w:rFonts w:ascii="宋体" w:hAnsi="宋体" w:cs="宋体"/>
          <w:color w:val="000000"/>
          <w:sz w:val="24"/>
        </w:rPr>
        <w:t>阶段性成果及</w:t>
      </w:r>
      <w:r>
        <w:rPr>
          <w:rFonts w:hint="eastAsia" w:ascii="宋体" w:hAnsi="宋体" w:cs="宋体"/>
          <w:color w:val="000000"/>
          <w:sz w:val="24"/>
        </w:rPr>
        <w:t>最后文本，包括为履行服务范围所编制的计划和证明资料等，都属于甲方</w:t>
      </w:r>
      <w:r>
        <w:rPr>
          <w:rFonts w:ascii="宋体" w:hAnsi="宋体" w:cs="宋体"/>
          <w:color w:val="000000"/>
          <w:sz w:val="24"/>
        </w:rPr>
        <w:t>所有</w:t>
      </w:r>
      <w:r>
        <w:rPr>
          <w:rFonts w:hint="eastAsia" w:ascii="宋体" w:hAnsi="宋体" w:cs="宋体"/>
          <w:color w:val="000000"/>
          <w:sz w:val="24"/>
        </w:rPr>
        <w:t>，乙方在提交给甲方之前应将上述资料进行整理归类和编制索引。</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第四条  甲方的义务</w:t>
      </w:r>
    </w:p>
    <w:p>
      <w:pPr>
        <w:spacing w:line="460" w:lineRule="exact"/>
        <w:ind w:firstLine="480" w:firstLineChars="200"/>
        <w:rPr>
          <w:rFonts w:hint="eastAsia" w:ascii="宋体" w:hAnsi="宋体" w:cs="宋体"/>
          <w:color w:val="000000"/>
          <w:sz w:val="24"/>
        </w:rPr>
      </w:pPr>
      <w:r>
        <w:rPr>
          <w:rFonts w:ascii="宋体" w:hAnsi="宋体" w:cs="宋体"/>
          <w:color w:val="000000"/>
          <w:sz w:val="24"/>
        </w:rPr>
        <w:t>1</w:t>
      </w:r>
      <w:r>
        <w:rPr>
          <w:rFonts w:hint="eastAsia" w:ascii="宋体" w:hAnsi="宋体" w:cs="宋体"/>
          <w:color w:val="000000"/>
          <w:sz w:val="24"/>
        </w:rPr>
        <w:t>、向乙方提供与本项目服务工作有关的资料。</w:t>
      </w:r>
    </w:p>
    <w:p>
      <w:pPr>
        <w:spacing w:line="460" w:lineRule="exact"/>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、负责组织对项目成果的</w:t>
      </w:r>
      <w:r>
        <w:rPr>
          <w:rFonts w:ascii="宋体" w:hAnsi="宋体" w:cs="宋体"/>
          <w:color w:val="000000"/>
          <w:sz w:val="24"/>
        </w:rPr>
        <w:t>验收</w:t>
      </w:r>
      <w:r>
        <w:rPr>
          <w:rFonts w:hint="eastAsia" w:ascii="宋体" w:hAnsi="宋体" w:cs="宋体"/>
          <w:color w:val="000000"/>
          <w:sz w:val="24"/>
        </w:rPr>
        <w:t>。</w:t>
      </w:r>
    </w:p>
    <w:p>
      <w:pPr>
        <w:spacing w:line="460" w:lineRule="exact"/>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、根据合同的条款按时支付合同价款。</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第五条 乙方的义务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１、应按照【QH2026XXX】号招标文件、乙方投标文件以及本合同的要求按期完成本项目服务工作。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4、对甲方提出的合理的额外服务，不应予以拒绝。</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sz w:val="24"/>
          <w:lang w:eastAsia="zh-CN"/>
        </w:rPr>
        <w:t>账</w:t>
      </w:r>
      <w:r>
        <w:rPr>
          <w:rFonts w:hint="eastAsia" w:ascii="宋体" w:hAnsi="宋体" w:cs="宋体"/>
          <w:color w:val="000000"/>
          <w:sz w:val="24"/>
        </w:rPr>
        <w:t>资料交给甲方。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乙方应确保项目活动期间场地的安全，在项目活动期间对场地及设施进行维护及现场管理，确保活动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14、乙方指定项目联系人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乙方：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姓名：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联系方式： </w:t>
      </w:r>
    </w:p>
    <w:p>
      <w:pPr>
        <w:spacing w:line="360" w:lineRule="auto"/>
        <w:ind w:firstLine="480" w:firstLineChars="200"/>
        <w:rPr>
          <w:color w:val="000000"/>
        </w:rPr>
      </w:pPr>
      <w:r>
        <w:rPr>
          <w:rFonts w:hint="eastAsia" w:ascii="宋体" w:hAnsi="宋体" w:cs="宋体"/>
          <w:color w:val="000000"/>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第六条  甲方的权利</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5、甲方对乙方在委托权限范围内完成委托事项有指导、监督权利。</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sz w:val="24"/>
        </w:rPr>
      </w:pPr>
      <w:r>
        <w:rPr>
          <w:rFonts w:hint="eastAsia" w:ascii="宋体" w:hAnsi="宋体" w:cs="宋体"/>
          <w:color w:val="000000"/>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第七条  乙方的权利</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1、乙方在本项目服务过程中，如甲方提供的资料不明确时可向甲方提出书面报告。</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3、乙方在本项目服务过程中，有到现场勘察并要求甲方协调的权利。</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4、根据合同约定收取相应的合同价款。</w:t>
      </w:r>
    </w:p>
    <w:p>
      <w:pPr>
        <w:spacing w:line="460" w:lineRule="exact"/>
        <w:ind w:firstLine="480" w:firstLineChars="200"/>
        <w:rPr>
          <w:rFonts w:hint="eastAsia" w:ascii="宋体" w:hAnsi="宋体" w:cs="宋体"/>
          <w:color w:val="000000"/>
          <w:sz w:val="24"/>
        </w:rPr>
      </w:pPr>
      <w:r>
        <w:rPr>
          <w:rFonts w:ascii="宋体" w:hAnsi="宋体" w:cs="宋体"/>
          <w:color w:val="000000"/>
          <w:sz w:val="24"/>
        </w:rPr>
        <w:t>5</w:t>
      </w:r>
      <w:r>
        <w:rPr>
          <w:rFonts w:hint="eastAsia" w:ascii="宋体" w:hAnsi="宋体" w:cs="宋体"/>
          <w:color w:val="000000"/>
          <w:sz w:val="24"/>
        </w:rPr>
        <w:t>、乙方就本协议项下全部义务无条件对甲方承担连带责任。</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第八条  人员要求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以下为本项目核心领导团队。</w:t>
      </w:r>
    </w:p>
    <w:tbl>
      <w:tblPr>
        <w:tblStyle w:val="23"/>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拟任</w:t>
            </w:r>
            <w:r>
              <w:rPr>
                <w:rFonts w:ascii="宋体" w:hAnsi="宋体" w:cs="宋体"/>
                <w:color w:val="000000"/>
                <w:sz w:val="24"/>
              </w:rPr>
              <w:t>团队</w:t>
            </w:r>
            <w:r>
              <w:rPr>
                <w:rFonts w:hint="eastAsia" w:ascii="宋体" w:hAnsi="宋体" w:cs="宋体"/>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sz w:val="24"/>
              </w:rPr>
            </w:pPr>
          </w:p>
        </w:tc>
      </w:tr>
    </w:tbl>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1、参加本项目的人员必须具有国家和有关部门规定的相应资质。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2、参加本项目的人员配置必须与合同中的项目成员组成一致，若需调整需经甲方</w:t>
      </w:r>
      <w:r>
        <w:rPr>
          <w:rFonts w:ascii="宋体" w:hAnsi="宋体" w:cs="宋体"/>
          <w:color w:val="000000"/>
          <w:sz w:val="24"/>
        </w:rPr>
        <w:t>书面</w:t>
      </w:r>
      <w:r>
        <w:rPr>
          <w:rFonts w:hint="eastAsia" w:ascii="宋体" w:hAnsi="宋体" w:cs="宋体"/>
          <w:color w:val="000000"/>
          <w:sz w:val="24"/>
        </w:rPr>
        <w:t>同意后，方可变更。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3、必须以乙方直属人员</w:t>
      </w:r>
      <w:r>
        <w:rPr>
          <w:rFonts w:ascii="宋体" w:hAnsi="宋体" w:cs="宋体"/>
          <w:color w:val="000000"/>
          <w:sz w:val="24"/>
        </w:rPr>
        <w:t>（直属人员指</w:t>
      </w:r>
      <w:r>
        <w:rPr>
          <w:rFonts w:hint="eastAsia" w:ascii="宋体" w:hAnsi="宋体" w:cs="宋体"/>
          <w:color w:val="000000"/>
          <w:sz w:val="24"/>
        </w:rPr>
        <w:t>劳动合同、社会保险等劳动关系</w:t>
      </w:r>
      <w:r>
        <w:rPr>
          <w:rFonts w:ascii="宋体" w:hAnsi="宋体" w:cs="宋体"/>
          <w:color w:val="000000"/>
          <w:sz w:val="24"/>
        </w:rPr>
        <w:t>在乙方的人员）</w:t>
      </w:r>
      <w:r>
        <w:rPr>
          <w:rFonts w:hint="eastAsia" w:ascii="宋体" w:hAnsi="宋体" w:cs="宋体"/>
          <w:color w:val="000000"/>
          <w:sz w:val="24"/>
        </w:rPr>
        <w:t>参与本项目服务，不得使用挂靠队伍。</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4、乙方须在服务期内提供1名驻点服务人员，能够独立完成甲方分配的工作。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5、项目团队应包括不少于5名成员（含1名项目团队负责人，1名驻点服务人员），在项目重要节点举行的项目汇报会应由项目团队负责人参加并汇报。</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第九条 成果权属与知识产权</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第十条  保密条款</w:t>
      </w:r>
    </w:p>
    <w:p>
      <w:pPr>
        <w:widowControl/>
        <w:spacing w:line="360" w:lineRule="auto"/>
        <w:ind w:firstLine="480" w:firstLineChars="200"/>
        <w:rPr>
          <w:rFonts w:hint="eastAsia" w:ascii="宋体" w:hAnsi="宋体" w:cs="宋体"/>
          <w:color w:val="000000"/>
          <w:sz w:val="24"/>
        </w:rPr>
      </w:pPr>
      <w:bookmarkStart w:id="25" w:name="_Toc216520223"/>
      <w:r>
        <w:rPr>
          <w:rFonts w:hint="eastAsia" w:ascii="宋体" w:hAnsi="宋体" w:cs="宋体"/>
          <w:color w:val="000000"/>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5"/>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4、乙方实施项目的程序应符合国家安全、保密的有关规定和标准。</w:t>
      </w:r>
    </w:p>
    <w:p>
      <w:pPr>
        <w:widowControl/>
        <w:spacing w:line="360" w:lineRule="auto"/>
        <w:ind w:firstLine="480" w:firstLineChars="200"/>
        <w:rPr>
          <w:rFonts w:hint="eastAsia" w:ascii="宋体" w:hAnsi="宋体" w:cs="宋体"/>
          <w:color w:val="000000"/>
          <w:sz w:val="24"/>
        </w:rPr>
      </w:pPr>
      <w:bookmarkStart w:id="26" w:name="_Toc216520224"/>
      <w:r>
        <w:rPr>
          <w:rFonts w:hint="eastAsia" w:ascii="宋体" w:hAnsi="宋体" w:cs="宋体"/>
          <w:color w:val="000000"/>
          <w:sz w:val="24"/>
        </w:rPr>
        <w:t>5</w:t>
      </w:r>
      <w:bookmarkEnd w:id="26"/>
      <w:bookmarkStart w:id="27" w:name="_Toc216520226"/>
      <w:r>
        <w:rPr>
          <w:rFonts w:hint="eastAsia" w:ascii="宋体" w:hAnsi="宋体" w:cs="宋体"/>
          <w:color w:val="000000"/>
          <w:sz w:val="24"/>
        </w:rPr>
        <w:t>、上述保密义务不适用以下情况：</w:t>
      </w:r>
      <w:bookmarkEnd w:id="27"/>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第十一条  项目服务费用及付款方式</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1、合同价款：合同总价为 </w:t>
      </w:r>
      <w:r>
        <w:rPr>
          <w:rFonts w:hint="eastAsia" w:ascii="宋体" w:hAnsi="宋体" w:cs="宋体"/>
          <w:color w:val="000000"/>
          <w:sz w:val="24"/>
          <w:u w:val="single"/>
        </w:rPr>
        <w:t>XX元</w:t>
      </w:r>
      <w:r>
        <w:rPr>
          <w:rFonts w:hint="eastAsia" w:ascii="宋体" w:hAnsi="宋体" w:cs="宋体"/>
          <w:color w:val="000000"/>
          <w:sz w:val="24"/>
        </w:rPr>
        <w:t xml:space="preserve"> （含税）。本项目服务费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w:t>
      </w:r>
      <w:r>
        <w:rPr>
          <w:rFonts w:hint="eastAsia" w:ascii="宋体" w:hAnsi="宋体" w:cs="宋体"/>
          <w:color w:val="000000"/>
          <w:sz w:val="24"/>
          <w:lang w:val="en-US" w:eastAsia="zh-CN"/>
        </w:rPr>
        <w:t>甲方</w:t>
      </w:r>
      <w:r>
        <w:rPr>
          <w:rFonts w:hint="eastAsia" w:ascii="宋体" w:hAnsi="宋体" w:cs="宋体"/>
          <w:color w:val="000000"/>
          <w:sz w:val="24"/>
        </w:rPr>
        <w:t>的费用；差旅费；税费等所有费用</w:t>
      </w:r>
      <w:r>
        <w:rPr>
          <w:rFonts w:hint="eastAsia" w:ascii="宋体" w:hAnsi="宋体" w:cs="宋体"/>
          <w:color w:val="000000"/>
          <w:sz w:val="24"/>
          <w:lang w:eastAsia="zh-CN"/>
        </w:rPr>
        <w:t>；</w:t>
      </w:r>
      <w:r>
        <w:rPr>
          <w:rFonts w:hint="eastAsia" w:ascii="宋体" w:hAnsi="宋体" w:cs="宋体"/>
          <w:color w:val="000000"/>
          <w:sz w:val="24"/>
        </w:rPr>
        <w:t>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2、付款方式：</w:t>
      </w:r>
    </w:p>
    <w:p>
      <w:pPr>
        <w:widowControl/>
        <w:spacing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项目资金由甲方分2期支付至乙方指定银行账户</w:t>
      </w:r>
      <w:r>
        <w:rPr>
          <w:rFonts w:hint="eastAsia" w:ascii="宋体" w:hAnsi="宋体" w:cs="宋体"/>
          <w:color w:val="000000"/>
          <w:sz w:val="24"/>
          <w:lang w:eastAsia="zh-CN"/>
        </w:rPr>
        <w:t>：</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2.1、第一期：自本合同签订之日起15个工作日内，根据乙方提出的付款申请，甲方向乙方支付合同总价款的50%；即</w:t>
      </w:r>
      <w:r>
        <w:rPr>
          <w:rFonts w:hint="eastAsia" w:ascii="宋体" w:hAnsi="宋体" w:cs="宋体"/>
          <w:color w:val="000000"/>
          <w:sz w:val="24"/>
          <w:u w:val="single"/>
        </w:rPr>
        <w:t xml:space="preserve">￥           </w:t>
      </w:r>
      <w:r>
        <w:rPr>
          <w:rFonts w:hint="eastAsia" w:ascii="宋体" w:hAnsi="宋体" w:cs="宋体"/>
          <w:color w:val="000000"/>
          <w:sz w:val="24"/>
        </w:rPr>
        <w:t>（大写：人民币       元整）</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2.2、第二期：交付全部成果并经验收通过后15个工作日内，根据乙方提出的付款申请，甲方向乙方支付同总价款的50%。即</w:t>
      </w:r>
      <w:r>
        <w:rPr>
          <w:rFonts w:hint="eastAsia" w:ascii="宋体" w:hAnsi="宋体" w:cs="宋体"/>
          <w:color w:val="000000"/>
          <w:sz w:val="24"/>
          <w:u w:val="single"/>
        </w:rPr>
        <w:t xml:space="preserve">￥           </w:t>
      </w:r>
      <w:r>
        <w:rPr>
          <w:rFonts w:hint="eastAsia" w:ascii="宋体" w:hAnsi="宋体" w:cs="宋体"/>
          <w:color w:val="000000"/>
          <w:sz w:val="24"/>
        </w:rPr>
        <w:t>（大写：人民币       元整）</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3、乙方银行账户信息：</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开户银行：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户名：</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账号：</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第十二条 项目最终成果及验收方式</w:t>
      </w:r>
    </w:p>
    <w:p>
      <w:pPr>
        <w:widowControl/>
        <w:spacing w:line="360" w:lineRule="auto"/>
        <w:ind w:firstLine="480" w:firstLineChars="200"/>
        <w:jc w:val="left"/>
        <w:outlineLvl w:val="2"/>
        <w:rPr>
          <w:rFonts w:hint="eastAsia" w:ascii="宋体" w:hAnsi="宋体" w:cs="宋体"/>
          <w:color w:val="000000"/>
          <w:sz w:val="24"/>
        </w:rPr>
      </w:pPr>
      <w:bookmarkStart w:id="28" w:name="OLE_LINK8"/>
      <w:r>
        <w:rPr>
          <w:rFonts w:hint="eastAsia" w:ascii="宋体" w:hAnsi="宋体" w:cs="宋体"/>
          <w:color w:val="000000"/>
          <w:sz w:val="24"/>
        </w:rPr>
        <w:t>1、项目最终成果：</w:t>
      </w:r>
    </w:p>
    <w:p>
      <w:pPr>
        <w:widowControl/>
        <w:spacing w:line="360" w:lineRule="auto"/>
        <w:ind w:firstLine="480" w:firstLineChars="200"/>
        <w:jc w:val="left"/>
        <w:outlineLvl w:val="2"/>
        <w:rPr>
          <w:rFonts w:hint="eastAsia" w:ascii="宋体" w:hAnsi="宋体" w:cs="宋体"/>
          <w:color w:val="000000"/>
          <w:sz w:val="24"/>
        </w:rPr>
      </w:pPr>
      <w:r>
        <w:rPr>
          <w:rFonts w:hint="eastAsia" w:ascii="宋体" w:hAnsi="宋体" w:cs="宋体"/>
          <w:color w:val="000000"/>
          <w:sz w:val="24"/>
        </w:rPr>
        <w:t>（1）《前海管理局政府采购领域清查专项报告》；</w:t>
      </w:r>
    </w:p>
    <w:p>
      <w:pPr>
        <w:widowControl/>
        <w:spacing w:line="360" w:lineRule="auto"/>
        <w:ind w:firstLine="480" w:firstLineChars="200"/>
        <w:jc w:val="left"/>
        <w:outlineLvl w:val="2"/>
        <w:rPr>
          <w:rFonts w:hint="eastAsia" w:ascii="宋体" w:hAnsi="宋体" w:cs="宋体"/>
          <w:color w:val="000000"/>
          <w:sz w:val="24"/>
        </w:rPr>
      </w:pPr>
      <w:r>
        <w:rPr>
          <w:rFonts w:hint="eastAsia" w:ascii="宋体" w:hAnsi="宋体" w:cs="宋体"/>
          <w:color w:val="000000"/>
          <w:sz w:val="24"/>
        </w:rPr>
        <w:t>（2）政府采购领域清查专项工作相关材料；</w:t>
      </w:r>
    </w:p>
    <w:p>
      <w:pPr>
        <w:pStyle w:val="7"/>
        <w:ind w:firstLine="480"/>
      </w:pPr>
      <w:r>
        <w:rPr>
          <w:rFonts w:hint="eastAsia" w:ascii="宋体" w:hAnsi="宋体" w:cs="宋体"/>
          <w:color w:val="000000"/>
          <w:sz w:val="24"/>
        </w:rPr>
        <w:t>（3）乙方须协助甲方每月向上级部门报送清查工作进展情况；</w:t>
      </w:r>
    </w:p>
    <w:p>
      <w:pPr>
        <w:widowControl/>
        <w:spacing w:line="360" w:lineRule="auto"/>
        <w:ind w:firstLine="480" w:firstLineChars="200"/>
        <w:jc w:val="left"/>
        <w:outlineLvl w:val="2"/>
        <w:rPr>
          <w:rFonts w:hint="eastAsia" w:ascii="宋体" w:hAnsi="宋体" w:cs="宋体"/>
          <w:color w:val="000000"/>
          <w:sz w:val="24"/>
        </w:rPr>
      </w:pPr>
      <w:r>
        <w:rPr>
          <w:rFonts w:hint="eastAsia" w:ascii="宋体" w:hAnsi="宋体" w:cs="宋体"/>
          <w:color w:val="000000"/>
          <w:sz w:val="24"/>
        </w:rPr>
        <w:t>（4）甲方根据清查情况要求供应商提供的其他成果材料，如表单整改意见、如涉及资产账、财务账等账务调账时需乙方出具的相关会计凭证。</w:t>
      </w:r>
    </w:p>
    <w:p>
      <w:pPr>
        <w:widowControl/>
        <w:spacing w:line="360" w:lineRule="auto"/>
        <w:ind w:firstLine="480" w:firstLineChars="200"/>
        <w:jc w:val="left"/>
        <w:outlineLvl w:val="2"/>
        <w:rPr>
          <w:rFonts w:hint="eastAsia" w:ascii="宋体" w:hAnsi="宋体" w:cs="宋体"/>
          <w:color w:val="000000"/>
          <w:sz w:val="24"/>
        </w:rPr>
      </w:pPr>
      <w:r>
        <w:rPr>
          <w:rFonts w:hint="eastAsia" w:ascii="宋体" w:hAnsi="宋体" w:cs="宋体"/>
          <w:color w:val="000000"/>
          <w:sz w:val="24"/>
        </w:rPr>
        <w:t>2、验收方式</w:t>
      </w:r>
    </w:p>
    <w:p>
      <w:pPr>
        <w:widowControl/>
        <w:spacing w:line="360" w:lineRule="auto"/>
        <w:ind w:firstLine="480" w:firstLineChars="200"/>
        <w:jc w:val="left"/>
        <w:outlineLvl w:val="2"/>
        <w:rPr>
          <w:rFonts w:hint="eastAsia" w:ascii="宋体" w:hAnsi="宋体" w:cs="宋体"/>
          <w:color w:val="000000"/>
          <w:sz w:val="24"/>
        </w:rPr>
      </w:pPr>
      <w:r>
        <w:rPr>
          <w:rFonts w:hint="eastAsia" w:ascii="宋体" w:hAnsi="宋体" w:cs="宋体"/>
          <w:color w:val="000000"/>
          <w:sz w:val="24"/>
        </w:rPr>
        <w:t>项目最终成果提交并通过</w:t>
      </w:r>
      <w:r>
        <w:rPr>
          <w:rFonts w:hint="eastAsia" w:ascii="宋体" w:hAnsi="宋体" w:cs="宋体"/>
          <w:color w:val="000000"/>
          <w:sz w:val="24"/>
          <w:lang w:val="en-US" w:eastAsia="zh-CN"/>
        </w:rPr>
        <w:t>甲方</w:t>
      </w:r>
      <w:r>
        <w:rPr>
          <w:rFonts w:hint="eastAsia" w:ascii="宋体" w:hAnsi="宋体" w:cs="宋体"/>
          <w:color w:val="000000"/>
          <w:sz w:val="24"/>
        </w:rPr>
        <w:t>验收及审查，视为验收合格。提交书面纸质和电子两个版本。</w:t>
      </w:r>
    </w:p>
    <w:bookmarkEnd w:id="28"/>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第十三条 合同提前终止</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szCs w:val="20"/>
        </w:rPr>
        <w:t>（1）</w:t>
      </w:r>
      <w:r>
        <w:rPr>
          <w:rFonts w:hint="eastAsia" w:ascii="宋体" w:hAnsi="宋体" w:cs="宋体"/>
          <w:color w:val="000000"/>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szCs w:val="20"/>
        </w:rPr>
        <w:t>（2）</w:t>
      </w:r>
      <w:r>
        <w:rPr>
          <w:rFonts w:hint="eastAsia" w:ascii="宋体" w:hAnsi="宋体" w:cs="宋体"/>
          <w:color w:val="000000"/>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szCs w:val="20"/>
        </w:rPr>
        <w:t>（1）</w:t>
      </w:r>
      <w:r>
        <w:rPr>
          <w:rFonts w:hint="eastAsia" w:ascii="宋体" w:hAnsi="宋体" w:cs="宋体"/>
          <w:color w:val="000000"/>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szCs w:val="20"/>
        </w:rPr>
        <w:t>（2）</w:t>
      </w:r>
      <w:r>
        <w:rPr>
          <w:rFonts w:hint="eastAsia" w:ascii="宋体" w:hAnsi="宋体" w:cs="宋体"/>
          <w:color w:val="000000"/>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szCs w:val="20"/>
        </w:rPr>
        <w:t>（3）</w:t>
      </w:r>
      <w:r>
        <w:rPr>
          <w:rFonts w:hint="eastAsia" w:ascii="宋体" w:hAnsi="宋体" w:cs="宋体"/>
          <w:color w:val="000000"/>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第十四条  争议解决办法</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第十五条 项目变更</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4、在合同所约定的工作范畴内的服务，本合同价格不予变更。</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第十六条 风险责任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乙方应完全地按照【QH2026XXX】号招标文件的要求和乙方投标文件的承诺完成本项目，出于自身财务、技术、人力等原因导致项目失败的，应承担全部责任。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第十七条  违约责任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3、本合同履行期间，发生下述情形时，甲方有权解除本合同，乙方除应退还甲方已支付的全部款项外</w:t>
      </w:r>
      <w:r>
        <w:rPr>
          <w:rFonts w:hint="eastAsia" w:ascii="宋体" w:hAnsi="宋体" w:cs="宋体"/>
          <w:color w:val="000000"/>
          <w:sz w:val="24"/>
          <w:lang w:eastAsia="zh-CN"/>
        </w:rPr>
        <w:t>，</w:t>
      </w:r>
      <w:r>
        <w:rPr>
          <w:rFonts w:hint="eastAsia" w:ascii="宋体" w:hAnsi="宋体" w:cs="宋体"/>
          <w:color w:val="000000"/>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（1）因乙方原因，未能按合同约定的日期(含协商延缓的日期)确保活动正常举办的；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（3）乙方虽如期提交最终成果，但连续二次未能通过甲方验收的；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（7）乙方明确表示或者以自己的行为表明不履行本合同的。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如甲方未按照本合同约定的时间支付服务费，乙方书面催告甲方并给予不少于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20%的违约金。</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outlineLvl w:val="1"/>
        <w:rPr>
          <w:rFonts w:hint="eastAsia" w:ascii="宋体" w:hAnsi="宋体" w:cs="宋体"/>
          <w:color w:val="000000"/>
          <w:sz w:val="24"/>
        </w:rPr>
      </w:pPr>
      <w:r>
        <w:rPr>
          <w:rFonts w:hint="eastAsia" w:ascii="宋体" w:hAnsi="宋体" w:cs="宋体"/>
          <w:color w:val="000000"/>
          <w:sz w:val="24"/>
        </w:rPr>
        <w:t>6、乙方无正当理由解除合同的，应向甲方支付合同总额20%的违约金。</w:t>
      </w:r>
    </w:p>
    <w:p>
      <w:pPr>
        <w:spacing w:line="360" w:lineRule="auto"/>
        <w:ind w:firstLine="482" w:firstLineChars="200"/>
        <w:outlineLvl w:val="1"/>
        <w:rPr>
          <w:rFonts w:hint="eastAsia" w:ascii="宋体" w:hAnsi="宋体" w:cs="宋体"/>
          <w:b/>
          <w:bCs/>
          <w:color w:val="000000"/>
          <w:sz w:val="24"/>
        </w:rPr>
      </w:pPr>
      <w:r>
        <w:rPr>
          <w:rFonts w:hint="eastAsia" w:ascii="宋体" w:hAnsi="宋体" w:cs="宋体"/>
          <w:b/>
          <w:bCs/>
          <w:color w:val="000000"/>
          <w:sz w:val="24"/>
        </w:rPr>
        <w:t>第十八条  其他</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（1）合同书及补充协议；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（2）中标通知书；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（3）招标文件（编号：    ）及其澄清、补正公告；</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3、本合同各条标题仅为提示之用，应以条文内容确定各方的权利义务。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kern w:val="0"/>
          <w:sz w:val="24"/>
        </w:rPr>
      </w:pPr>
      <w:r>
        <w:rPr>
          <w:rFonts w:hint="eastAsia" w:ascii="宋体" w:hAnsi="宋体" w:cs="宋体"/>
          <w:color w:val="000000"/>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12、本合同一式六份，甲、乙方各执三份，均具有同等法律效力。</w:t>
      </w:r>
    </w:p>
    <w:p>
      <w:pPr>
        <w:snapToGrid w:val="0"/>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w:t>
      </w:r>
    </w:p>
    <w:p>
      <w:pPr>
        <w:snapToGrid w:val="0"/>
        <w:spacing w:line="560" w:lineRule="exact"/>
        <w:ind w:firstLine="480" w:firstLineChars="200"/>
        <w:rPr>
          <w:rFonts w:hint="eastAsia" w:ascii="宋体" w:hAnsi="宋体" w:cs="宋体"/>
          <w:color w:val="000000" w:themeColor="text1"/>
          <w:sz w:val="24"/>
          <w14:textFill>
            <w14:solidFill>
              <w14:schemeClr w14:val="tx1"/>
            </w14:solidFill>
          </w14:textFill>
        </w:rPr>
      </w:pPr>
    </w:p>
    <w:p>
      <w:pPr>
        <w:pStyle w:val="7"/>
        <w:ind w:firstLine="480"/>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p>
    <w:p>
      <w:pPr>
        <w:pStyle w:val="19"/>
        <w:rPr>
          <w:rFonts w:hint="eastAsia" w:ascii="宋体" w:hAnsi="宋体" w:eastAsia="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7"/>
      </w:pPr>
    </w:p>
    <w:p>
      <w:pPr>
        <w:pStyle w:val="11"/>
        <w:snapToGrid w:val="0"/>
        <w:spacing w:line="560" w:lineRule="exact"/>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附件一：服务团队名单</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napToGrid w:val="0"/>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地址：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委托代理人：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电话：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开户银行：                    </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 xml:space="preserve">号：                         </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p>
      <w:pPr>
        <w:snapToGrid w:val="0"/>
        <w:spacing w:line="560" w:lineRule="exact"/>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开户银行：</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号：</w:t>
      </w:r>
    </w:p>
    <w:p>
      <w:pPr>
        <w:spacing w:line="560" w:lineRule="exact"/>
        <w:ind w:firstLine="720" w:firstLineChars="300"/>
        <w:rPr>
          <w:rFonts w:hint="eastAsia" w:ascii="宋体" w:hAnsi="宋体" w:cs="宋体"/>
          <w:color w:val="000000" w:themeColor="text1"/>
          <w:sz w:val="24"/>
          <w14:textFill>
            <w14:solidFill>
              <w14:schemeClr w14:val="tx1"/>
            </w14:solidFill>
          </w14:textFill>
        </w:rPr>
      </w:pPr>
    </w:p>
    <w:p>
      <w:pPr>
        <w:spacing w:line="560" w:lineRule="exact"/>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签约地址：                              </w:t>
      </w:r>
    </w:p>
    <w:p>
      <w:pPr>
        <w:spacing w:line="360" w:lineRule="auto"/>
        <w:ind w:firstLine="720" w:firstLineChars="300"/>
        <w:rPr>
          <w:rFonts w:ascii="Calibri" w:hAnsi="Calibri"/>
          <w:color w:val="000000" w:themeColor="text1"/>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签约时间：     年   月   日</w:t>
      </w:r>
      <w:r>
        <w:rPr>
          <w:rFonts w:hint="eastAsia" w:ascii="宋体" w:hAnsi="宋体" w:cs="宋体"/>
          <w:color w:val="000000" w:themeColor="text1"/>
          <w:szCs w:val="28"/>
          <w14:textFill>
            <w14:solidFill>
              <w14:schemeClr w14:val="tx1"/>
            </w14:solidFill>
          </w14:textFill>
        </w:rPr>
        <w:br w:type="page"/>
      </w:r>
    </w:p>
    <w:p>
      <w:pPr>
        <w:pStyle w:val="8"/>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附件一：</w:t>
      </w:r>
    </w:p>
    <w:p>
      <w:pPr>
        <w:jc w:val="center"/>
        <w:outlineLvl w:val="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服务团队名单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序号</w:t>
            </w:r>
          </w:p>
        </w:tc>
        <w:tc>
          <w:tcPr>
            <w:tcW w:w="1650" w:type="dxa"/>
          </w:tcPr>
          <w:p>
            <w:pPr>
              <w:pStyle w:val="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姓名</w:t>
            </w:r>
          </w:p>
        </w:tc>
        <w:tc>
          <w:tcPr>
            <w:tcW w:w="1481" w:type="dxa"/>
          </w:tcPr>
          <w:p>
            <w:pPr>
              <w:pStyle w:val="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职务/岗位</w:t>
            </w:r>
          </w:p>
        </w:tc>
        <w:tc>
          <w:tcPr>
            <w:tcW w:w="2645" w:type="dxa"/>
          </w:tcPr>
          <w:p>
            <w:pPr>
              <w:pStyle w:val="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联系方式</w:t>
            </w:r>
          </w:p>
        </w:tc>
        <w:tc>
          <w:tcPr>
            <w:tcW w:w="1704" w:type="dxa"/>
          </w:tcPr>
          <w:p>
            <w:pPr>
              <w:pStyle w:val="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rPr>
                <w:rFonts w:hint="eastAsia" w:ascii="宋体" w:hAnsi="宋体" w:cs="宋体"/>
                <w:color w:val="000000" w:themeColor="text1"/>
                <w:sz w:val="21"/>
                <w:szCs w:val="21"/>
                <w14:textFill>
                  <w14:solidFill>
                    <w14:schemeClr w14:val="tx1"/>
                  </w14:solidFill>
                </w14:textFill>
              </w:rPr>
            </w:pPr>
          </w:p>
        </w:tc>
        <w:tc>
          <w:tcPr>
            <w:tcW w:w="1650" w:type="dxa"/>
          </w:tcPr>
          <w:p>
            <w:pPr>
              <w:pStyle w:val="8"/>
              <w:rPr>
                <w:rFonts w:hint="eastAsia" w:ascii="宋体" w:hAnsi="宋体" w:cs="宋体"/>
                <w:color w:val="000000" w:themeColor="text1"/>
                <w:sz w:val="21"/>
                <w:szCs w:val="21"/>
                <w14:textFill>
                  <w14:solidFill>
                    <w14:schemeClr w14:val="tx1"/>
                  </w14:solidFill>
                </w14:textFill>
              </w:rPr>
            </w:pPr>
          </w:p>
        </w:tc>
        <w:tc>
          <w:tcPr>
            <w:tcW w:w="1481" w:type="dxa"/>
          </w:tcPr>
          <w:p>
            <w:pPr>
              <w:pStyle w:val="8"/>
              <w:rPr>
                <w:rFonts w:hint="eastAsia" w:ascii="宋体" w:hAnsi="宋体" w:cs="宋体"/>
                <w:color w:val="000000" w:themeColor="text1"/>
                <w:sz w:val="21"/>
                <w:szCs w:val="21"/>
                <w14:textFill>
                  <w14:solidFill>
                    <w14:schemeClr w14:val="tx1"/>
                  </w14:solidFill>
                </w14:textFill>
              </w:rPr>
            </w:pPr>
          </w:p>
        </w:tc>
        <w:tc>
          <w:tcPr>
            <w:tcW w:w="2645" w:type="dxa"/>
          </w:tcPr>
          <w:p>
            <w:pPr>
              <w:pStyle w:val="8"/>
              <w:rPr>
                <w:rFonts w:hint="eastAsia" w:ascii="宋体" w:hAnsi="宋体" w:cs="宋体"/>
                <w:color w:val="000000" w:themeColor="text1"/>
                <w:sz w:val="21"/>
                <w:szCs w:val="21"/>
                <w14:textFill>
                  <w14:solidFill>
                    <w14:schemeClr w14:val="tx1"/>
                  </w14:solidFill>
                </w14:textFill>
              </w:rPr>
            </w:pPr>
          </w:p>
        </w:tc>
        <w:tc>
          <w:tcPr>
            <w:tcW w:w="1704" w:type="dxa"/>
          </w:tcPr>
          <w:p>
            <w:pPr>
              <w:pStyle w:val="8"/>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rPr>
                <w:rFonts w:hint="eastAsia" w:ascii="宋体" w:hAnsi="宋体" w:cs="宋体"/>
                <w:color w:val="000000" w:themeColor="text1"/>
                <w:sz w:val="21"/>
                <w:szCs w:val="21"/>
                <w14:textFill>
                  <w14:solidFill>
                    <w14:schemeClr w14:val="tx1"/>
                  </w14:solidFill>
                </w14:textFill>
              </w:rPr>
            </w:pPr>
          </w:p>
        </w:tc>
        <w:tc>
          <w:tcPr>
            <w:tcW w:w="1650" w:type="dxa"/>
          </w:tcPr>
          <w:p>
            <w:pPr>
              <w:pStyle w:val="8"/>
              <w:rPr>
                <w:rFonts w:hint="eastAsia" w:ascii="宋体" w:hAnsi="宋体" w:cs="宋体"/>
                <w:color w:val="000000" w:themeColor="text1"/>
                <w:sz w:val="21"/>
                <w:szCs w:val="21"/>
                <w14:textFill>
                  <w14:solidFill>
                    <w14:schemeClr w14:val="tx1"/>
                  </w14:solidFill>
                </w14:textFill>
              </w:rPr>
            </w:pPr>
          </w:p>
        </w:tc>
        <w:tc>
          <w:tcPr>
            <w:tcW w:w="1481" w:type="dxa"/>
          </w:tcPr>
          <w:p>
            <w:pPr>
              <w:pStyle w:val="8"/>
              <w:rPr>
                <w:rFonts w:hint="eastAsia" w:ascii="宋体" w:hAnsi="宋体" w:cs="宋体"/>
                <w:color w:val="000000" w:themeColor="text1"/>
                <w:sz w:val="21"/>
                <w:szCs w:val="21"/>
                <w14:textFill>
                  <w14:solidFill>
                    <w14:schemeClr w14:val="tx1"/>
                  </w14:solidFill>
                </w14:textFill>
              </w:rPr>
            </w:pPr>
          </w:p>
        </w:tc>
        <w:tc>
          <w:tcPr>
            <w:tcW w:w="2645" w:type="dxa"/>
          </w:tcPr>
          <w:p>
            <w:pPr>
              <w:pStyle w:val="8"/>
              <w:rPr>
                <w:rFonts w:hint="eastAsia" w:ascii="宋体" w:hAnsi="宋体" w:cs="宋体"/>
                <w:color w:val="000000" w:themeColor="text1"/>
                <w:sz w:val="21"/>
                <w:szCs w:val="21"/>
                <w14:textFill>
                  <w14:solidFill>
                    <w14:schemeClr w14:val="tx1"/>
                  </w14:solidFill>
                </w14:textFill>
              </w:rPr>
            </w:pPr>
          </w:p>
        </w:tc>
        <w:tc>
          <w:tcPr>
            <w:tcW w:w="1704" w:type="dxa"/>
          </w:tcPr>
          <w:p>
            <w:pPr>
              <w:pStyle w:val="8"/>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rPr>
                <w:rFonts w:hint="eastAsia" w:ascii="宋体" w:hAnsi="宋体" w:cs="宋体"/>
                <w:color w:val="000000" w:themeColor="text1"/>
                <w:sz w:val="21"/>
                <w:szCs w:val="21"/>
                <w14:textFill>
                  <w14:solidFill>
                    <w14:schemeClr w14:val="tx1"/>
                  </w14:solidFill>
                </w14:textFill>
              </w:rPr>
            </w:pPr>
          </w:p>
        </w:tc>
        <w:tc>
          <w:tcPr>
            <w:tcW w:w="1650" w:type="dxa"/>
          </w:tcPr>
          <w:p>
            <w:pPr>
              <w:pStyle w:val="8"/>
              <w:rPr>
                <w:rFonts w:hint="eastAsia" w:ascii="宋体" w:hAnsi="宋体" w:cs="宋体"/>
                <w:color w:val="000000" w:themeColor="text1"/>
                <w:sz w:val="21"/>
                <w:szCs w:val="21"/>
                <w14:textFill>
                  <w14:solidFill>
                    <w14:schemeClr w14:val="tx1"/>
                  </w14:solidFill>
                </w14:textFill>
              </w:rPr>
            </w:pPr>
          </w:p>
        </w:tc>
        <w:tc>
          <w:tcPr>
            <w:tcW w:w="1481" w:type="dxa"/>
          </w:tcPr>
          <w:p>
            <w:pPr>
              <w:pStyle w:val="8"/>
              <w:rPr>
                <w:rFonts w:hint="eastAsia" w:ascii="宋体" w:hAnsi="宋体" w:cs="宋体"/>
                <w:color w:val="000000" w:themeColor="text1"/>
                <w:sz w:val="21"/>
                <w:szCs w:val="21"/>
                <w14:textFill>
                  <w14:solidFill>
                    <w14:schemeClr w14:val="tx1"/>
                  </w14:solidFill>
                </w14:textFill>
              </w:rPr>
            </w:pPr>
          </w:p>
        </w:tc>
        <w:tc>
          <w:tcPr>
            <w:tcW w:w="2645" w:type="dxa"/>
          </w:tcPr>
          <w:p>
            <w:pPr>
              <w:pStyle w:val="8"/>
              <w:rPr>
                <w:rFonts w:hint="eastAsia" w:ascii="宋体" w:hAnsi="宋体" w:cs="宋体"/>
                <w:color w:val="000000" w:themeColor="text1"/>
                <w:sz w:val="21"/>
                <w:szCs w:val="21"/>
                <w14:textFill>
                  <w14:solidFill>
                    <w14:schemeClr w14:val="tx1"/>
                  </w14:solidFill>
                </w14:textFill>
              </w:rPr>
            </w:pPr>
          </w:p>
        </w:tc>
        <w:tc>
          <w:tcPr>
            <w:tcW w:w="1704" w:type="dxa"/>
          </w:tcPr>
          <w:p>
            <w:pPr>
              <w:pStyle w:val="8"/>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rPr>
                <w:rFonts w:hint="eastAsia" w:ascii="宋体" w:hAnsi="宋体" w:cs="宋体"/>
                <w:color w:val="000000" w:themeColor="text1"/>
                <w:sz w:val="21"/>
                <w:szCs w:val="21"/>
                <w14:textFill>
                  <w14:solidFill>
                    <w14:schemeClr w14:val="tx1"/>
                  </w14:solidFill>
                </w14:textFill>
              </w:rPr>
            </w:pPr>
          </w:p>
        </w:tc>
        <w:tc>
          <w:tcPr>
            <w:tcW w:w="1650" w:type="dxa"/>
          </w:tcPr>
          <w:p>
            <w:pPr>
              <w:pStyle w:val="8"/>
              <w:rPr>
                <w:rFonts w:hint="eastAsia" w:ascii="宋体" w:hAnsi="宋体" w:cs="宋体"/>
                <w:color w:val="000000" w:themeColor="text1"/>
                <w:sz w:val="21"/>
                <w:szCs w:val="21"/>
                <w14:textFill>
                  <w14:solidFill>
                    <w14:schemeClr w14:val="tx1"/>
                  </w14:solidFill>
                </w14:textFill>
              </w:rPr>
            </w:pPr>
          </w:p>
        </w:tc>
        <w:tc>
          <w:tcPr>
            <w:tcW w:w="1481" w:type="dxa"/>
          </w:tcPr>
          <w:p>
            <w:pPr>
              <w:pStyle w:val="8"/>
              <w:rPr>
                <w:rFonts w:hint="eastAsia" w:ascii="宋体" w:hAnsi="宋体" w:cs="宋体"/>
                <w:color w:val="000000" w:themeColor="text1"/>
                <w:sz w:val="21"/>
                <w:szCs w:val="21"/>
                <w14:textFill>
                  <w14:solidFill>
                    <w14:schemeClr w14:val="tx1"/>
                  </w14:solidFill>
                </w14:textFill>
              </w:rPr>
            </w:pPr>
          </w:p>
        </w:tc>
        <w:tc>
          <w:tcPr>
            <w:tcW w:w="2645" w:type="dxa"/>
          </w:tcPr>
          <w:p>
            <w:pPr>
              <w:pStyle w:val="8"/>
              <w:rPr>
                <w:rFonts w:hint="eastAsia" w:ascii="宋体" w:hAnsi="宋体" w:cs="宋体"/>
                <w:color w:val="000000" w:themeColor="text1"/>
                <w:sz w:val="21"/>
                <w:szCs w:val="21"/>
                <w14:textFill>
                  <w14:solidFill>
                    <w14:schemeClr w14:val="tx1"/>
                  </w14:solidFill>
                </w14:textFill>
              </w:rPr>
            </w:pPr>
          </w:p>
        </w:tc>
        <w:tc>
          <w:tcPr>
            <w:tcW w:w="1704" w:type="dxa"/>
          </w:tcPr>
          <w:p>
            <w:pPr>
              <w:pStyle w:val="8"/>
              <w:rPr>
                <w:rFonts w:hint="eastAsia" w:ascii="宋体" w:hAnsi="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8"/>
              <w:rPr>
                <w:rFonts w:hint="eastAsia" w:ascii="宋体" w:hAnsi="宋体" w:cs="宋体"/>
                <w:color w:val="000000" w:themeColor="text1"/>
                <w:sz w:val="21"/>
                <w:szCs w:val="21"/>
                <w14:textFill>
                  <w14:solidFill>
                    <w14:schemeClr w14:val="tx1"/>
                  </w14:solidFill>
                </w14:textFill>
              </w:rPr>
            </w:pPr>
          </w:p>
        </w:tc>
        <w:tc>
          <w:tcPr>
            <w:tcW w:w="1650" w:type="dxa"/>
          </w:tcPr>
          <w:p>
            <w:pPr>
              <w:pStyle w:val="8"/>
              <w:rPr>
                <w:rFonts w:hint="eastAsia" w:ascii="宋体" w:hAnsi="宋体" w:cs="宋体"/>
                <w:color w:val="000000" w:themeColor="text1"/>
                <w:sz w:val="21"/>
                <w:szCs w:val="21"/>
                <w14:textFill>
                  <w14:solidFill>
                    <w14:schemeClr w14:val="tx1"/>
                  </w14:solidFill>
                </w14:textFill>
              </w:rPr>
            </w:pPr>
          </w:p>
        </w:tc>
        <w:tc>
          <w:tcPr>
            <w:tcW w:w="1481" w:type="dxa"/>
          </w:tcPr>
          <w:p>
            <w:pPr>
              <w:pStyle w:val="8"/>
              <w:rPr>
                <w:rFonts w:hint="eastAsia" w:ascii="宋体" w:hAnsi="宋体" w:cs="宋体"/>
                <w:color w:val="000000" w:themeColor="text1"/>
                <w:sz w:val="21"/>
                <w:szCs w:val="21"/>
                <w14:textFill>
                  <w14:solidFill>
                    <w14:schemeClr w14:val="tx1"/>
                  </w14:solidFill>
                </w14:textFill>
              </w:rPr>
            </w:pPr>
          </w:p>
        </w:tc>
        <w:tc>
          <w:tcPr>
            <w:tcW w:w="2645" w:type="dxa"/>
          </w:tcPr>
          <w:p>
            <w:pPr>
              <w:pStyle w:val="8"/>
              <w:rPr>
                <w:rFonts w:hint="eastAsia" w:ascii="宋体" w:hAnsi="宋体" w:cs="宋体"/>
                <w:color w:val="000000" w:themeColor="text1"/>
                <w:sz w:val="21"/>
                <w:szCs w:val="21"/>
                <w14:textFill>
                  <w14:solidFill>
                    <w14:schemeClr w14:val="tx1"/>
                  </w14:solidFill>
                </w14:textFill>
              </w:rPr>
            </w:pPr>
          </w:p>
        </w:tc>
        <w:tc>
          <w:tcPr>
            <w:tcW w:w="1704" w:type="dxa"/>
          </w:tcPr>
          <w:p>
            <w:pPr>
              <w:pStyle w:val="8"/>
              <w:rPr>
                <w:rFonts w:hint="eastAsia" w:ascii="宋体" w:hAnsi="宋体" w:cs="宋体"/>
                <w:color w:val="000000" w:themeColor="text1"/>
                <w:sz w:val="21"/>
                <w:szCs w:val="21"/>
                <w14:textFill>
                  <w14:solidFill>
                    <w14:schemeClr w14:val="tx1"/>
                  </w14:solidFill>
                </w14:textFill>
              </w:rPr>
            </w:pPr>
          </w:p>
        </w:tc>
      </w:tr>
    </w:tbl>
    <w:p>
      <w:pPr>
        <w:ind w:firstLine="420" w:firstLineChars="200"/>
        <w:jc w:val="left"/>
        <w:rPr>
          <w:rFonts w:hint="eastAsia" w:ascii="宋体" w:hAnsi="宋体" w:cs="宋体"/>
          <w:color w:val="000000" w:themeColor="text1"/>
          <w:szCs w:val="21"/>
          <w14:textFill>
            <w14:solidFill>
              <w14:schemeClr w14:val="tx1"/>
            </w14:solidFill>
          </w14:textFill>
        </w:rPr>
      </w:pPr>
    </w:p>
    <w:p>
      <w:pPr>
        <w:ind w:firstLine="630" w:firstLineChars="300"/>
        <w:rPr>
          <w:rFonts w:hint="eastAsia" w:ascii="宋体" w:hAnsi="宋体" w:cs="宋体"/>
          <w:color w:val="000000" w:themeColor="text1"/>
          <w:szCs w:val="21"/>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9" w:name="_Toc25518"/>
      <w:r>
        <w:rPr>
          <w:rFonts w:hint="eastAsia" w:ascii="宋体" w:hAnsi="宋体" w:cs="宋体"/>
          <w:b/>
          <w:bCs/>
          <w:color w:val="000000" w:themeColor="text1"/>
          <w:sz w:val="24"/>
          <w14:textFill>
            <w14:solidFill>
              <w14:schemeClr w14:val="tx1"/>
            </w14:solidFill>
          </w14:textFill>
        </w:rPr>
        <w:t>用户需求书</w:t>
      </w:r>
      <w:bookmarkEnd w:id="29"/>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_Toc23726"/>
      <w:bookmarkStart w:id="31"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30"/>
    <w:bookmarkEnd w:id="31"/>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sz w:val="24"/>
          <w:highlight w:val="yellow"/>
        </w:rPr>
      </w:pPr>
      <w:r>
        <w:rPr>
          <w:rFonts w:hint="eastAsia" w:ascii="宋体" w:hAnsi="宋体" w:cs="宋体"/>
          <w:b/>
          <w:color w:val="000000"/>
          <w:sz w:val="24"/>
        </w:rPr>
        <w:t>一、</w:t>
      </w:r>
      <w:bookmarkStart w:id="32" w:name="_Toc51746099"/>
      <w:r>
        <w:rPr>
          <w:rFonts w:hint="eastAsia" w:ascii="宋体" w:hAnsi="宋体" w:cs="宋体"/>
          <w:b/>
          <w:color w:val="000000"/>
          <w:sz w:val="24"/>
          <w:lang w:val="zh-CN"/>
        </w:rPr>
        <w:t>项目概况</w:t>
      </w:r>
    </w:p>
    <w:bookmarkEnd w:id="32"/>
    <w:p>
      <w:pPr>
        <w:pStyle w:val="35"/>
        <w:tabs>
          <w:tab w:val="left" w:pos="720"/>
        </w:tabs>
        <w:autoSpaceDE w:val="0"/>
        <w:autoSpaceDN w:val="0"/>
        <w:adjustRightInd w:val="0"/>
        <w:spacing w:line="360" w:lineRule="auto"/>
        <w:ind w:right="17" w:firstLine="480"/>
        <w:jc w:val="left"/>
        <w:outlineLvl w:val="1"/>
        <w:rPr>
          <w:rFonts w:hint="eastAsia" w:ascii="宋体" w:hAnsi="宋体" w:cs="宋体"/>
          <w:b/>
          <w:color w:val="000000"/>
          <w:sz w:val="24"/>
        </w:rPr>
      </w:pPr>
      <w:r>
        <w:rPr>
          <w:rFonts w:hint="eastAsia" w:ascii="宋体" w:hAnsi="宋体" w:cs="宋体"/>
          <w:bCs/>
          <w:color w:val="000000"/>
          <w:sz w:val="24"/>
        </w:rPr>
        <w:t>本次清查范围为2023年1月1日—2026年4月30日实施的前海管理局政府采购项目，具体包括供应商、采购人、采购代理机构、评审专家及有关部门工作人员等5个方面18类违法违规行为。</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sz w:val="24"/>
        </w:rPr>
      </w:pPr>
      <w:r>
        <w:rPr>
          <w:rFonts w:hint="eastAsia" w:ascii="宋体" w:hAnsi="宋体" w:cs="宋体"/>
          <w:b/>
          <w:color w:val="000000"/>
          <w:sz w:val="24"/>
        </w:rPr>
        <w:t>二、服务内容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（一）供应商违法行为排查。重点筛查供应商围标串标、提供虚假材料（如虚假检测报告、认证证书、合同业绩、中小企业声明函等）等违法线索；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（二）采购人行为合规性审查。聚焦采购人在采购过程中的行为是否符合法律法规要求，重点排查是否存在设置差别歧视条款、指向特定供应商、以不合理条件排斥潜在投标人等违法违规行为；</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（三）采购代理机构履职检查。全面检查代理机构在采购活动中的履职尽责情况，重点排查代理机构是否存在违规收费、逾期退还保证金、不作为乱作为等问题；</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（四）采购文件与合同履约审查。对采购文件合规性、合同签订及履行情况、履约验收及资金支付等进行全面核查；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（五）问题线索整理与报告编制。汇总整理排查发现的问题线索，梳理形成问题清单和整改台账，找准问题的根因，系统性提出资产管理建议，编制专项排查工作报告。</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eastAsia="zh-CN"/>
        </w:rPr>
        <w:t>六</w:t>
      </w:r>
      <w:r>
        <w:rPr>
          <w:rFonts w:hint="eastAsia" w:ascii="宋体" w:hAnsi="宋体" w:cs="宋体"/>
          <w:bCs/>
          <w:color w:val="000000"/>
          <w:sz w:val="24"/>
        </w:rPr>
        <w:t>）制度完善与协助培训。针对整治中暴露的问题，深挖问题症结，按照政府采购公开透明、廉洁诚信的要求，协助完善内控工作机制，加快制度机制建设。协助</w:t>
      </w:r>
      <w:r>
        <w:rPr>
          <w:rFonts w:hint="eastAsia" w:ascii="宋体" w:hAnsi="宋体" w:cs="宋体"/>
          <w:bCs/>
          <w:color w:val="000000"/>
          <w:sz w:val="24"/>
          <w:lang w:val="en-US" w:eastAsia="zh-CN"/>
        </w:rPr>
        <w:t>采购人</w:t>
      </w:r>
      <w:r>
        <w:rPr>
          <w:rFonts w:hint="eastAsia" w:ascii="宋体" w:hAnsi="宋体" w:cs="宋体"/>
          <w:bCs/>
          <w:color w:val="000000"/>
          <w:sz w:val="24"/>
        </w:rPr>
        <w:t>开展政府采购培训，提升</w:t>
      </w:r>
      <w:r>
        <w:rPr>
          <w:rFonts w:hint="eastAsia" w:ascii="宋体" w:hAnsi="宋体" w:cs="宋体"/>
          <w:bCs/>
          <w:color w:val="000000"/>
          <w:sz w:val="24"/>
          <w:lang w:val="en-US" w:eastAsia="zh-CN"/>
        </w:rPr>
        <w:t>采购人</w:t>
      </w:r>
      <w:r>
        <w:rPr>
          <w:rFonts w:hint="eastAsia" w:ascii="宋体" w:hAnsi="宋体" w:cs="宋体"/>
          <w:bCs/>
          <w:color w:val="000000"/>
          <w:sz w:val="24"/>
        </w:rPr>
        <w:t>各处室的政府采购业务能力。</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sz w:val="24"/>
        </w:rPr>
      </w:pPr>
      <w:r>
        <w:rPr>
          <w:rFonts w:hint="eastAsia" w:ascii="宋体" w:hAnsi="宋体" w:cs="宋体"/>
          <w:b/>
          <w:color w:val="000000"/>
          <w:sz w:val="24"/>
        </w:rPr>
        <w:t>三、项目最终成果及验收方式</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rPr>
        <w:t>（一）项目最终成果：</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rPr>
        <w:t>1.《前海管理局政府采购领域清查专项报告》；</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政府采购领域清查专项工作相关材料；</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lang w:val="en-US" w:eastAsia="zh-CN"/>
        </w:rPr>
        <w:t>3.中标人</w:t>
      </w:r>
      <w:r>
        <w:rPr>
          <w:rFonts w:hint="eastAsia" w:ascii="宋体" w:hAnsi="宋体" w:cs="宋体"/>
          <w:bCs/>
          <w:color w:val="000000"/>
          <w:sz w:val="24"/>
        </w:rPr>
        <w:t>须协助</w:t>
      </w:r>
      <w:r>
        <w:rPr>
          <w:rFonts w:hint="eastAsia" w:ascii="宋体" w:hAnsi="宋体" w:cs="宋体"/>
          <w:bCs/>
          <w:color w:val="000000"/>
          <w:sz w:val="24"/>
          <w:lang w:val="en-US" w:eastAsia="zh-CN"/>
        </w:rPr>
        <w:t>采购人</w:t>
      </w:r>
      <w:r>
        <w:rPr>
          <w:rFonts w:hint="eastAsia" w:ascii="宋体" w:hAnsi="宋体" w:cs="宋体"/>
          <w:bCs/>
          <w:color w:val="000000"/>
          <w:sz w:val="24"/>
        </w:rPr>
        <w:t>每月向上级部门报送清查工作进展情况；</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rPr>
        <w:t>4.</w:t>
      </w:r>
      <w:r>
        <w:rPr>
          <w:rFonts w:hint="eastAsia" w:ascii="宋体" w:hAnsi="宋体" w:cs="宋体"/>
          <w:bCs/>
          <w:color w:val="000000"/>
          <w:sz w:val="24"/>
          <w:lang w:val="en-US" w:eastAsia="zh-CN"/>
        </w:rPr>
        <w:t>采购人</w:t>
      </w:r>
      <w:r>
        <w:rPr>
          <w:rFonts w:hint="eastAsia" w:ascii="宋体" w:hAnsi="宋体" w:cs="宋体"/>
          <w:bCs/>
          <w:color w:val="000000"/>
          <w:sz w:val="24"/>
        </w:rPr>
        <w:t>根据清查情况要求供应商提供的其他成果材料，如表单整改意见、如涉及资产账、财务账等账务调账时需</w:t>
      </w:r>
      <w:r>
        <w:rPr>
          <w:rFonts w:hint="eastAsia" w:ascii="宋体" w:hAnsi="宋体" w:cs="宋体"/>
          <w:bCs/>
          <w:color w:val="000000"/>
          <w:sz w:val="24"/>
          <w:lang w:val="en-US" w:eastAsia="zh-CN"/>
        </w:rPr>
        <w:t>中标人</w:t>
      </w:r>
      <w:r>
        <w:rPr>
          <w:rFonts w:hint="eastAsia" w:ascii="宋体" w:hAnsi="宋体" w:cs="宋体"/>
          <w:bCs/>
          <w:color w:val="000000"/>
          <w:sz w:val="24"/>
        </w:rPr>
        <w:t>出具的相关会计凭证。</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rPr>
        <w:t>（二）验收方式</w:t>
      </w:r>
    </w:p>
    <w:p>
      <w:pPr>
        <w:pStyle w:val="35"/>
        <w:tabs>
          <w:tab w:val="left" w:pos="720"/>
        </w:tabs>
        <w:autoSpaceDE w:val="0"/>
        <w:autoSpaceDN w:val="0"/>
        <w:adjustRightInd w:val="0"/>
        <w:spacing w:line="360" w:lineRule="auto"/>
        <w:ind w:right="17" w:firstLine="480"/>
        <w:jc w:val="left"/>
        <w:outlineLvl w:val="2"/>
        <w:rPr>
          <w:rFonts w:hint="eastAsia" w:ascii="宋体" w:hAnsi="宋体" w:cs="宋体"/>
          <w:bCs/>
          <w:color w:val="000000"/>
          <w:sz w:val="24"/>
        </w:rPr>
      </w:pPr>
      <w:r>
        <w:rPr>
          <w:rFonts w:hint="eastAsia" w:ascii="宋体" w:hAnsi="宋体" w:cs="宋体"/>
          <w:bCs/>
          <w:color w:val="000000"/>
          <w:sz w:val="24"/>
        </w:rPr>
        <w:t>项目最终成果提交并通过采购人验收及审查，视为验收合格。提交书面纸质和电子两个版本。</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sz w:val="24"/>
        </w:rPr>
      </w:pPr>
      <w:r>
        <w:rPr>
          <w:rFonts w:hint="eastAsia" w:ascii="宋体" w:hAnsi="宋体" w:cs="宋体"/>
          <w:b/>
          <w:color w:val="000000"/>
          <w:sz w:val="24"/>
        </w:rPr>
        <w:t>四、项目团队要求</w:t>
      </w:r>
    </w:p>
    <w:p>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项目团队应包括不少于5名成员（含1名项目团队负责人，1名驻点服务人员）。项目服务周期自合同签订之日</w:t>
      </w:r>
      <w:r>
        <w:rPr>
          <w:rFonts w:hint="eastAsia" w:ascii="宋体" w:hAnsi="宋体" w:cs="宋体"/>
          <w:bCs/>
          <w:color w:val="000000"/>
          <w:sz w:val="24"/>
        </w:rPr>
        <w:t>6个月内</w:t>
      </w:r>
      <w:r>
        <w:rPr>
          <w:rFonts w:hint="eastAsia" w:ascii="宋体" w:hAnsi="宋体" w:cs="宋体"/>
          <w:color w:val="000000"/>
          <w:sz w:val="24"/>
        </w:rPr>
        <w:t>，在项目重要节点举行的项目汇报会应由项目团队负责人参加并汇报。其中项目负责人需具备有效的中级</w:t>
      </w:r>
      <w:r>
        <w:rPr>
          <w:rFonts w:hint="eastAsia" w:ascii="宋体" w:hAnsi="宋体" w:cs="宋体"/>
          <w:color w:val="000000"/>
          <w:sz w:val="24"/>
          <w:lang w:val="en-US" w:eastAsia="zh-CN"/>
        </w:rPr>
        <w:t>或以上</w:t>
      </w:r>
      <w:r>
        <w:rPr>
          <w:rFonts w:hint="eastAsia" w:ascii="宋体" w:hAnsi="宋体" w:cs="宋体"/>
          <w:color w:val="000000"/>
          <w:sz w:val="24"/>
        </w:rPr>
        <w:t>会计师资格。</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中标人须在服务期内提供1名驻点服务人员，能够独立完成采购人分配的工作。</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sz w:val="24"/>
        </w:rPr>
      </w:pPr>
      <w:r>
        <w:rPr>
          <w:rFonts w:hint="eastAsia" w:ascii="宋体" w:hAnsi="宋体" w:cs="宋体"/>
          <w:b/>
          <w:color w:val="000000"/>
          <w:sz w:val="24"/>
        </w:rPr>
        <w:t>五、商务要求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sz w:val="24"/>
        </w:rPr>
      </w:pPr>
      <w:r>
        <w:rPr>
          <w:rFonts w:hint="eastAsia" w:ascii="宋体" w:hAnsi="宋体" w:cs="宋体"/>
          <w:b/>
          <w:bCs/>
          <w:color w:val="000000"/>
          <w:kern w:val="0"/>
          <w:sz w:val="24"/>
        </w:rPr>
        <w:t>（一）服务期限</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本项目服务时间为自签署合同之日起6个月内。</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二</w:t>
      </w:r>
      <w:r>
        <w:rPr>
          <w:rFonts w:hint="eastAsia" w:ascii="宋体" w:hAnsi="宋体" w:cs="宋体"/>
          <w:b/>
          <w:bCs/>
          <w:color w:val="000000"/>
          <w:kern w:val="0"/>
          <w:sz w:val="24"/>
        </w:rPr>
        <w:t>）</w:t>
      </w:r>
      <w:r>
        <w:rPr>
          <w:rFonts w:hint="eastAsia" w:ascii="宋体" w:hAnsi="宋体" w:cs="宋体"/>
          <w:bCs/>
          <w:color w:val="000000"/>
          <w:sz w:val="24"/>
        </w:rPr>
        <w:t>工作计划</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（1）2026年8月31日前，</w:t>
      </w:r>
      <w:r>
        <w:rPr>
          <w:rFonts w:hint="eastAsia" w:ascii="宋体" w:hAnsi="宋体" w:cs="宋体"/>
          <w:color w:val="000000"/>
          <w:sz w:val="24"/>
        </w:rPr>
        <w:t>中标人</w:t>
      </w:r>
      <w:r>
        <w:rPr>
          <w:rFonts w:hint="eastAsia" w:ascii="宋体" w:hAnsi="宋体" w:cs="宋体"/>
          <w:bCs/>
          <w:color w:val="000000"/>
          <w:sz w:val="24"/>
        </w:rPr>
        <w:t>应向</w:t>
      </w:r>
      <w:r>
        <w:rPr>
          <w:rFonts w:hint="eastAsia" w:ascii="宋体" w:hAnsi="宋体" w:cs="宋体"/>
          <w:bCs/>
          <w:color w:val="000000"/>
          <w:sz w:val="24"/>
          <w:lang w:val="en-US" w:eastAsia="zh-CN"/>
        </w:rPr>
        <w:t>采购人</w:t>
      </w:r>
      <w:r>
        <w:rPr>
          <w:rFonts w:hint="eastAsia" w:ascii="宋体" w:hAnsi="宋体" w:cs="宋体"/>
          <w:bCs/>
          <w:color w:val="000000"/>
          <w:sz w:val="24"/>
        </w:rPr>
        <w:t>提交初步报告；</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（2）2026年9月30日前，</w:t>
      </w:r>
      <w:r>
        <w:rPr>
          <w:rFonts w:hint="eastAsia" w:ascii="宋体" w:hAnsi="宋体" w:cs="宋体"/>
          <w:color w:val="000000"/>
          <w:sz w:val="24"/>
        </w:rPr>
        <w:t>中标人</w:t>
      </w:r>
      <w:r>
        <w:rPr>
          <w:rFonts w:hint="eastAsia" w:ascii="宋体" w:hAnsi="宋体" w:cs="宋体"/>
          <w:bCs/>
          <w:color w:val="000000"/>
          <w:sz w:val="24"/>
        </w:rPr>
        <w:t>根据</w:t>
      </w:r>
      <w:r>
        <w:rPr>
          <w:rFonts w:hint="eastAsia" w:ascii="宋体" w:hAnsi="宋体" w:cs="宋体"/>
          <w:bCs/>
          <w:color w:val="000000"/>
          <w:sz w:val="24"/>
          <w:lang w:val="en-US" w:eastAsia="zh-CN"/>
        </w:rPr>
        <w:t>采购人</w:t>
      </w:r>
      <w:r>
        <w:rPr>
          <w:rFonts w:hint="eastAsia" w:ascii="宋体" w:hAnsi="宋体" w:cs="宋体"/>
          <w:bCs/>
          <w:color w:val="000000"/>
          <w:sz w:val="24"/>
        </w:rPr>
        <w:t>意见完成修改，并提交总结报告终稿。</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三</w:t>
      </w:r>
      <w:r>
        <w:rPr>
          <w:rFonts w:hint="eastAsia" w:ascii="宋体" w:hAnsi="宋体" w:cs="宋体"/>
          <w:b/>
          <w:bCs/>
          <w:color w:val="000000"/>
          <w:kern w:val="0"/>
          <w:sz w:val="24"/>
        </w:rPr>
        <w:t>）</w:t>
      </w:r>
      <w:r>
        <w:rPr>
          <w:rFonts w:hint="eastAsia" w:ascii="宋体" w:hAnsi="宋体" w:cs="宋体"/>
          <w:bCs/>
          <w:color w:val="000000"/>
          <w:sz w:val="24"/>
        </w:rPr>
        <w:t>后续服务要求</w:t>
      </w:r>
    </w:p>
    <w:p>
      <w:pPr>
        <w:pStyle w:val="35"/>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本项目后续服务期限为</w:t>
      </w:r>
      <w:r>
        <w:rPr>
          <w:rFonts w:hint="eastAsia" w:ascii="宋体" w:hAnsi="宋体" w:cs="宋体"/>
          <w:color w:val="000000"/>
          <w:sz w:val="24"/>
        </w:rPr>
        <w:t>中标人</w:t>
      </w:r>
      <w:r>
        <w:rPr>
          <w:rFonts w:hint="eastAsia" w:ascii="宋体" w:hAnsi="宋体" w:cs="宋体"/>
          <w:bCs/>
          <w:color w:val="000000"/>
          <w:sz w:val="24"/>
        </w:rPr>
        <w:t>提交的本项目最终成果通过</w:t>
      </w:r>
      <w:r>
        <w:rPr>
          <w:rFonts w:hint="eastAsia" w:ascii="宋体" w:hAnsi="宋体" w:cs="宋体"/>
          <w:bCs/>
          <w:color w:val="000000"/>
          <w:sz w:val="24"/>
          <w:lang w:val="en-US" w:eastAsia="zh-CN"/>
        </w:rPr>
        <w:t>采购人</w:t>
      </w:r>
      <w:r>
        <w:rPr>
          <w:rFonts w:hint="eastAsia" w:ascii="宋体" w:hAnsi="宋体" w:cs="宋体"/>
          <w:bCs/>
          <w:color w:val="000000"/>
          <w:sz w:val="24"/>
        </w:rPr>
        <w:t>审查验收之日起一年。服务期内</w:t>
      </w:r>
      <w:r>
        <w:rPr>
          <w:rFonts w:hint="eastAsia" w:ascii="宋体" w:hAnsi="宋体" w:cs="宋体"/>
          <w:color w:val="000000"/>
          <w:sz w:val="24"/>
        </w:rPr>
        <w:t>中标人</w:t>
      </w:r>
      <w:r>
        <w:rPr>
          <w:rFonts w:hint="eastAsia" w:ascii="宋体" w:hAnsi="宋体" w:cs="宋体"/>
          <w:bCs/>
          <w:color w:val="000000"/>
          <w:sz w:val="24"/>
        </w:rPr>
        <w:t>应向</w:t>
      </w:r>
      <w:r>
        <w:rPr>
          <w:rFonts w:hint="eastAsia" w:ascii="宋体" w:hAnsi="宋体" w:cs="宋体"/>
          <w:bCs/>
          <w:color w:val="000000"/>
          <w:sz w:val="24"/>
          <w:lang w:val="en-US" w:eastAsia="zh-CN"/>
        </w:rPr>
        <w:t>采购人</w:t>
      </w:r>
      <w:r>
        <w:rPr>
          <w:rFonts w:hint="eastAsia" w:ascii="宋体" w:hAnsi="宋体" w:cs="宋体"/>
          <w:bCs/>
          <w:color w:val="000000"/>
          <w:sz w:val="24"/>
        </w:rPr>
        <w:t>提供后续的专业技术支持与咨询服务。</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四</w:t>
      </w:r>
      <w:r>
        <w:rPr>
          <w:rFonts w:hint="eastAsia" w:ascii="宋体" w:hAnsi="宋体" w:cs="宋体"/>
          <w:b/>
          <w:bCs/>
          <w:color w:val="000000"/>
          <w:kern w:val="0"/>
          <w:sz w:val="24"/>
        </w:rPr>
        <w:t>）服务地点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sz w:val="24"/>
        </w:rPr>
      </w:pPr>
      <w:r>
        <w:rPr>
          <w:rFonts w:hint="eastAsia" w:ascii="宋体" w:hAnsi="宋体" w:cs="宋体"/>
          <w:bCs/>
          <w:color w:val="000000"/>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kern w:val="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五</w:t>
      </w:r>
      <w:r>
        <w:rPr>
          <w:rFonts w:hint="eastAsia" w:ascii="宋体" w:hAnsi="宋体" w:cs="宋体"/>
          <w:b/>
          <w:bCs/>
          <w:color w:val="000000"/>
          <w:kern w:val="0"/>
          <w:sz w:val="24"/>
        </w:rPr>
        <w:t>）报价要求</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采购方的费用；差旅费；税费等所有费用</w:t>
      </w:r>
      <w:r>
        <w:rPr>
          <w:rFonts w:hint="eastAsia" w:ascii="宋体" w:hAnsi="宋体" w:cs="宋体"/>
          <w:color w:val="000000"/>
          <w:sz w:val="24"/>
          <w:lang w:eastAsia="zh-CN"/>
        </w:rPr>
        <w:t>；</w:t>
      </w:r>
      <w:r>
        <w:rPr>
          <w:rFonts w:hint="eastAsia" w:ascii="宋体" w:hAnsi="宋体" w:cs="宋体"/>
          <w:color w:val="000000"/>
          <w:sz w:val="24"/>
        </w:rPr>
        <w:t>一经中标，投标报价总价作为中标单位与采购人</w:t>
      </w:r>
      <w:r>
        <w:rPr>
          <w:rFonts w:hint="eastAsia" w:ascii="宋体" w:hAnsi="宋体" w:cs="宋体"/>
          <w:color w:val="000000"/>
          <w:sz w:val="24"/>
          <w:lang w:eastAsia="zh-CN"/>
        </w:rPr>
        <w:t>签订</w:t>
      </w:r>
      <w:r>
        <w:rPr>
          <w:rFonts w:hint="eastAsia" w:ascii="宋体" w:hAnsi="宋体" w:cs="宋体"/>
          <w:color w:val="000000"/>
          <w:sz w:val="24"/>
        </w:rPr>
        <w:t>的合同金额，合同期限内不做调整。</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kern w:val="0"/>
          <w:sz w:val="24"/>
        </w:rPr>
      </w:pPr>
      <w:r>
        <w:rPr>
          <w:rFonts w:hint="eastAsia" w:ascii="宋体" w:hAnsi="宋体" w:cs="宋体"/>
          <w:color w:val="000000"/>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kern w:val="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六</w:t>
      </w:r>
      <w:r>
        <w:rPr>
          <w:rFonts w:hint="eastAsia" w:ascii="宋体" w:hAnsi="宋体" w:cs="宋体"/>
          <w:b/>
          <w:bCs/>
          <w:color w:val="000000"/>
          <w:kern w:val="0"/>
          <w:sz w:val="24"/>
        </w:rPr>
        <w:t>）付款方式</w:t>
      </w:r>
    </w:p>
    <w:p>
      <w:pPr>
        <w:widowControl/>
        <w:spacing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项目资金由采购人分2期支付至中标人指定银行账户</w:t>
      </w:r>
      <w:r>
        <w:rPr>
          <w:rFonts w:hint="eastAsia" w:ascii="宋体" w:hAnsi="宋体" w:cs="宋体"/>
          <w:color w:val="000000"/>
          <w:sz w:val="24"/>
          <w:lang w:eastAsia="zh-CN"/>
        </w:rPr>
        <w:t>：</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1.第一期：自本合同签订之日起15个工作日内，根据中标方提出的付款申请，采购人向中标方支付合同总价款的50%；</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2.第二期：交付全部成果并经验收通过后15个工作日内，根据中标方提出的付款申请，采购人向中标方支付同总价款的50%。</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sz w:val="24"/>
        </w:rPr>
        <w:t>采购人</w:t>
      </w:r>
      <w:r>
        <w:rPr>
          <w:rFonts w:hint="eastAsia" w:ascii="宋体" w:hAnsi="宋体" w:cs="宋体"/>
          <w:color w:val="000000"/>
          <w:sz w:val="24"/>
        </w:rPr>
        <w:t>付款审批影响支付进度，请</w:t>
      </w:r>
      <w:r>
        <w:rPr>
          <w:rFonts w:ascii="宋体" w:hAnsi="宋体" w:cs="宋体"/>
          <w:color w:val="000000"/>
          <w:sz w:val="24"/>
        </w:rPr>
        <w:t>中标人</w:t>
      </w:r>
      <w:r>
        <w:rPr>
          <w:rFonts w:hint="eastAsia" w:ascii="宋体" w:hAnsi="宋体" w:cs="宋体"/>
          <w:color w:val="000000"/>
          <w:sz w:val="24"/>
        </w:rPr>
        <w:t>予以谅解，并不得就此向</w:t>
      </w:r>
      <w:r>
        <w:rPr>
          <w:rFonts w:ascii="宋体" w:hAnsi="宋体" w:cs="宋体"/>
          <w:color w:val="000000"/>
          <w:sz w:val="24"/>
        </w:rPr>
        <w:t>采购人</w:t>
      </w:r>
      <w:r>
        <w:rPr>
          <w:rFonts w:hint="eastAsia" w:ascii="宋体" w:hAnsi="宋体" w:cs="宋体"/>
          <w:color w:val="000000"/>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kern w:val="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七</w:t>
      </w:r>
      <w:r>
        <w:rPr>
          <w:rFonts w:hint="eastAsia" w:ascii="宋体" w:hAnsi="宋体" w:cs="宋体"/>
          <w:b/>
          <w:bCs/>
          <w:color w:val="000000"/>
          <w:kern w:val="0"/>
          <w:sz w:val="24"/>
        </w:rPr>
        <w:t>）成果权属与知识产权</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八</w:t>
      </w:r>
      <w:r>
        <w:rPr>
          <w:rFonts w:hint="eastAsia" w:ascii="宋体" w:hAnsi="宋体" w:cs="宋体"/>
          <w:b/>
          <w:bCs/>
          <w:color w:val="000000"/>
          <w:kern w:val="0"/>
          <w:sz w:val="24"/>
        </w:rPr>
        <w:t>）</w:t>
      </w:r>
      <w:r>
        <w:rPr>
          <w:rFonts w:hint="eastAsia" w:ascii="宋体" w:hAnsi="宋体" w:cs="宋体"/>
          <w:b/>
          <w:bCs/>
          <w:color w:val="000000"/>
          <w:sz w:val="24"/>
        </w:rPr>
        <w:t>保密条款</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sz w:val="24"/>
          <w:lang w:eastAsia="zh-CN"/>
        </w:rPr>
        <w:t>，</w:t>
      </w:r>
      <w:r>
        <w:rPr>
          <w:rFonts w:hint="eastAsia" w:ascii="宋体" w:hAnsi="宋体" w:cs="宋体"/>
          <w:color w:val="000000"/>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4.中标人实施项目的程序应符合国家安全、保密的有关规定和标准。</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5.上述保密义务不适用以下情况：</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（1）获取的信息已被合法公开；</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（2）获得信息拥有方书面许可并在该许可范围内披露；</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（3）国家法律、法规规定的情形。</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sz w:val="24"/>
        </w:rPr>
      </w:pPr>
      <w:r>
        <w:rPr>
          <w:rFonts w:hint="eastAsia" w:ascii="宋体" w:hAnsi="宋体" w:cs="宋体"/>
          <w:b/>
          <w:bCs/>
          <w:color w:val="000000"/>
          <w:kern w:val="0"/>
          <w:sz w:val="24"/>
        </w:rPr>
        <w:t>（</w:t>
      </w:r>
      <w:r>
        <w:rPr>
          <w:rFonts w:hint="eastAsia" w:ascii="宋体" w:hAnsi="宋体" w:cs="宋体"/>
          <w:b/>
          <w:bCs/>
          <w:color w:val="000000"/>
          <w:kern w:val="0"/>
          <w:sz w:val="24"/>
          <w:lang w:eastAsia="zh-CN"/>
        </w:rPr>
        <w:t>九</w:t>
      </w:r>
      <w:r>
        <w:rPr>
          <w:rFonts w:hint="eastAsia" w:ascii="宋体" w:hAnsi="宋体" w:cs="宋体"/>
          <w:b/>
          <w:bCs/>
          <w:color w:val="000000"/>
          <w:kern w:val="0"/>
          <w:sz w:val="24"/>
        </w:rPr>
        <w:t>）</w:t>
      </w:r>
      <w:r>
        <w:rPr>
          <w:rFonts w:hint="eastAsia" w:ascii="宋体" w:hAnsi="宋体" w:cs="宋体"/>
          <w:b/>
          <w:bCs/>
          <w:color w:val="000000"/>
          <w:sz w:val="24"/>
        </w:rPr>
        <w:t>违约责任</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3.本项目履行期间，发生下述情形时，采购人有权解除本项目合同，中标人除应退还采购人已支付的全部款项外</w:t>
      </w:r>
      <w:r>
        <w:rPr>
          <w:rFonts w:hint="eastAsia" w:ascii="宋体" w:hAnsi="宋体" w:cs="宋体"/>
          <w:color w:val="000000"/>
          <w:sz w:val="24"/>
          <w:lang w:eastAsia="zh-CN"/>
        </w:rPr>
        <w:t>，</w:t>
      </w:r>
      <w:r>
        <w:rPr>
          <w:rFonts w:hint="eastAsia" w:ascii="宋体" w:hAnsi="宋体" w:cs="宋体"/>
          <w:color w:val="000000"/>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（3）中标人虽如期提交最终成果，但连续二次未能通过采购人验收的；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（7）中标人明确表示或者以自己的行为表明不履行本合同的。</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4.如采购人未按照本合同约定的时间支付服务费，中标人书面催告采购人并给予不少于5个工作日的履行期限后采购人仍未支付的，中标人有权自该期限届满之日起要求采购人支付该阶段应付而未付合同价款每日3‰的逾期违约金。如采购人无正当理由拒绝接受服务，到期明确表示拒付服务款项，中标人有权要求采购人支付本合同项下服务费总金额20%的违约金。</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br w:type="page"/>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2382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3"/>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9"/>
              <w:shd w:val="clea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9"/>
              <w:shd w:val="clea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投标报价得分=(评标基准价／投标报价)×1</w:t>
            </w:r>
            <w:r>
              <w:rPr>
                <w:rFonts w:hint="eastAsia" w:ascii="宋体" w:hAnsi="宋体" w:cs="宋体"/>
                <w:b/>
                <w:bCs/>
                <w:color w:val="000000" w:themeColor="text1"/>
                <w:sz w:val="24"/>
                <w:highlight w:val="none"/>
                <w:lang w:val="en-US" w:eastAsia="zh-CN"/>
                <w14:textFill>
                  <w14:solidFill>
                    <w14:schemeClr w14:val="tx1"/>
                  </w14:solidFill>
                </w14:textFill>
              </w:rPr>
              <w:t>0</w:t>
            </w:r>
          </w:p>
          <w:p>
            <w:pPr>
              <w:numPr>
                <w:ilvl w:val="0"/>
                <w:numId w:val="5"/>
              </w:numPr>
              <w:shd w:val="clear"/>
              <w:spacing w:line="360" w:lineRule="auto"/>
              <w:ind w:left="250" w:hanging="249" w:hangingChars="104"/>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价格评分仅限于有效投标人，</w:t>
            </w:r>
            <w:r>
              <w:rPr>
                <w:rFonts w:hint="eastAsia" w:ascii="宋体" w:hAnsi="宋体" w:cs="宋体"/>
                <w:color w:val="000000" w:themeColor="text1"/>
                <w:sz w:val="24"/>
                <w:highlight w:val="none"/>
                <w14:textFill>
                  <w14:solidFill>
                    <w14:schemeClr w14:val="tx1"/>
                  </w14:solidFill>
                </w14:textFill>
              </w:rPr>
              <w:t>当价格分&lt;0时，取0。</w:t>
            </w:r>
          </w:p>
          <w:p>
            <w:pPr>
              <w:numPr>
                <w:ilvl w:val="0"/>
                <w:numId w:val="0"/>
              </w:numPr>
              <w:shd w:val="clear"/>
              <w:spacing w:line="360" w:lineRule="auto"/>
              <w:ind w:left="-9" w:leftChars="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highlight w:val="none"/>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hd w:val="clea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numPr>
                <w:ilvl w:val="0"/>
                <w:numId w:val="0"/>
              </w:numPr>
              <w:shd w:val="clea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关于享受对本国产品的政府采购支持政策的主体、价格扣除比例等事项的说明。</w:t>
            </w:r>
          </w:p>
          <w:p>
            <w:pPr>
              <w:numPr>
                <w:ilvl w:val="0"/>
                <w:numId w:val="0"/>
              </w:numPr>
              <w:shd w:val="clea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3.1</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适用主体：国有企业、民营企业、外资企业等各类经营主体平等享受对本国产品的政府采购支持政策。</w:t>
            </w:r>
          </w:p>
          <w:p>
            <w:pPr>
              <w:numPr>
                <w:ilvl w:val="0"/>
                <w:numId w:val="0"/>
              </w:numPr>
              <w:shd w:val="clea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3.2</w:t>
            </w:r>
            <w:r>
              <w:rPr>
                <w:rFonts w:hint="eastAsia" w:ascii="宋体" w:hAnsi="宋体" w:eastAsia="宋体" w:cs="Times New Roman"/>
                <w:b w:val="0"/>
                <w:bCs w:val="0"/>
                <w:color w:val="000000" w:themeColor="text1"/>
                <w:sz w:val="24"/>
                <w:szCs w:val="24"/>
                <w:highlight w:val="none"/>
                <w14:textFill>
                  <w14:solidFill>
                    <w14:schemeClr w14:val="tx1"/>
                  </w14:solidFill>
                </w14:textFill>
              </w:rPr>
              <w:t>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0"/>
              </w:numPr>
              <w:shd w:val="clear"/>
              <w:spacing w:line="360" w:lineRule="auto"/>
              <w:jc w:val="left"/>
              <w:rPr>
                <w:rFonts w:hint="eastAsia" w:ascii="宋体" w:hAnsi="宋体" w:eastAsia="宋体" w:cs="Times New Roman"/>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 w:val="0"/>
                <w:bCs w:val="0"/>
                <w:color w:val="000000" w:themeColor="text1"/>
                <w:sz w:val="24"/>
                <w:szCs w:val="24"/>
                <w:highlight w:val="none"/>
                <w14:textFill>
                  <w14:solidFill>
                    <w14:schemeClr w14:val="tx1"/>
                  </w14:solidFill>
                </w14:textFill>
              </w:rPr>
              <w:t>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0"/>
                <w:numId w:val="0"/>
              </w:numPr>
              <w:shd w:val="clea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 w:val="0"/>
                <w:bCs w:val="0"/>
                <w:color w:val="000000" w:themeColor="text1"/>
                <w:sz w:val="24"/>
                <w:szCs w:val="24"/>
                <w:highlight w:val="none"/>
                <w14:textFill>
                  <w14:solidFill>
                    <w14:schemeClr w14:val="tx1"/>
                  </w14:solidFill>
                </w14:textFill>
              </w:rPr>
              <w:t>供应商出具符合要求的《关于符合本国产品标准的声明函》或财政部会同有关部门规定的有关证明文件，该产品视为本国产品。声明函样式见</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b w:val="0"/>
                <w:bCs w:val="0"/>
                <w:color w:val="000000" w:themeColor="text1"/>
                <w:sz w:val="24"/>
                <w:szCs w:val="24"/>
                <w:highlight w:val="none"/>
                <w14:textFill>
                  <w14:solidFill>
                    <w14:schemeClr w14:val="tx1"/>
                  </w14:solidFill>
                </w14:textFill>
              </w:rPr>
              <w:t>文件</w:t>
            </w: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格式。</w:t>
            </w:r>
          </w:p>
          <w:p>
            <w:pPr>
              <w:numPr>
                <w:ilvl w:val="0"/>
                <w:numId w:val="0"/>
              </w:numPr>
              <w:shd w:val="clear"/>
              <w:spacing w:line="360" w:lineRule="auto"/>
              <w:ind w:left="2" w:leftChars="0"/>
              <w:jc w:val="left"/>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eastAsia="宋体" w:cs="Times New Roman"/>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4"/>
                <w:szCs w:val="24"/>
                <w:highlight w:val="none"/>
                <w14:textFill>
                  <w14:solidFill>
                    <w14:schemeClr w14:val="tx1"/>
                  </w14:solidFill>
                </w14:textFill>
              </w:rPr>
              <w:t>关于同时满足中小企业扶持政策和对本国产品的支持政策的事项说明。</w:t>
            </w:r>
          </w:p>
          <w:p>
            <w:pPr>
              <w:shd w:val="clea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20%-100</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10%=70元。具体情形如下：</w:t>
            </w:r>
          </w:p>
          <w:p>
            <w:pPr>
              <w:shd w:val="clea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hd w:val="clear"/>
              <w:spacing w:line="360" w:lineRule="auto"/>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5.上述支持政策不改变最终中标（成交）价格，政府采购合同仍按照中标（成交）供应商的报价签订</w:t>
            </w:r>
            <w:r>
              <w:rPr>
                <w:rFonts w:hint="eastAsia" w:ascii="宋体" w:hAnsi="宋体" w:cs="宋体"/>
                <w:bCs/>
                <w:color w:val="000000" w:themeColor="text1"/>
                <w:sz w:val="24"/>
                <w14:textFill>
                  <w14:solidFill>
                    <w14:schemeClr w14:val="tx1"/>
                  </w14:solidFill>
                </w14:textFill>
              </w:rPr>
              <w:t>。</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拟派服务团队负责人（仅限一人）</w:t>
            </w:r>
          </w:p>
        </w:tc>
        <w:tc>
          <w:tcPr>
            <w:tcW w:w="5992" w:type="dxa"/>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（一）评分内容：</w:t>
            </w:r>
          </w:p>
          <w:p>
            <w:pPr>
              <w:spacing w:line="360" w:lineRule="auto"/>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1.拟派的服务团队负责人具有财政</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财务管理</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会计等相关专业</w:t>
            </w:r>
            <w:r>
              <w:rPr>
                <w:rFonts w:hint="eastAsia" w:ascii="宋体" w:hAnsi="宋体" w:cs="宋体"/>
                <w:color w:val="000000" w:themeColor="text1"/>
                <w:sz w:val="24"/>
                <w:lang w:eastAsia="zh-CN" w:bidi="ar"/>
                <w14:textFill>
                  <w14:solidFill>
                    <w14:schemeClr w14:val="tx1"/>
                  </w14:solidFill>
                </w14:textFill>
              </w:rPr>
              <w:t>之一的</w:t>
            </w:r>
            <w:r>
              <w:rPr>
                <w:rFonts w:hint="eastAsia" w:ascii="宋体" w:hAnsi="宋体" w:cs="宋体"/>
                <w:color w:val="000000" w:themeColor="text1"/>
                <w:sz w:val="24"/>
                <w:lang w:bidi="ar"/>
                <w14:textFill>
                  <w14:solidFill>
                    <w14:schemeClr w14:val="tx1"/>
                  </w14:solidFill>
                </w14:textFill>
              </w:rPr>
              <w:t>正高级职称的，得2分；最高得2分；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2.拟派的服务团队负责人从事政府采购</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财税</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管理咨询等相关工作</w:t>
            </w:r>
            <w:r>
              <w:rPr>
                <w:rFonts w:hint="eastAsia" w:ascii="宋体" w:hAnsi="宋体" w:cs="宋体"/>
                <w:color w:val="000000" w:themeColor="text1"/>
                <w:sz w:val="24"/>
                <w:lang w:eastAsia="zh-CN" w:bidi="ar"/>
                <w14:textFill>
                  <w14:solidFill>
                    <w14:schemeClr w14:val="tx1"/>
                  </w14:solidFill>
                </w14:textFill>
              </w:rPr>
              <w:t>之一，且</w:t>
            </w:r>
            <w:r>
              <w:rPr>
                <w:rFonts w:hint="eastAsia" w:ascii="宋体" w:hAnsi="宋体" w:cs="宋体"/>
                <w:color w:val="000000" w:themeColor="text1"/>
                <w:sz w:val="24"/>
                <w:lang w:bidi="ar"/>
                <w14:textFill>
                  <w14:solidFill>
                    <w14:schemeClr w14:val="tx1"/>
                  </w14:solidFill>
                </w14:textFill>
              </w:rPr>
              <w:t>经验10年（含）以上的，得4分；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3.拟派的服务团队负责人自2023年1月1日至投标截止之日（以合同签订时间为准）为具有</w:t>
            </w:r>
            <w:r>
              <w:rPr>
                <w:rFonts w:hint="eastAsia" w:ascii="宋体" w:hAnsi="宋体" w:cs="宋体"/>
                <w:color w:val="000000" w:themeColor="text1"/>
                <w:sz w:val="24"/>
                <w:highlight w:val="none"/>
                <w:lang w:bidi="ar"/>
                <w14:textFill>
                  <w14:solidFill>
                    <w14:schemeClr w14:val="tx1"/>
                  </w14:solidFill>
                </w14:textFill>
              </w:rPr>
              <w:t>政府采购清查相关</w:t>
            </w:r>
            <w:r>
              <w:rPr>
                <w:rFonts w:hint="eastAsia" w:ascii="宋体" w:hAnsi="宋体" w:cs="宋体"/>
                <w:color w:val="000000" w:themeColor="text1"/>
                <w:sz w:val="24"/>
                <w:lang w:bidi="ar"/>
                <w14:textFill>
                  <w14:solidFill>
                    <w14:schemeClr w14:val="tx1"/>
                  </w14:solidFill>
                </w14:textFill>
              </w:rPr>
              <w:t>服务经验的，每提供一个有效业绩得2.5分，最高得10分，同一项目合同续签不可重复计分。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以上累计得分，最高得16分。</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（二）评分依据：</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1.提供正高级职称证书、相应资质（格）证书等证明材料和要求提供通过投标人购买的项目负责人截标前近三个月任意一个月的社保证明</w:t>
            </w:r>
            <w:r>
              <w:rPr>
                <w:rFonts w:hint="eastAsia" w:ascii="宋体" w:hAnsi="宋体" w:cs="宋体"/>
                <w:color w:val="000000" w:themeColor="text1"/>
                <w:sz w:val="24"/>
                <w:lang w:eastAsia="zh-CN" w:bidi="ar"/>
                <w14:textFill>
                  <w14:solidFill>
                    <w14:schemeClr w14:val="tx1"/>
                  </w14:solidFill>
                </w14:textFill>
              </w:rPr>
              <w:t>及劳动合同</w:t>
            </w:r>
            <w:r>
              <w:rPr>
                <w:rFonts w:hint="eastAsia" w:ascii="宋体" w:hAnsi="宋体" w:cs="宋体"/>
                <w:color w:val="000000" w:themeColor="text1"/>
                <w:sz w:val="24"/>
                <w:lang w:bidi="ar"/>
                <w14:textFill>
                  <w14:solidFill>
                    <w14:schemeClr w14:val="tx1"/>
                  </w14:solidFill>
                </w14:textFill>
              </w:rPr>
              <w:t>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w:t>
            </w:r>
            <w:r>
              <w:rPr>
                <w:rFonts w:hint="eastAsia" w:ascii="宋体" w:hAnsi="宋体" w:cs="宋体"/>
                <w:color w:val="000000" w:themeColor="text1"/>
                <w:sz w:val="24"/>
                <w:lang w:val="zh-CN"/>
                <w14:textFill>
                  <w14:solidFill>
                    <w14:schemeClr w14:val="tx1"/>
                  </w14:solidFill>
                </w14:textFill>
              </w:rPr>
              <w:t>。</w:t>
            </w:r>
          </w:p>
          <w:p>
            <w:pPr>
              <w:spacing w:line="360" w:lineRule="auto"/>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2.相关工作经验年限需提供承诺函(格式自拟)加盖公章作为得分依据，未提供或提供不齐全或无法分辨的不得分。</w:t>
            </w:r>
          </w:p>
          <w:p>
            <w:pPr>
              <w:spacing w:line="360" w:lineRule="auto"/>
              <w:jc w:val="lef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3.涉及业绩经验的需提供合同关键页（关键页包含但不限于合同封面、服务内容页、双方盖章页等，体现人员名称），如合同无法体现人员名称，须同时提供合同甲方出具的证明复印件加盖公章，原件备查。</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以上资料均要求提供扫描件加盖公章，原件备查，评分中出现无证明资料或专家无法凭所提供资料判断是否得分的情况，一律作不得分处理。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16</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拟派服务团队成员（不含负责人）</w:t>
            </w:r>
          </w:p>
        </w:tc>
        <w:tc>
          <w:tcPr>
            <w:tcW w:w="5992" w:type="dxa"/>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（一）评分内容：</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为本项目拟派</w:t>
            </w:r>
            <w:r>
              <w:rPr>
                <w:rFonts w:hint="eastAsia" w:ascii="宋体" w:hAnsi="宋体" w:cs="宋体"/>
                <w:color w:val="000000" w:themeColor="text1"/>
                <w:sz w:val="24"/>
                <w:lang w:val="en-US" w:eastAsia="zh-CN" w:bidi="ar"/>
                <w14:textFill>
                  <w14:solidFill>
                    <w14:schemeClr w14:val="tx1"/>
                  </w14:solidFill>
                </w14:textFill>
              </w:rPr>
              <w:t>团队成员</w:t>
            </w:r>
            <w:r>
              <w:rPr>
                <w:rFonts w:hint="eastAsia" w:ascii="宋体" w:hAnsi="宋体" w:cs="宋体"/>
                <w:color w:val="000000"/>
                <w:sz w:val="24"/>
              </w:rPr>
              <w:t>不少于</w:t>
            </w:r>
            <w:r>
              <w:rPr>
                <w:rFonts w:hint="eastAsia" w:ascii="宋体" w:hAnsi="宋体" w:cs="宋体"/>
                <w:color w:val="000000"/>
                <w:sz w:val="24"/>
                <w:lang w:val="en-US" w:eastAsia="zh-CN"/>
              </w:rPr>
              <w:t>4</w:t>
            </w:r>
            <w:r>
              <w:rPr>
                <w:rFonts w:hint="eastAsia" w:ascii="宋体" w:hAnsi="宋体" w:cs="宋体"/>
                <w:color w:val="000000"/>
                <w:sz w:val="24"/>
              </w:rPr>
              <w:t>名成员</w:t>
            </w:r>
            <w:r>
              <w:rPr>
                <w:rFonts w:hint="eastAsia" w:ascii="宋体" w:hAnsi="宋体" w:cs="宋体"/>
                <w:color w:val="000000" w:themeColor="text1"/>
                <w:sz w:val="24"/>
                <w:lang w:bidi="ar"/>
                <w14:textFill>
                  <w14:solidFill>
                    <w14:schemeClr w14:val="tx1"/>
                  </w14:solidFill>
                </w14:textFill>
              </w:rPr>
              <w:t>（不含负责人）</w:t>
            </w:r>
            <w:r>
              <w:rPr>
                <w:rFonts w:hint="eastAsia" w:ascii="宋体" w:hAnsi="宋体" w:cs="宋体"/>
                <w:color w:val="000000"/>
                <w:sz w:val="24"/>
                <w:lang w:eastAsia="zh-CN"/>
              </w:rPr>
              <w:t>，</w:t>
            </w:r>
            <w:r>
              <w:rPr>
                <w:rFonts w:hint="eastAsia" w:ascii="宋体" w:hAnsi="宋体" w:cs="宋体"/>
                <w:color w:val="000000"/>
                <w:sz w:val="24"/>
                <w:lang w:val="en-US" w:eastAsia="zh-CN"/>
              </w:rPr>
              <w:t>其中拟派</w:t>
            </w:r>
            <w:r>
              <w:rPr>
                <w:rFonts w:hint="eastAsia" w:ascii="宋体" w:hAnsi="宋体" w:cs="宋体"/>
                <w:color w:val="000000" w:themeColor="text1"/>
                <w:sz w:val="24"/>
                <w:lang w:bidi="ar"/>
                <w14:textFill>
                  <w14:solidFill>
                    <w14:schemeClr w14:val="tx1"/>
                  </w14:solidFill>
                </w14:textFill>
              </w:rPr>
              <w:t>驻</w:t>
            </w:r>
            <w:r>
              <w:rPr>
                <w:rFonts w:hint="eastAsia" w:ascii="宋体" w:hAnsi="宋体" w:cs="宋体"/>
                <w:color w:val="000000" w:themeColor="text1"/>
                <w:sz w:val="24"/>
                <w:lang w:val="en-US" w:eastAsia="zh-CN" w:bidi="ar"/>
                <w14:textFill>
                  <w14:solidFill>
                    <w14:schemeClr w14:val="tx1"/>
                  </w14:solidFill>
                </w14:textFill>
              </w:rPr>
              <w:t>点</w:t>
            </w:r>
            <w:r>
              <w:rPr>
                <w:rFonts w:hint="eastAsia" w:ascii="宋体" w:hAnsi="宋体" w:cs="宋体"/>
                <w:color w:val="000000" w:themeColor="text1"/>
                <w:sz w:val="24"/>
                <w:lang w:bidi="ar"/>
                <w14:textFill>
                  <w14:solidFill>
                    <w14:schemeClr w14:val="tx1"/>
                  </w14:solidFill>
                </w14:textFill>
              </w:rPr>
              <w:t>的成员不少于</w:t>
            </w:r>
            <w:r>
              <w:rPr>
                <w:rFonts w:hint="eastAsia" w:ascii="宋体" w:hAnsi="宋体" w:cs="宋体"/>
                <w:color w:val="000000" w:themeColor="text1"/>
                <w:sz w:val="24"/>
                <w:lang w:val="en-US" w:eastAsia="zh-CN" w:bidi="ar"/>
                <w14:textFill>
                  <w14:solidFill>
                    <w14:schemeClr w14:val="tx1"/>
                  </w14:solidFill>
                </w14:textFill>
              </w:rPr>
              <w:t>1</w:t>
            </w:r>
            <w:r>
              <w:rPr>
                <w:rFonts w:hint="eastAsia" w:ascii="宋体" w:hAnsi="宋体" w:cs="宋体"/>
                <w:color w:val="000000" w:themeColor="text1"/>
                <w:sz w:val="24"/>
                <w:lang w:bidi="ar"/>
                <w14:textFill>
                  <w14:solidFill>
                    <w14:schemeClr w14:val="tx1"/>
                  </w14:solidFill>
                </w14:textFill>
              </w:rPr>
              <w:t>人，且所有团队成员（不含负责人）均需具备财政</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财务管理</w:t>
            </w:r>
            <w:r>
              <w:rPr>
                <w:rFonts w:hint="eastAsia" w:ascii="宋体" w:hAnsi="宋体" w:cs="宋体"/>
                <w:color w:val="000000" w:themeColor="text1"/>
                <w:sz w:val="24"/>
                <w:lang w:val="en-US" w:eastAsia="zh-CN" w:bidi="ar"/>
                <w14:textFill>
                  <w14:solidFill>
                    <w14:schemeClr w14:val="tx1"/>
                  </w14:solidFill>
                </w14:textFill>
              </w:rPr>
              <w:t>或</w:t>
            </w:r>
            <w:r>
              <w:rPr>
                <w:rFonts w:hint="eastAsia" w:ascii="宋体" w:hAnsi="宋体" w:cs="宋体"/>
                <w:color w:val="000000" w:themeColor="text1"/>
                <w:sz w:val="24"/>
                <w:lang w:bidi="ar"/>
                <w14:textFill>
                  <w14:solidFill>
                    <w14:schemeClr w14:val="tx1"/>
                  </w14:solidFill>
                </w14:textFill>
              </w:rPr>
              <w:t>会计等相关专业本科或以上学历，否则</w:t>
            </w:r>
            <w:r>
              <w:rPr>
                <w:rFonts w:hint="eastAsia" w:ascii="宋体" w:hAnsi="宋体" w:cs="宋体"/>
                <w:color w:val="000000" w:themeColor="text1"/>
                <w:sz w:val="24"/>
                <w:highlight w:val="none"/>
                <w:lang w:bidi="ar"/>
                <w14:textFill>
                  <w14:solidFill>
                    <w14:schemeClr w14:val="tx1"/>
                  </w14:solidFill>
                </w14:textFill>
              </w:rPr>
              <w:t>本项不得分；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在此基础上：</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1.服务团队成员（不含负责人）中具有会计专业技术资格证书（中级或以上）的，1人得2分，本小项满分6分；</w:t>
            </w:r>
          </w:p>
          <w:p>
            <w:pPr>
              <w:spacing w:line="360" w:lineRule="auto"/>
              <w:jc w:val="left"/>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2.服务团队成员（不含负责人）具有政府采购清查相关服务经验的，1人得2分，</w:t>
            </w:r>
            <w:r>
              <w:rPr>
                <w:rFonts w:hint="eastAsia" w:ascii="宋体" w:hAnsi="宋体" w:cs="宋体"/>
                <w:color w:val="auto"/>
                <w:sz w:val="24"/>
                <w:highlight w:val="none"/>
                <w:lang w:bidi="ar"/>
              </w:rPr>
              <w:t>同一项目的仅可得分1次，</w:t>
            </w:r>
            <w:r>
              <w:rPr>
                <w:rFonts w:hint="eastAsia" w:ascii="宋体" w:hAnsi="宋体" w:cs="宋体"/>
                <w:color w:val="000000" w:themeColor="text1"/>
                <w:sz w:val="24"/>
                <w:highlight w:val="none"/>
                <w:lang w:bidi="ar"/>
                <w14:textFill>
                  <w14:solidFill>
                    <w14:schemeClr w14:val="tx1"/>
                  </w14:solidFill>
                </w14:textFill>
              </w:rPr>
              <w:t>本小项满分8分；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以上</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bidi="ar"/>
                <w14:textFill>
                  <w14:solidFill>
                    <w14:schemeClr w14:val="tx1"/>
                  </w14:solidFill>
                </w14:textFill>
              </w:rPr>
              <w:t>项累计得分，满分14分。</w:t>
            </w:r>
          </w:p>
          <w:p>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（二）评分依据：</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1.提供通过投标人购买的团队成员截标前近三个月任意一个月的社保证明</w:t>
            </w:r>
            <w:r>
              <w:rPr>
                <w:rFonts w:hint="eastAsia" w:ascii="宋体" w:hAnsi="宋体" w:cs="宋体"/>
                <w:color w:val="000000" w:themeColor="text1"/>
                <w:sz w:val="24"/>
                <w:lang w:eastAsia="zh-CN" w:bidi="ar"/>
                <w14:textFill>
                  <w14:solidFill>
                    <w14:schemeClr w14:val="tx1"/>
                  </w14:solidFill>
                </w14:textFill>
              </w:rPr>
              <w:t>及劳动合同</w:t>
            </w:r>
            <w:r>
              <w:rPr>
                <w:rFonts w:hint="eastAsia" w:ascii="宋体" w:hAnsi="宋体" w:cs="宋体"/>
                <w:color w:val="000000" w:themeColor="text1"/>
                <w:sz w:val="24"/>
                <w:lang w:bidi="ar"/>
                <w14:textFill>
                  <w14:solidFill>
                    <w14:schemeClr w14:val="tx1"/>
                  </w14:solidFill>
                </w14:textFill>
              </w:rPr>
              <w:t>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原件备查，未提供或提供不齐全或无法分辨的不得分。</w:t>
            </w:r>
          </w:p>
          <w:p>
            <w:pPr>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提供</w:t>
            </w:r>
            <w:r>
              <w:rPr>
                <w:rFonts w:hint="eastAsia" w:ascii="宋体" w:hAnsi="宋体" w:cs="宋体"/>
                <w:color w:val="000000" w:themeColor="text1"/>
                <w:sz w:val="24"/>
                <w:lang w:val="en-US" w:eastAsia="zh-CN" w:bidi="ar"/>
                <w14:textFill>
                  <w14:solidFill>
                    <w14:schemeClr w14:val="tx1"/>
                  </w14:solidFill>
                </w14:textFill>
              </w:rPr>
              <w:t>人员清单（标注驻点人员）、</w:t>
            </w:r>
            <w:r>
              <w:rPr>
                <w:rFonts w:hint="eastAsia" w:ascii="宋体" w:hAnsi="宋体" w:cs="宋体"/>
                <w:color w:val="000000" w:themeColor="text1"/>
                <w:sz w:val="24"/>
                <w:lang w:bidi="ar"/>
                <w14:textFill>
                  <w14:solidFill>
                    <w14:schemeClr w14:val="tx1"/>
                  </w14:solidFill>
                </w14:textFill>
              </w:rPr>
              <w:t>相应资质（格）的证书复印件</w:t>
            </w:r>
            <w:r>
              <w:rPr>
                <w:rFonts w:hint="eastAsia" w:ascii="宋体" w:hAnsi="宋体" w:cs="宋体"/>
                <w:color w:val="000000" w:themeColor="text1"/>
                <w:sz w:val="24"/>
                <w:lang w:eastAsia="zh-CN" w:bidi="ar"/>
                <w14:textFill>
                  <w14:solidFill>
                    <w14:schemeClr w14:val="tx1"/>
                  </w14:solidFill>
                </w14:textFill>
              </w:rPr>
              <w:t>。</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服务经验</w:t>
            </w:r>
            <w:r>
              <w:rPr>
                <w:rFonts w:hint="eastAsia" w:ascii="宋体" w:hAnsi="宋体" w:cs="宋体"/>
                <w:color w:val="000000" w:themeColor="text1"/>
                <w:sz w:val="24"/>
                <w14:textFill>
                  <w14:solidFill>
                    <w14:schemeClr w14:val="tx1"/>
                  </w14:solidFill>
                </w14:textFill>
              </w:rPr>
              <w:t>需提供合同关键页（关键页包含但不限于合同封面、服务内容页、双方盖章页等，体现人员名称）复印件加盖公章，</w:t>
            </w:r>
            <w:r>
              <w:rPr>
                <w:rFonts w:hint="eastAsia" w:ascii="宋体" w:hAnsi="宋体" w:cs="宋体"/>
                <w:color w:val="000000" w:themeColor="text1"/>
                <w:sz w:val="24"/>
                <w:lang w:bidi="ar"/>
                <w14:textFill>
                  <w14:solidFill>
                    <w14:schemeClr w14:val="tx1"/>
                  </w14:solidFill>
                </w14:textFill>
              </w:rPr>
              <w:t>如合同无法体现人员名称，须同时提供合同甲方出具的证明复印件加盖公章</w:t>
            </w:r>
            <w:r>
              <w:rPr>
                <w:rFonts w:hint="eastAsia" w:ascii="宋体" w:hAnsi="宋体" w:cs="宋体"/>
                <w:color w:val="000000" w:themeColor="text1"/>
                <w:sz w:val="24"/>
                <w14:textFill>
                  <w14:solidFill>
                    <w14:schemeClr w14:val="tx1"/>
                  </w14:solidFill>
                </w14:textFill>
              </w:rPr>
              <w:t>，原件备查。</w:t>
            </w:r>
          </w:p>
          <w:p>
            <w:pPr>
              <w:spacing w:line="360" w:lineRule="auto"/>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学历证明：</w:t>
            </w:r>
            <w:r>
              <w:rPr>
                <w:rFonts w:hint="eastAsia" w:ascii="宋体" w:hAnsi="宋体" w:cs="宋体"/>
                <w:color w:val="000000" w:themeColor="text1"/>
                <w:sz w:val="24"/>
                <w14:textFill>
                  <w14:solidFill>
                    <w14:schemeClr w14:val="tx1"/>
                  </w14:solidFill>
                </w14:textFill>
              </w:rPr>
              <w:t>学历证书（毕业证书）复印件及学信网查询记录（对于较早颁发的学历学位证书，学信网无法查询的，要求提供证书复印件和其他佐证材料（如毕业院校、人社部门等颁发机构或监管机构等单位出具的证明），留学归国人员如无法提供学信网查询记录截图，提供国（境）外学历证书复印件和教育部留学服务中心出具的国外学历学位认证书复印件，不提供不予计算</w:t>
            </w:r>
            <w:r>
              <w:rPr>
                <w:rFonts w:hint="eastAsia" w:ascii="宋体" w:hAnsi="宋体" w:cs="宋体"/>
                <w:color w:val="000000" w:themeColor="text1"/>
                <w:sz w:val="24"/>
                <w:lang w:eastAsia="zh-CN"/>
                <w14:textFill>
                  <w14:solidFill>
                    <w14:schemeClr w14:val="tx1"/>
                  </w14:solidFill>
                </w14:textFill>
              </w:rPr>
              <w:t>。</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以上资料均要求提供扫描件加盖公章，原件备查，评分中出现无证明资料或专家无法凭所提供资料判断是否得分的情况，一律作不得分处理。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项目经验</w:t>
            </w:r>
          </w:p>
        </w:tc>
        <w:tc>
          <w:tcPr>
            <w:tcW w:w="5992" w:type="dxa"/>
          </w:tcPr>
          <w:p>
            <w:pPr>
              <w:pStyle w:val="18"/>
              <w:spacing w:before="0" w:beforeAutospacing="0" w:after="0" w:afterAutospacing="0" w:line="360" w:lineRule="auto"/>
              <w:jc w:val="both"/>
              <w:rPr>
                <w:rFonts w:hint="eastAsia"/>
                <w:color w:val="000000" w:themeColor="text1"/>
                <w14:textFill>
                  <w14:solidFill>
                    <w14:schemeClr w14:val="tx1"/>
                  </w14:solidFill>
                </w14:textFill>
              </w:rPr>
            </w:pPr>
            <w:r>
              <w:rPr>
                <w:rFonts w:hint="eastAsia"/>
                <w:color w:val="000000" w:themeColor="text1"/>
                <w:kern w:val="2"/>
                <w:lang w:bidi="ar"/>
                <w14:textFill>
                  <w14:solidFill>
                    <w14:schemeClr w14:val="tx1"/>
                  </w14:solidFill>
                </w14:textFill>
              </w:rPr>
              <w:t>（一）评分内容：投标人具备自2023年1月1日至投标截止之日（以合同签订时间为准）为具有</w:t>
            </w:r>
            <w:r>
              <w:rPr>
                <w:rFonts w:hint="eastAsia"/>
                <w:color w:val="000000" w:themeColor="text1"/>
                <w:lang w:bidi="ar"/>
                <w14:textFill>
                  <w14:solidFill>
                    <w14:schemeClr w14:val="tx1"/>
                  </w14:solidFill>
                </w14:textFill>
              </w:rPr>
              <w:t>政府采购清查相关服务经验</w:t>
            </w:r>
            <w:r>
              <w:rPr>
                <w:rFonts w:hint="eastAsia"/>
                <w:color w:val="000000" w:themeColor="text1"/>
                <w:kern w:val="2"/>
                <w:lang w:bidi="ar"/>
                <w14:textFill>
                  <w14:solidFill>
                    <w14:schemeClr w14:val="tx1"/>
                  </w14:solidFill>
                </w14:textFill>
              </w:rPr>
              <w:t>，每提供一个有效业绩得3分，最高得15分。</w:t>
            </w:r>
          </w:p>
          <w:p>
            <w:pPr>
              <w:pStyle w:val="18"/>
              <w:spacing w:before="0" w:beforeAutospacing="0" w:after="0" w:afterAutospacing="0" w:line="360" w:lineRule="auto"/>
              <w:jc w:val="both"/>
              <w:rPr>
                <w:rFonts w:hint="eastAsia"/>
                <w:color w:val="000000" w:themeColor="text1"/>
                <w14:textFill>
                  <w14:solidFill>
                    <w14:schemeClr w14:val="tx1"/>
                  </w14:solidFill>
                </w14:textFill>
              </w:rPr>
            </w:pPr>
            <w:r>
              <w:rPr>
                <w:rFonts w:hint="eastAsia"/>
                <w:color w:val="000000" w:themeColor="text1"/>
                <w:kern w:val="2"/>
                <w:lang w:bidi="ar"/>
                <w14:textFill>
                  <w14:solidFill>
                    <w14:schemeClr w14:val="tx1"/>
                  </w14:solidFill>
                </w14:textFill>
              </w:rPr>
              <w:t>（二）评分依据：</w:t>
            </w:r>
          </w:p>
          <w:p>
            <w:pPr>
              <w:pStyle w:val="18"/>
              <w:spacing w:before="0" w:beforeAutospacing="0" w:after="0" w:afterAutospacing="0" w:line="360" w:lineRule="auto"/>
              <w:jc w:val="both"/>
              <w:rPr>
                <w:rFonts w:hint="eastAsia"/>
                <w:color w:val="000000" w:themeColor="text1"/>
                <w:kern w:val="2"/>
                <w14:textFill>
                  <w14:solidFill>
                    <w14:schemeClr w14:val="tx1"/>
                  </w14:solidFill>
                </w14:textFill>
              </w:rPr>
            </w:pPr>
            <w:r>
              <w:rPr>
                <w:rFonts w:hint="eastAsia"/>
                <w:color w:val="000000" w:themeColor="text1"/>
                <w:kern w:val="2"/>
                <w:lang w:bidi="ar"/>
                <w14:textFill>
                  <w14:solidFill>
                    <w14:schemeClr w14:val="tx1"/>
                  </w14:solidFill>
                </w14:textFill>
              </w:rPr>
              <w:t>需提供合同关键页（包括但不限于签订合同双方的单位名称、合同项目名称、签订合同双方的签字盖章页、合同金额页，签订日期页）复印件加盖公章</w:t>
            </w:r>
            <w:r>
              <w:rPr>
                <w:rFonts w:hint="eastAsia"/>
                <w:color w:val="000000" w:themeColor="text1"/>
                <w:lang w:bidi="ar"/>
                <w14:textFill>
                  <w14:solidFill>
                    <w14:schemeClr w14:val="tx1"/>
                  </w14:solidFill>
                </w14:textFill>
              </w:rPr>
              <w:t>，原件备查。同一项目续签不可重复得分</w:t>
            </w:r>
            <w:r>
              <w:rPr>
                <w:rFonts w:hint="eastAsia"/>
                <w:color w:val="000000" w:themeColor="text1"/>
                <w:kern w:val="2"/>
                <w:lang w:bidi="ar"/>
                <w14:textFill>
                  <w14:solidFill>
                    <w14:schemeClr w14:val="tx1"/>
                  </w14:solidFill>
                </w14:textFill>
              </w:rPr>
              <w:t>。</w:t>
            </w:r>
            <w:r>
              <w:rPr>
                <w:rFonts w:hint="eastAsia"/>
                <w:color w:val="000000" w:themeColor="text1"/>
                <w14:textFill>
                  <w14:solidFill>
                    <w14:schemeClr w14:val="tx1"/>
                  </w14:solidFill>
                </w14:textFill>
              </w:rPr>
              <w:t>以上资料均要求提供扫描件加盖公章，原件备查，评分中出现无证明资料或专家无法凭所提供资料判断是否得分的情况，一律作不得分处理。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对项目需求的解析</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根据投标文件里</w:t>
            </w:r>
            <w:r>
              <w:rPr>
                <w:rFonts w:hint="eastAsia" w:ascii="宋体" w:hAnsi="宋体" w:cs="宋体"/>
                <w:color w:val="000000" w:themeColor="text1"/>
                <w:sz w:val="24"/>
                <w14:textFill>
                  <w14:solidFill>
                    <w14:schemeClr w14:val="tx1"/>
                  </w14:solidFill>
                </w14:textFill>
              </w:rPr>
              <w:t>分析</w:t>
            </w:r>
            <w:r>
              <w:rPr>
                <w:rFonts w:hint="eastAsia" w:ascii="宋体" w:hAnsi="宋体" w:cs="宋体"/>
                <w:color w:val="000000" w:themeColor="text1"/>
                <w:sz w:val="24"/>
                <w:lang w:val="zh-CN"/>
                <w14:textFill>
                  <w14:solidFill>
                    <w14:schemeClr w14:val="tx1"/>
                  </w14:solidFill>
                </w14:textFill>
              </w:rPr>
              <w:t>方案的判断情况比较得分：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1.对背景的理解；</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2.对项目需求及目的解读；</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3.对</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内容整体解读</w:t>
            </w:r>
            <w:r>
              <w:rPr>
                <w:rFonts w:hint="eastAsia" w:ascii="宋体" w:hAnsi="宋体" w:cs="宋体"/>
                <w:color w:val="000000" w:themeColor="text1"/>
                <w:sz w:val="24"/>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满足任意两点得4分，满足任意一点得2分</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未满足不得分。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在此基础上，专家根据各供应商的具体响应内容按照方案的完整性、规范性及内容的合理性进一步评审：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满足以上5项的评价为优加4分；满足以上4项的评价为良加2分；满足以上3项的评价为中加1分；其他情况评价为差不加分。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实施方案</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考察投标人针对本项目的实施方案，需包括但不仅限于以下内容：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1、项目管理方案(包括人员安排)；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工作内容</w:t>
            </w:r>
            <w:r>
              <w:rPr>
                <w:rFonts w:hint="eastAsia" w:ascii="宋体" w:hAnsi="宋体" w:cs="宋体"/>
                <w:color w:val="000000" w:themeColor="text1"/>
                <w:sz w:val="24"/>
                <w14:textFill>
                  <w14:solidFill>
                    <w14:schemeClr w14:val="tx1"/>
                  </w14:solidFill>
                </w14:textFill>
              </w:rPr>
              <w:t>与</w:t>
            </w:r>
            <w:r>
              <w:rPr>
                <w:rFonts w:hint="eastAsia" w:ascii="宋体" w:hAnsi="宋体" w:cs="宋体"/>
                <w:color w:val="000000" w:themeColor="text1"/>
                <w:sz w:val="24"/>
                <w:lang w:val="zh-CN"/>
                <w14:textFill>
                  <w14:solidFill>
                    <w14:schemeClr w14:val="tx1"/>
                  </w14:solidFill>
                </w14:textFill>
              </w:rPr>
              <w:t>方案思路</w:t>
            </w:r>
            <w:r>
              <w:rPr>
                <w:rFonts w:hint="eastAsia" w:ascii="宋体" w:hAnsi="宋体" w:cs="宋体"/>
                <w:color w:val="000000" w:themeColor="text1"/>
                <w:sz w:val="24"/>
                <w14:textFill>
                  <w14:solidFill>
                    <w14:schemeClr w14:val="tx1"/>
                  </w14:solidFill>
                </w14:textFill>
              </w:rPr>
              <w:t>；</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3、进度计划。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考察以上三点得6分，满足任意两点得4分，满足任意一点得2分，其他情况不得分。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满足以上5项的评价为优加4分；满足以上4项的评价为良加2分；满足以上3项的评价为中加1分；其他情况评价为差不加分。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项目重点、难点及解决方案</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根据招标文件的需求和投标文件响应情况，编制项目重点难点分析、应对措施及相关的合理化建议。包含但不限于以下内容：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1、对重点难点问题的把握与分析</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2、对重点难点问题的应对措施和合理化建议</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lang w:val="zh-CN"/>
                <w14:textFill>
                  <w14:solidFill>
                    <w14:schemeClr w14:val="tx1"/>
                  </w14:solidFill>
                </w14:textFill>
              </w:rPr>
              <w:t>分，</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 xml:space="preserve">未满足不得分。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在此基础上，专家根据各供应商的具体响应内容进一步评审： </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满足以上5项的评价为优加5分；满足以上4项的评价为良加3分；满足以上3项的评价为中加1分；其他情况评价为差不加分。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项目质量保障措施和</w:t>
            </w:r>
            <w:r>
              <w:rPr>
                <w:rFonts w:hint="eastAsia" w:ascii="宋体" w:hAnsi="宋体" w:cs="宋体"/>
                <w:color w:val="000000" w:themeColor="text1"/>
                <w:sz w:val="24"/>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服务计划</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考察投标人针对本项目的保障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1、质量、进度管理保证措施；</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2、后续服务方案。</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考察以上两点，满足任意一点得2.5分，最高得5分。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满足以上5项的评价为优加5分；满足以上4项的评价为良加3分；满足以上3项的评价为中加1分；其他情况评价为差不加分。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rPr>
          <w:rFonts w:hint="eastAsia" w:ascii="宋体" w:hAnsi="宋体" w:cs="宋体"/>
          <w:b/>
          <w:bCs/>
          <w:color w:val="000000" w:themeColor="text1"/>
          <w:sz w:val="24"/>
          <w14:textFill>
            <w14:solidFill>
              <w14:schemeClr w14:val="tx1"/>
            </w14:solidFill>
          </w14:textFill>
        </w:rPr>
      </w:pPr>
      <w:bookmarkStart w:id="34" w:name="_Toc9548"/>
      <w:bookmarkStart w:id="35"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34"/>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6" w:name="_Toc31827"/>
      <w:bookmarkStart w:id="37" w:name="_Toc19494"/>
      <w:bookmarkStart w:id="38" w:name="_Toc5116"/>
      <w:bookmarkStart w:id="39" w:name="_Toc6548"/>
      <w:r>
        <w:rPr>
          <w:rFonts w:hint="eastAsia" w:ascii="宋体" w:hAnsi="宋体" w:cs="宋体"/>
          <w:b/>
          <w:bCs/>
          <w:color w:val="000000" w:themeColor="text1"/>
          <w:sz w:val="24"/>
          <w14:textFill>
            <w14:solidFill>
              <w14:schemeClr w14:val="tx1"/>
            </w14:solidFill>
          </w14:textFill>
        </w:rPr>
        <w:t>1、投标文件密封袋/封面参考</w:t>
      </w:r>
      <w:bookmarkEnd w:id="36"/>
      <w:bookmarkEnd w:id="37"/>
      <w:bookmarkEnd w:id="38"/>
      <w:bookmarkEnd w:id="39"/>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8"/>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8"/>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8"/>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8"/>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8"/>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8"/>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8"/>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0" w:name="_Toc16724"/>
      <w:r>
        <w:rPr>
          <w:rFonts w:hint="eastAsia" w:ascii="宋体" w:hAnsi="宋体" w:cs="宋体"/>
          <w:b/>
          <w:color w:val="000000" w:themeColor="text1"/>
          <w:sz w:val="24"/>
          <w14:textFill>
            <w14:solidFill>
              <w14:schemeClr w14:val="tx1"/>
            </w14:solidFill>
          </w14:textFill>
        </w:rPr>
        <w:t>2、投标文件—目录</w:t>
      </w:r>
      <w:bookmarkEnd w:id="40"/>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拟派服务团队负责人（仅限一人）；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拟派驻服务团队成员（不含负责人）；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对项目需求的解析；</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项目重点、难点及解决方案；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项目质量保障措施和后续服务计划；</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8"/>
        <w:rPr>
          <w:color w:val="000000" w:themeColor="text1"/>
          <w14:textFill>
            <w14:solidFill>
              <w14:schemeClr w14:val="tx1"/>
            </w14:solidFill>
          </w14:textFill>
        </w:rPr>
      </w:pP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1"/>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8"/>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1"/>
        <w:spacing w:line="360" w:lineRule="auto"/>
        <w:jc w:val="center"/>
        <w:rPr>
          <w:rFonts w:hint="eastAsia" w:hAnsi="宋体" w:cs="宋体"/>
          <w:b/>
          <w:color w:val="000000" w:themeColor="text1"/>
          <w:sz w:val="24"/>
          <w14:textFill>
            <w14:solidFill>
              <w14:schemeClr w14:val="tx1"/>
            </w14:solidFill>
          </w14:textFill>
        </w:rPr>
      </w:pPr>
    </w:p>
    <w:p>
      <w:pPr>
        <w:pStyle w:val="11"/>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1"/>
        <w:spacing w:line="360" w:lineRule="auto"/>
        <w:rPr>
          <w:rFonts w:hint="eastAsia" w:hAnsi="宋体" w:cs="宋体"/>
          <w:color w:val="000000" w:themeColor="text1"/>
          <w:sz w:val="24"/>
          <w14:textFill>
            <w14:solidFill>
              <w14:schemeClr w14:val="tx1"/>
            </w14:solidFill>
          </w14:textFill>
        </w:rPr>
      </w:pP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1"/>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1"/>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1"/>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1"/>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1"/>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1"/>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拟派服务团队负责人（仅限一人）；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拟派驻服务团队成员（不含负责人）；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项目经验；</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spacing w:line="360" w:lineRule="auto"/>
        <w:jc w:val="left"/>
        <w:rPr>
          <w:rFonts w:hint="eastAsia" w:hAnsi="宋体" w:cs="宋体"/>
          <w:color w:val="000000" w:themeColor="text1"/>
          <w:sz w:val="24"/>
          <w14:textFill>
            <w14:solidFill>
              <w14:schemeClr w14:val="tx1"/>
            </w14:solidFill>
          </w14:textFill>
        </w:rPr>
      </w:pPr>
    </w:p>
    <w:p>
      <w:pPr>
        <w:pStyle w:val="11"/>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8"/>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6"/>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6"/>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br w:type="page"/>
      </w:r>
      <w:r>
        <w:rPr>
          <w:rStyle w:val="36"/>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6"/>
          <w:rFonts w:hint="eastAsia" w:ascii="宋体" w:hAnsi="宋体" w:cs="宋体"/>
          <w:color w:val="000000" w:themeColor="text1"/>
          <w:spacing w:val="6"/>
          <w:sz w:val="24"/>
          <w:u w:val="single"/>
          <w14:textFill>
            <w14:solidFill>
              <w14:schemeClr w14:val="tx1"/>
            </w14:solidFill>
          </w14:textFill>
        </w:rPr>
        <w:t xml:space="preserve"> （采购单位名称） </w:t>
      </w:r>
      <w:r>
        <w:rPr>
          <w:rStyle w:val="36"/>
          <w:rFonts w:hint="eastAsia" w:ascii="宋体" w:hAnsi="宋体" w:cs="宋体"/>
          <w:color w:val="000000" w:themeColor="text1"/>
          <w:spacing w:val="6"/>
          <w:sz w:val="24"/>
          <w14:textFill>
            <w14:solidFill>
              <w14:schemeClr w14:val="tx1"/>
            </w14:solidFill>
          </w14:textFill>
        </w:rPr>
        <w:t>单位的</w:t>
      </w:r>
      <w:r>
        <w:rPr>
          <w:rStyle w:val="36"/>
          <w:rFonts w:hint="eastAsia" w:ascii="宋体" w:hAnsi="宋体" w:cs="宋体"/>
          <w:color w:val="000000" w:themeColor="text1"/>
          <w:spacing w:val="6"/>
          <w:sz w:val="24"/>
          <w:u w:val="single"/>
          <w14:textFill>
            <w14:solidFill>
              <w14:schemeClr w14:val="tx1"/>
            </w14:solidFill>
          </w14:textFill>
        </w:rPr>
        <w:t xml:space="preserve"> （采购项目名称） </w:t>
      </w:r>
      <w:r>
        <w:rPr>
          <w:rStyle w:val="36"/>
          <w:rFonts w:hint="eastAsia" w:ascii="宋体" w:hAnsi="宋体" w:cs="宋体"/>
          <w:color w:val="000000" w:themeColor="text1"/>
          <w:spacing w:val="6"/>
          <w:sz w:val="24"/>
          <w14:textFill>
            <w14:solidFill>
              <w14:schemeClr w14:val="tx1"/>
            </w14:solidFill>
          </w14:textFill>
        </w:rPr>
        <w:t>项目采购</w:t>
      </w:r>
      <w:r>
        <w:rPr>
          <w:rStyle w:val="36"/>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6"/>
          <w:rFonts w:hint="eastAsia" w:ascii="宋体" w:hAnsi="宋体" w:cs="宋体"/>
          <w:color w:val="000000" w:themeColor="text1"/>
          <w:spacing w:val="6"/>
          <w:sz w:val="24"/>
          <w14:textFill>
            <w14:solidFill>
              <w14:schemeClr w14:val="tx1"/>
            </w14:solidFill>
          </w14:textFill>
        </w:rPr>
        <w:t>。</w:t>
      </w:r>
      <w:r>
        <w:rPr>
          <w:rStyle w:val="36"/>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shd w:val="clear"/>
        <w:spacing w:after="79" w:afterLines="25" w:line="300" w:lineRule="auto"/>
        <w:ind w:firstLine="504" w:firstLineChars="200"/>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r>
        <w:rPr>
          <w:rFonts w:hint="eastAsia" w:ascii="宋体" w:hAnsi="宋体" w:cs="宋体"/>
          <w:b/>
          <w:bCs/>
          <w:color w:val="000000" w:themeColor="text1"/>
          <w:spacing w:val="6"/>
          <w:sz w:val="24"/>
          <w:highlight w:val="none"/>
          <w14:textFill>
            <w14:solidFill>
              <w14:schemeClr w14:val="tx1"/>
            </w14:solidFill>
          </w14:textFill>
        </w:rPr>
        <w:t>④</w:t>
      </w:r>
      <w:r>
        <w:rPr>
          <w:rFonts w:hint="eastAsia" w:ascii="宋体" w:hAnsi="宋体" w:cs="宋体"/>
          <w:b/>
          <w:bCs/>
          <w:color w:val="000000" w:themeColor="text1"/>
          <w:sz w:val="24"/>
          <w:highlight w:val="none"/>
          <w14:textFill>
            <w14:solidFill>
              <w14:schemeClr w14:val="tx1"/>
            </w14:solidFill>
          </w14:textFill>
        </w:rPr>
        <w:t>本国产品声明函</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填写指引：</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2、该部分内容填写需要参考的相关文件：</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（1）《国务院办公厅关于在政府采购中实施本国产品标准及相关政策的通知》（国办发〔2025〕34号）</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（2）《关于贯彻落实&lt;国务院办公厅关于在政府采购中实施本国产品标准及相关政策的通知&gt;的意见》（财库〔2025〕30号）</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（3）《深圳市财政局关于贯彻落实政府采购本国产品标准及相关政策的通知》（深财购〔2025〕69号）</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3、请依照提供的格式和内容填写声明函，不要随意变更格式；声明函可以不盖章或签字。</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4、声明函具体填写要求：</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（1）产品如有型号，请在“产品名称”栏一并填写。</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（2）生产厂名与厂址应与生产厂营业执照载明的相关信息保持一致。</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（3）该产品的中国境内生产的组件成本占比相关要求实施前，“规定比例”栏可不填，下同。</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（4）该产品的关键组件要求实施前，“关键组件”栏可不填，下同。</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（5）该产品的关键工序要求实施前，“关键工序”栏可不填，下同。</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highlight w:val="none"/>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争议处理：</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shd w:val="clea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hd w:val="clear"/>
        <w:spacing w:after="159" w:afterLines="5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1.关于符合本国产品标准的声明函</w:t>
      </w:r>
    </w:p>
    <w:p>
      <w:pPr>
        <w:widowControl/>
        <w:shd w:val="clear" w:color="auto"/>
        <w:spacing w:line="360" w:lineRule="auto"/>
        <w:ind w:firstLine="480" w:firstLineChars="200"/>
        <w:jc w:val="left"/>
        <w:rPr>
          <w:rFonts w:hint="eastAsia"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1.</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（产品名称1）</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1</w:t>
      </w:r>
      <w:r>
        <w:rPr>
          <w:rFonts w:hint="eastAsia" w:ascii="宋体" w:hAnsi="宋体" w:cs="宋体"/>
          <w:color w:val="000000" w:themeColor="text1"/>
          <w:kern w:val="0"/>
          <w:sz w:val="24"/>
          <w:highlight w:val="none"/>
          <w:shd w:val="clear" w:color="auto" w:fill="FFFFFF"/>
          <w14:textFill>
            <w14:solidFill>
              <w14:schemeClr w14:val="tx1"/>
            </w14:solidFill>
          </w14:textFill>
        </w:rPr>
        <w:t>，生产厂为</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（厂名）</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2</w:t>
      </w:r>
      <w:r>
        <w:rPr>
          <w:rFonts w:hint="eastAsia" w:ascii="宋体" w:hAnsi="宋体" w:cs="宋体"/>
          <w:color w:val="000000" w:themeColor="text1"/>
          <w:kern w:val="0"/>
          <w:sz w:val="24"/>
          <w:highlight w:val="none"/>
          <w:shd w:val="clear" w:color="auto" w:fill="FFFFFF"/>
          <w14:textFill>
            <w14:solidFill>
              <w14:schemeClr w14:val="tx1"/>
            </w14:solidFill>
          </w14:textFill>
        </w:rPr>
        <w:t>，厂址为</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（生产厂址）</w:t>
      </w:r>
      <w:r>
        <w:rPr>
          <w:rFonts w:hint="eastAsia" w:ascii="宋体" w:hAnsi="宋体" w:cs="宋体"/>
          <w:color w:val="000000" w:themeColor="text1"/>
          <w:kern w:val="0"/>
          <w:sz w:val="24"/>
          <w:highlight w:val="none"/>
          <w:shd w:val="clear" w:color="auto" w:fill="FFFFFF"/>
          <w14:textFill>
            <w14:solidFill>
              <w14:schemeClr w14:val="tx1"/>
            </w14:solidFill>
          </w14:textFill>
        </w:rPr>
        <w:t>。</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（产品名称1）</w:t>
      </w:r>
      <w:r>
        <w:rPr>
          <w:rFonts w:hint="eastAsia" w:ascii="宋体" w:hAnsi="宋体" w:cs="宋体"/>
          <w:color w:val="000000" w:themeColor="text1"/>
          <w:kern w:val="0"/>
          <w:sz w:val="24"/>
          <w:highlight w:val="none"/>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（规定比例）</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3</w:t>
      </w:r>
      <w:r>
        <w:rPr>
          <w:rFonts w:hint="eastAsia" w:ascii="宋体" w:hAnsi="宋体" w:cs="宋体"/>
          <w:color w:val="000000" w:themeColor="text1"/>
          <w:kern w:val="0"/>
          <w:sz w:val="24"/>
          <w:highlight w:val="none"/>
          <w:shd w:val="clear" w:color="auto" w:fill="FFFFFF"/>
          <w14:textFill>
            <w14:solidFill>
              <w14:schemeClr w14:val="tx1"/>
            </w14:solidFill>
          </w14:textFill>
        </w:rPr>
        <w:t>。</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（产品名称1）</w:t>
      </w:r>
      <w:r>
        <w:rPr>
          <w:rFonts w:hint="eastAsia" w:ascii="宋体" w:hAnsi="宋体" w:cs="宋体"/>
          <w:color w:val="000000" w:themeColor="text1"/>
          <w:kern w:val="0"/>
          <w:sz w:val="24"/>
          <w:highlight w:val="none"/>
          <w:shd w:val="clear" w:color="auto" w:fill="FFFFFF"/>
          <w14:textFill>
            <w14:solidFill>
              <w14:schemeClr w14:val="tx1"/>
            </w14:solidFill>
          </w14:textFill>
        </w:rPr>
        <w:t>的</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（关键组件）</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4</w:t>
      </w:r>
      <w:r>
        <w:rPr>
          <w:rFonts w:hint="eastAsia" w:ascii="宋体" w:hAnsi="宋体" w:cs="宋体"/>
          <w:color w:val="000000" w:themeColor="text1"/>
          <w:kern w:val="0"/>
          <w:sz w:val="24"/>
          <w:highlight w:val="none"/>
          <w:shd w:val="clear" w:color="auto" w:fill="FFFFFF"/>
          <w14:textFill>
            <w14:solidFill>
              <w14:schemeClr w14:val="tx1"/>
            </w14:solidFill>
          </w14:textFill>
        </w:rPr>
        <w:t>在中国境内生产。</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（产品名称1）</w:t>
      </w:r>
      <w:r>
        <w:rPr>
          <w:rFonts w:hint="eastAsia" w:ascii="宋体" w:hAnsi="宋体" w:cs="宋体"/>
          <w:color w:val="000000" w:themeColor="text1"/>
          <w:kern w:val="0"/>
          <w:sz w:val="24"/>
          <w:highlight w:val="none"/>
          <w:shd w:val="clear" w:color="auto" w:fill="FFFFFF"/>
          <w14:textFill>
            <w14:solidFill>
              <w14:schemeClr w14:val="tx1"/>
            </w14:solidFill>
          </w14:textFill>
        </w:rPr>
        <w:t>的</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（关键工序）</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5</w:t>
      </w:r>
      <w:r>
        <w:rPr>
          <w:rFonts w:hint="eastAsia" w:ascii="宋体" w:hAnsi="宋体" w:cs="宋体"/>
          <w:color w:val="000000" w:themeColor="text1"/>
          <w:kern w:val="0"/>
          <w:sz w:val="24"/>
          <w:highlight w:val="none"/>
          <w:shd w:val="clear" w:color="auto" w:fill="FFFFFF"/>
          <w14:textFill>
            <w14:solidFill>
              <w14:schemeClr w14:val="tx1"/>
            </w14:solidFill>
          </w14:textFill>
        </w:rPr>
        <w:t>在中国境内完成。</w:t>
      </w:r>
    </w:p>
    <w:p>
      <w:pPr>
        <w:widowControl/>
        <w:shd w:val="clear" w:color="auto"/>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2.</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（产品名称2）</w:t>
      </w:r>
      <w:r>
        <w:rPr>
          <w:rFonts w:hint="eastAsia" w:ascii="宋体" w:hAnsi="宋体" w:cs="宋体"/>
          <w:color w:val="000000" w:themeColor="text1"/>
          <w:kern w:val="0"/>
          <w:sz w:val="24"/>
          <w:highlight w:val="none"/>
          <w:shd w:val="clear" w:color="auto" w:fill="FFFFFF"/>
          <w14:textFill>
            <w14:solidFill>
              <w14:schemeClr w14:val="tx1"/>
            </w14:solidFill>
          </w14:textFill>
        </w:rPr>
        <w:t>，生产厂为</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（厂名）</w:t>
      </w:r>
      <w:r>
        <w:rPr>
          <w:rFonts w:hint="eastAsia" w:ascii="宋体" w:hAnsi="宋体" w:cs="宋体"/>
          <w:color w:val="000000" w:themeColor="text1"/>
          <w:kern w:val="0"/>
          <w:sz w:val="24"/>
          <w:highlight w:val="none"/>
          <w:shd w:val="clear" w:color="auto" w:fill="FFFFFF"/>
          <w14:textFill>
            <w14:solidFill>
              <w14:schemeClr w14:val="tx1"/>
            </w14:solidFill>
          </w14:textFill>
        </w:rPr>
        <w:t>，厂址为</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（生产厂址）</w:t>
      </w:r>
      <w:r>
        <w:rPr>
          <w:rFonts w:hint="eastAsia" w:ascii="宋体" w:hAnsi="宋体" w:cs="宋体"/>
          <w:color w:val="000000" w:themeColor="text1"/>
          <w:kern w:val="0"/>
          <w:sz w:val="24"/>
          <w:highlight w:val="none"/>
          <w:shd w:val="clear" w:color="auto" w:fill="FFFFFF"/>
          <w14:textFill>
            <w14:solidFill>
              <w14:schemeClr w14:val="tx1"/>
            </w14:solidFill>
          </w14:textFill>
        </w:rPr>
        <w:t>。</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（产品名称2）</w:t>
      </w:r>
      <w:r>
        <w:rPr>
          <w:rFonts w:hint="eastAsia" w:ascii="宋体" w:hAnsi="宋体" w:cs="宋体"/>
          <w:color w:val="000000" w:themeColor="text1"/>
          <w:kern w:val="0"/>
          <w:sz w:val="24"/>
          <w:highlight w:val="none"/>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（规定比例）</w:t>
      </w:r>
      <w:r>
        <w:rPr>
          <w:rFonts w:hint="eastAsia" w:ascii="宋体" w:hAnsi="宋体" w:cs="宋体"/>
          <w:color w:val="000000" w:themeColor="text1"/>
          <w:kern w:val="0"/>
          <w:sz w:val="24"/>
          <w:highlight w:val="none"/>
          <w:shd w:val="clear" w:color="auto" w:fill="FFFFFF"/>
          <w14:textFill>
            <w14:solidFill>
              <w14:schemeClr w14:val="tx1"/>
            </w14:solidFill>
          </w14:textFill>
        </w:rPr>
        <w:t>。</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（产品名称2）</w:t>
      </w:r>
      <w:r>
        <w:rPr>
          <w:rFonts w:hint="eastAsia" w:ascii="宋体" w:hAnsi="宋体" w:cs="宋体"/>
          <w:color w:val="000000" w:themeColor="text1"/>
          <w:kern w:val="0"/>
          <w:sz w:val="24"/>
          <w:highlight w:val="none"/>
          <w:shd w:val="clear" w:color="auto" w:fill="FFFFFF"/>
          <w14:textFill>
            <w14:solidFill>
              <w14:schemeClr w14:val="tx1"/>
            </w14:solidFill>
          </w14:textFill>
        </w:rPr>
        <w:t>的</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（关键组件）</w:t>
      </w:r>
      <w:r>
        <w:rPr>
          <w:rFonts w:hint="eastAsia" w:ascii="宋体" w:hAnsi="宋体" w:cs="宋体"/>
          <w:color w:val="000000" w:themeColor="text1"/>
          <w:kern w:val="0"/>
          <w:sz w:val="24"/>
          <w:highlight w:val="none"/>
          <w:shd w:val="clear" w:color="auto" w:fill="FFFFFF"/>
          <w14:textFill>
            <w14:solidFill>
              <w14:schemeClr w14:val="tx1"/>
            </w14:solidFill>
          </w14:textFill>
        </w:rPr>
        <w:t>在中国境内生产。</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（产品名称2）</w:t>
      </w:r>
      <w:r>
        <w:rPr>
          <w:rFonts w:hint="eastAsia" w:ascii="宋体" w:hAnsi="宋体" w:cs="宋体"/>
          <w:color w:val="000000" w:themeColor="text1"/>
          <w:kern w:val="0"/>
          <w:sz w:val="24"/>
          <w:highlight w:val="none"/>
          <w:shd w:val="clear" w:color="auto" w:fill="FFFFFF"/>
          <w14:textFill>
            <w14:solidFill>
              <w14:schemeClr w14:val="tx1"/>
            </w14:solidFill>
          </w14:textFill>
        </w:rPr>
        <w:t>的</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（关键工序）</w:t>
      </w:r>
      <w:r>
        <w:rPr>
          <w:rFonts w:hint="eastAsia" w:ascii="宋体" w:hAnsi="宋体" w:cs="宋体"/>
          <w:color w:val="000000" w:themeColor="text1"/>
          <w:kern w:val="0"/>
          <w:sz w:val="24"/>
          <w:highlight w:val="none"/>
          <w:shd w:val="clear" w:color="auto" w:fill="FFFFFF"/>
          <w14:textFill>
            <w14:solidFill>
              <w14:schemeClr w14:val="tx1"/>
            </w14:solidFill>
          </w14:textFill>
        </w:rPr>
        <w:t>在中国境内完成。</w:t>
      </w:r>
    </w:p>
    <w:p>
      <w:pPr>
        <w:widowControl/>
        <w:shd w:val="clear" w:color="auto"/>
        <w:spacing w:line="360" w:lineRule="auto"/>
        <w:ind w:firstLine="480" w:firstLineChars="200"/>
        <w:jc w:val="left"/>
        <w:rPr>
          <w:rFonts w:hint="eastAsia"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w:t>
      </w:r>
    </w:p>
    <w:p>
      <w:pPr>
        <w:widowControl/>
        <w:shd w:val="clear" w:color="auto"/>
        <w:spacing w:line="360" w:lineRule="auto"/>
        <w:ind w:firstLine="482" w:firstLineChars="200"/>
        <w:jc w:val="left"/>
        <w:rPr>
          <w:rFonts w:hint="eastAsia"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b/>
          <w:bCs/>
          <w:color w:val="000000" w:themeColor="text1"/>
          <w:kern w:val="0"/>
          <w:sz w:val="24"/>
          <w:highlight w:val="none"/>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highlight w:val="none"/>
          <w:u w:val="single"/>
          <w:shd w:val="clear" w:color="auto" w:fill="FFFFFF"/>
          <w14:textFill>
            <w14:solidFill>
              <w14:schemeClr w14:val="tx1"/>
            </w14:solidFill>
          </w14:textFill>
        </w:rPr>
        <w:t xml:space="preserve"> </w:t>
      </w:r>
      <w:r>
        <w:rPr>
          <w:rFonts w:hint="eastAsia" w:ascii="宋体" w:hAnsi="宋体" w:cs="宋体"/>
          <w:b/>
          <w:bCs/>
          <w:color w:val="000000" w:themeColor="text1"/>
          <w:sz w:val="24"/>
          <w:highlight w:val="none"/>
          <w:u w:val="single"/>
          <w14:textFill>
            <w14:solidFill>
              <w14:schemeClr w14:val="tx1"/>
            </w14:solidFill>
          </w14:textFill>
        </w:rPr>
        <w:t xml:space="preserve">（具体比例） </w:t>
      </w:r>
      <w:r>
        <w:rPr>
          <w:rFonts w:hint="eastAsia" w:ascii="宋体" w:hAnsi="宋体" w:cs="宋体"/>
          <w:b/>
          <w:bCs/>
          <w:color w:val="000000" w:themeColor="text1"/>
          <w:kern w:val="0"/>
          <w:sz w:val="24"/>
          <w:highlight w:val="none"/>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highlight w:val="none"/>
          <w:shd w:val="clear" w:color="auto" w:fill="FFFFFF"/>
          <w14:textFill>
            <w14:solidFill>
              <w14:schemeClr w14:val="tx1"/>
            </w14:solidFill>
          </w14:textFill>
        </w:rPr>
        <w:t>。</w:t>
      </w:r>
    </w:p>
    <w:p>
      <w:pPr>
        <w:widowControl/>
        <w:shd w:val="clear" w:color="auto"/>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本公司（单位）对上述声明内容的真实性负责。如有虚假，愿承担相应法律责任。</w:t>
      </w:r>
    </w:p>
    <w:p>
      <w:pPr>
        <w:widowControl/>
        <w:shd w:val="clear" w:color="auto"/>
        <w:spacing w:line="360" w:lineRule="auto"/>
        <w:ind w:right="840" w:rightChars="400"/>
        <w:jc w:val="right"/>
        <w:rPr>
          <w:rFonts w:hint="eastAsia" w:ascii="宋体" w:hAnsi="宋体" w:cs="宋体"/>
          <w:color w:val="000000" w:themeColor="text1"/>
          <w:kern w:val="0"/>
          <w:sz w:val="24"/>
          <w:highlight w:val="none"/>
          <w:shd w:val="clear" w:color="auto" w:fill="FFFFFF"/>
          <w14:textFill>
            <w14:solidFill>
              <w14:schemeClr w14:val="tx1"/>
            </w14:solidFill>
          </w14:textFill>
        </w:rPr>
      </w:pPr>
    </w:p>
    <w:p>
      <w:pPr>
        <w:widowControl/>
        <w:shd w:val="clear" w:color="auto"/>
        <w:spacing w:line="360" w:lineRule="auto"/>
        <w:ind w:right="840" w:rightChars="400"/>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公司（单位）名称：</w:t>
      </w:r>
    </w:p>
    <w:p>
      <w:pPr>
        <w:widowControl/>
        <w:shd w:val="clear" w:color="auto"/>
        <w:spacing w:line="360" w:lineRule="auto"/>
        <w:ind w:right="840" w:rightChars="400"/>
        <w:jc w:val="righ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日期：    年  月  日</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__________________</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1.产品如有型号，请在“产品名称”栏一并填写。</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2.生产厂名与厂址应与生产厂营业执照载明的相关信息保持一致。</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3.该产品的中国境内生产的组件成本占比相关要求实施前，“规定比例”栏可不填，下同。</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4.该产品的关键组件要求实施前，“关键组件”栏可不填，下同。</w:t>
      </w:r>
    </w:p>
    <w:p>
      <w:pPr>
        <w:shd w:val="clea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5.该产品的关键工序要求实施前，“关键工序”栏可不填，下同。</w:t>
      </w:r>
    </w:p>
    <w:p>
      <w:pPr>
        <w:shd w:val="clear"/>
        <w:rPr>
          <w:rFonts w:hint="eastAsia" w:ascii="宋体" w:hAnsi="宋体" w:cs="宋体"/>
          <w:bCs/>
          <w:color w:val="000000" w:themeColor="text1"/>
          <w:kern w:val="0"/>
          <w:sz w:val="24"/>
          <w:highlight w:val="none"/>
          <w14:textFill>
            <w14:solidFill>
              <w14:schemeClr w14:val="tx1"/>
            </w14:solidFill>
          </w14:textFill>
        </w:rPr>
      </w:pPr>
    </w:p>
    <w:p>
      <w:pPr>
        <w:shd w:val="clear"/>
        <w:rPr>
          <w:rFonts w:hint="eastAsia" w:ascii="宋体" w:hAnsi="宋体" w:cs="宋体"/>
          <w:bCs/>
          <w:color w:val="000000" w:themeColor="text1"/>
          <w:kern w:val="0"/>
          <w:sz w:val="24"/>
          <w:highlight w:val="none"/>
          <w14:textFill>
            <w14:solidFill>
              <w14:schemeClr w14:val="tx1"/>
            </w14:solidFill>
          </w14:textFill>
        </w:rPr>
      </w:pPr>
    </w:p>
    <w:p>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2.符合要求的财政部会同有关部门规定的有关证明文件（如有）</w:t>
      </w:r>
    </w:p>
    <w:p>
      <w: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1" w:name="OLE_LINK9"/>
      <w:r>
        <w:rPr>
          <w:rFonts w:hint="eastAsia" w:ascii="宋体" w:hAnsi="宋体" w:cs="宋体"/>
          <w:b/>
          <w:color w:val="000000" w:themeColor="text1"/>
          <w:sz w:val="28"/>
          <w:szCs w:val="28"/>
          <w14:textFill>
            <w14:solidFill>
              <w14:schemeClr w14:val="tx1"/>
            </w14:solidFill>
          </w14:textFill>
        </w:rPr>
        <w:t>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2"/>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2" w:name="OLE_LINK10"/>
      <w:r>
        <w:rPr>
          <w:rFonts w:hint="eastAsia" w:ascii="宋体" w:hAnsi="宋体" w:cs="宋体"/>
          <w:b/>
          <w:color w:val="000000" w:themeColor="text1"/>
          <w:sz w:val="28"/>
          <w:szCs w:val="28"/>
          <w14:textFill>
            <w14:solidFill>
              <w14:schemeClr w14:val="tx1"/>
            </w14:solidFill>
          </w14:textFill>
        </w:rPr>
        <w:t>股权关系证明</w:t>
      </w:r>
      <w:bookmarkEnd w:id="42"/>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3"/>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8"/>
        <w:spacing w:line="360" w:lineRule="auto"/>
        <w:rPr>
          <w:color w:val="000000" w:themeColor="text1"/>
          <w:lang w:val="fr-CH"/>
          <w14:textFill>
            <w14:solidFill>
              <w14:schemeClr w14:val="tx1"/>
            </w14:solidFill>
          </w14:textFill>
        </w:rPr>
      </w:pPr>
    </w:p>
    <w:p>
      <w:pPr>
        <w:tabs>
          <w:tab w:val="left" w:pos="640"/>
          <w:tab w:val="left" w:pos="1260"/>
          <w:tab w:val="left" w:pos="1418"/>
        </w:tabs>
        <w:spacing w:line="360" w:lineRule="auto"/>
        <w:ind w:right="-420" w:rightChars="-200"/>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sq-AL"/>
          <w14:textFill>
            <w14:solidFill>
              <w14:schemeClr w14:val="tx1"/>
            </w14:solidFill>
          </w14:textFill>
        </w:rPr>
        <w:t>）对项目需求的解析；</w:t>
      </w:r>
    </w:p>
    <w:p>
      <w:pPr>
        <w:tabs>
          <w:tab w:val="left" w:pos="640"/>
          <w:tab w:val="left" w:pos="1260"/>
          <w:tab w:val="left" w:pos="1418"/>
        </w:tabs>
        <w:spacing w:line="360" w:lineRule="auto"/>
        <w:ind w:right="-420" w:rightChars="-200"/>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sq-AL"/>
          <w14:textFill>
            <w14:solidFill>
              <w14:schemeClr w14:val="tx1"/>
            </w14:solidFill>
          </w14:textFill>
        </w:rPr>
        <w:t>）实施方案；</w:t>
      </w:r>
    </w:p>
    <w:p>
      <w:pPr>
        <w:tabs>
          <w:tab w:val="left" w:pos="640"/>
          <w:tab w:val="left" w:pos="1260"/>
          <w:tab w:val="left" w:pos="1418"/>
        </w:tabs>
        <w:spacing w:line="360" w:lineRule="auto"/>
        <w:ind w:right="-420" w:rightChars="-200"/>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sq-AL"/>
          <w14:textFill>
            <w14:solidFill>
              <w14:schemeClr w14:val="tx1"/>
            </w14:solidFill>
          </w14:textFill>
        </w:rPr>
        <w:t>）项目重点、难点及解决方案；</w:t>
      </w:r>
    </w:p>
    <w:p>
      <w:pPr>
        <w:tabs>
          <w:tab w:val="left" w:pos="640"/>
          <w:tab w:val="left" w:pos="1260"/>
          <w:tab w:val="left" w:pos="1418"/>
        </w:tabs>
        <w:spacing w:line="360" w:lineRule="auto"/>
        <w:ind w:right="-420" w:rightChars="-200"/>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w:t>
      </w:r>
      <w:r>
        <w:rPr>
          <w:rFonts w:hint="eastAsia" w:ascii="宋体" w:hAnsi="宋体" w:eastAsia="宋体" w:cs="宋体"/>
          <w:color w:val="000000" w:themeColor="text1"/>
          <w:sz w:val="24"/>
          <w:lang w:val="sq-AL"/>
          <w14:textFill>
            <w14:solidFill>
              <w14:schemeClr w14:val="tx1"/>
            </w14:solidFill>
          </w14:textFill>
        </w:rPr>
        <w:t>5）项目质量保障措施和后续服务计划；</w:t>
      </w:r>
    </w:p>
    <w:p>
      <w:pPr>
        <w:tabs>
          <w:tab w:val="left" w:pos="640"/>
          <w:tab w:val="left" w:pos="1260"/>
          <w:tab w:val="left" w:pos="1418"/>
        </w:tabs>
        <w:spacing w:line="360" w:lineRule="auto"/>
        <w:ind w:right="-420" w:rightChars="-200"/>
        <w:rPr>
          <w:rFonts w:hint="eastAsia" w:ascii="宋体" w:hAnsi="宋体" w:eastAsia="宋体" w:cs="宋体"/>
          <w:color w:val="000000" w:themeColor="text1"/>
          <w:sz w:val="24"/>
          <w:lang w:val="sq-AL"/>
          <w14:textFill>
            <w14:solidFill>
              <w14:schemeClr w14:val="tx1"/>
            </w14:solidFill>
          </w14:textFill>
        </w:rPr>
      </w:pPr>
      <w:r>
        <w:rPr>
          <w:rFonts w:hint="eastAsia" w:ascii="宋体" w:hAnsi="宋体" w:eastAsia="宋体" w:cs="宋体"/>
          <w:color w:val="000000" w:themeColor="text1"/>
          <w:sz w:val="24"/>
          <w:lang w:val="fr-CH"/>
          <w14:textFill>
            <w14:solidFill>
              <w14:schemeClr w14:val="tx1"/>
            </w14:solidFill>
          </w14:textFill>
        </w:rPr>
        <w:t>（</w:t>
      </w:r>
      <w:r>
        <w:rPr>
          <w:rFonts w:hint="eastAsia" w:ascii="宋体" w:hAnsi="宋体" w:eastAsia="宋体" w:cs="宋体"/>
          <w:color w:val="000000" w:themeColor="text1"/>
          <w:sz w:val="24"/>
          <w:lang w:val="sq-AL"/>
          <w14:textFill>
            <w14:solidFill>
              <w14:schemeClr w14:val="tx1"/>
            </w14:solidFill>
          </w14:textFill>
        </w:rPr>
        <w:t>6</w:t>
      </w:r>
      <w:r>
        <w:rPr>
          <w:rFonts w:hint="eastAsia" w:ascii="宋体" w:hAnsi="宋体" w:eastAsia="宋体" w:cs="宋体"/>
          <w:color w:val="000000" w:themeColor="text1"/>
          <w:sz w:val="24"/>
          <w:lang w:val="fr-CH"/>
          <w14:textFill>
            <w14:solidFill>
              <w14:schemeClr w14:val="tx1"/>
            </w14:solidFill>
          </w14:textFill>
        </w:rPr>
        <w:t>）投标人认为有必要提供的其他材料。</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bookmarkEnd w:id="35"/>
    <w:p>
      <w:pPr>
        <w:tabs>
          <w:tab w:val="left" w:pos="640"/>
          <w:tab w:val="left" w:pos="1260"/>
          <w:tab w:val="left" w:pos="1418"/>
        </w:tabs>
        <w:spacing w:line="360" w:lineRule="auto"/>
        <w:ind w:right="-420" w:right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3" w:name="_Toc742"/>
      <w:bookmarkStart w:id="44" w:name="_Toc6251"/>
      <w:r>
        <w:rPr>
          <w:rFonts w:hint="eastAsia" w:ascii="宋体" w:hAnsi="宋体" w:cs="宋体"/>
          <w:b/>
          <w:bCs/>
          <w:color w:val="000000" w:themeColor="text1"/>
          <w:sz w:val="24"/>
          <w14:textFill>
            <w14:solidFill>
              <w14:schemeClr w14:val="tx1"/>
            </w14:solidFill>
          </w14:textFill>
        </w:rPr>
        <w:t>附件：相关政策</w:t>
      </w:r>
      <w:bookmarkEnd w:id="43"/>
      <w:bookmarkEnd w:id="44"/>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8"/>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8"/>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8"/>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8"/>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8"/>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8"/>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8"/>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rPr>
          <w:rFonts w:hint="eastAsia" w:ascii="宋体" w:hAnsi="宋体" w:cs="宋体"/>
          <w:color w:val="000000" w:themeColor="text1"/>
          <w:spacing w:val="-2"/>
          <w14:textFill>
            <w14:solidFill>
              <w14:schemeClr w14:val="tx1"/>
            </w14:solidFill>
          </w14:textFill>
        </w:rPr>
      </w:pPr>
    </w:p>
    <w:p>
      <w:pPr>
        <w:pStyle w:val="8"/>
      </w:pPr>
    </w:p>
    <w:p>
      <w:pPr>
        <w:pStyle w:val="8"/>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8"/>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8"/>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8"/>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8"/>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8"/>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8"/>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8"/>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8"/>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8"/>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8"/>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8"/>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7"/>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8"/>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w:t>
      </w:r>
    </w:p>
    <w:p>
      <w:pPr>
        <w:pStyle w:val="8"/>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日期：</w:t>
      </w:r>
    </w:p>
    <w:p>
      <w:pPr>
        <w:pStyle w:val="8"/>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9"/>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8"/>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8"/>
        <w:rPr>
          <w:rFonts w:hint="eastAsia" w:ascii="宋体" w:hAnsi="宋体" w:cs="宋体"/>
          <w:color w:val="000000" w:themeColor="text1"/>
          <w14:textFill>
            <w14:solidFill>
              <w14:schemeClr w14:val="tx1"/>
            </w14:solidFill>
          </w14:textFill>
        </w:rPr>
      </w:pPr>
    </w:p>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pStyle w:val="8"/>
        <w:rPr>
          <w:rFonts w:hint="eastAsia" w:ascii="宋体" w:hAnsi="宋体" w:cs="宋体"/>
          <w:color w:val="000000" w:themeColor="text1"/>
          <w:kern w:val="0"/>
          <w14:textFill>
            <w14:solidFill>
              <w14:schemeClr w14:val="tx1"/>
            </w14:solidFill>
          </w14:textFill>
        </w:rPr>
      </w:pPr>
    </w:p>
    <w:p>
      <w:pPr>
        <w:rPr>
          <w:rFonts w:hint="eastAsia" w:ascii="宋体" w:hAnsi="宋体" w:cs="宋体"/>
          <w:color w:val="000000" w:themeColor="text1"/>
          <w:kern w:val="0"/>
          <w:sz w:val="24"/>
          <w14:textFill>
            <w14:solidFill>
              <w14:schemeClr w14:val="tx1"/>
            </w14:solidFill>
          </w14:textFill>
        </w:rPr>
      </w:pPr>
    </w:p>
    <w:p>
      <w:pPr>
        <w:pStyle w:val="8"/>
        <w:rPr>
          <w:rFonts w:hint="eastAsia" w:ascii="宋体" w:hAnsi="宋体" w:cs="宋体"/>
          <w:color w:val="000000" w:themeColor="text1"/>
          <w:kern w:val="0"/>
          <w14:textFill>
            <w14:solidFill>
              <w14:schemeClr w14:val="tx1"/>
            </w14:solidFill>
          </w14:textFill>
        </w:rPr>
      </w:pPr>
    </w:p>
    <w:p>
      <w:pPr>
        <w:rPr>
          <w:rFonts w:hint="eastAsia" w:ascii="宋体" w:hAnsi="宋体" w:cs="宋体"/>
          <w:color w:val="000000" w:themeColor="text1"/>
          <w:kern w:val="0"/>
          <w:sz w:val="24"/>
          <w14:textFill>
            <w14:solidFill>
              <w14:schemeClr w14:val="tx1"/>
            </w14:solidFill>
          </w14:textFill>
        </w:rPr>
      </w:pPr>
    </w:p>
    <w:p>
      <w:pPr>
        <w:pStyle w:val="8"/>
        <w:rPr>
          <w:rFonts w:hint="eastAsia" w:ascii="宋体" w:hAnsi="宋体" w:cs="宋体"/>
          <w:color w:val="000000" w:themeColor="text1"/>
          <w:kern w:val="0"/>
          <w14:textFill>
            <w14:solidFill>
              <w14:schemeClr w14:val="tx1"/>
            </w14:solidFill>
          </w14:textFill>
        </w:rPr>
      </w:pPr>
    </w:p>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9"/>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8"/>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5" w:name="sendNo"/>
      <w:r>
        <w:rPr>
          <w:rFonts w:hint="eastAsia"/>
          <w:color w:val="000000" w:themeColor="text1"/>
          <w14:textFill>
            <w14:solidFill>
              <w14:schemeClr w14:val="tx1"/>
            </w14:solidFill>
          </w14:textFill>
        </w:rPr>
        <w:t>财库〔</w:t>
      </w:r>
      <w:bookmarkEnd w:id="45"/>
      <w:r>
        <w:rPr>
          <w:rFonts w:hint="eastAsia"/>
          <w:color w:val="000000" w:themeColor="text1"/>
          <w14:textFill>
            <w14:solidFill>
              <w14:schemeClr w14:val="tx1"/>
            </w14:solidFill>
          </w14:textFill>
        </w:rPr>
        <w:t>2017〕141号</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6"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6"/>
      <w:r>
        <w:rPr>
          <w:rFonts w:hint="eastAsia"/>
          <w:color w:val="000000" w:themeColor="text1"/>
          <w14:textFill>
            <w14:solidFill>
              <w14:schemeClr w14:val="tx1"/>
            </w14:solidFill>
          </w14:textFill>
        </w:rPr>
        <w:t>：</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8"/>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8"/>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8"/>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8"/>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9"/>
          <w:rFonts w:hint="eastAsia"/>
          <w:b/>
          <w:bCs/>
          <w:color w:val="000000" w:themeColor="text1"/>
          <w14:textFill>
            <w14:solidFill>
              <w14:schemeClr w14:val="tx1"/>
            </w14:solidFill>
          </w14:textFill>
        </w:rPr>
        <w:t>残疾人福利性单位声明函</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本单位对上述声明的真实性负责。如有虚假，将依法承担相应责任。</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8"/>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单位名称（盖章）：</w:t>
      </w:r>
    </w:p>
    <w:p>
      <w:pPr>
        <w:pStyle w:val="38"/>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9"/>
          <w:rFonts w:hint="eastAsia"/>
          <w:color w:val="000000" w:themeColor="text1"/>
          <w14:textFill>
            <w14:solidFill>
              <w14:schemeClr w14:val="tx1"/>
            </w14:solidFill>
          </w14:textFill>
        </w:rPr>
        <w:t>日 期：</w:t>
      </w:r>
    </w:p>
    <w:p>
      <w:pPr>
        <w:rPr>
          <w:rStyle w:val="39"/>
          <w:rFonts w:hint="eastAsia" w:ascii="宋体" w:hAnsi="宋体" w:cs="宋体"/>
          <w:bCs/>
          <w:color w:val="000000" w:themeColor="text1"/>
          <w:sz w:val="24"/>
          <w:highlight w:val="none"/>
          <w14:textFill>
            <w14:solidFill>
              <w14:schemeClr w14:val="tx1"/>
            </w14:solidFill>
          </w14:textFill>
        </w:rPr>
      </w:pPr>
      <w:r>
        <w:rPr>
          <w:rStyle w:val="39"/>
          <w:rFonts w:hint="eastAsia" w:ascii="宋体" w:hAnsi="宋体" w:cs="宋体"/>
          <w:bCs/>
          <w:color w:val="000000" w:themeColor="text1"/>
          <w:sz w:val="24"/>
          <w:highlight w:val="none"/>
          <w14:textFill>
            <w14:solidFill>
              <w14:schemeClr w14:val="tx1"/>
            </w14:solidFill>
          </w14:textFill>
        </w:rPr>
        <w:br w:type="page"/>
      </w:r>
    </w:p>
    <w:p>
      <w:pPr>
        <w:widowControl/>
        <w:shd w:val="clear"/>
        <w:tabs>
          <w:tab w:val="left" w:pos="640"/>
          <w:tab w:val="left" w:pos="840"/>
        </w:tabs>
        <w:spacing w:line="360" w:lineRule="auto"/>
        <w:ind w:right="26"/>
        <w:textAlignment w:val="bottom"/>
        <w:rPr>
          <w:rStyle w:val="39"/>
          <w:rFonts w:hint="eastAsia" w:ascii="宋体" w:hAnsi="宋体" w:cs="宋体"/>
          <w:bCs/>
          <w:color w:val="000000" w:themeColor="text1"/>
          <w:sz w:val="24"/>
          <w:highlight w:val="none"/>
          <w14:textFill>
            <w14:solidFill>
              <w14:schemeClr w14:val="tx1"/>
            </w14:solidFill>
          </w14:textFill>
        </w:rPr>
      </w:pPr>
      <w:r>
        <w:rPr>
          <w:rStyle w:val="39"/>
          <w:rFonts w:hint="eastAsia" w:ascii="宋体" w:hAnsi="宋体" w:cs="宋体"/>
          <w:bCs/>
          <w:color w:val="000000" w:themeColor="text1"/>
          <w:sz w:val="24"/>
          <w:highlight w:val="none"/>
          <w14:textFill>
            <w14:solidFill>
              <w14:schemeClr w14:val="tx1"/>
            </w14:solidFill>
          </w14:textFill>
        </w:rPr>
        <w:t>5，实施本国产品标准及相关政策的特殊规定</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国务院办公厅印发《关于在政府采购中实施本国产品标准及相关政策的通知》</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"http://www.mof.gov.cn/zhengwuxinxi/caizhengxinwen/202509/t20250930_3973725.htm" </w:instrText>
      </w:r>
      <w:r>
        <w:rPr>
          <w:color w:val="000000" w:themeColor="text1"/>
          <w:highlight w:val="none"/>
          <w14:textFill>
            <w14:solidFill>
              <w14:schemeClr w14:val="tx1"/>
            </w14:solidFill>
          </w14:textFill>
        </w:rPr>
        <w:fldChar w:fldCharType="separate"/>
      </w:r>
      <w:r>
        <w:rPr>
          <w:rStyle w:val="39"/>
          <w:rFonts w:hint="eastAsia"/>
          <w:bCs/>
          <w:color w:val="000000" w:themeColor="text1"/>
          <w:highlight w:val="none"/>
          <w14:textFill>
            <w14:solidFill>
              <w14:schemeClr w14:val="tx1"/>
            </w14:solidFill>
          </w14:textFill>
        </w:rPr>
        <w:t>http://www.mof.gov.cn/zhengwuxinxi/caizhengxinwen/202509/t20250930_3973725.htm</w:t>
      </w:r>
      <w:r>
        <w:rPr>
          <w:rStyle w:val="39"/>
          <w:rFonts w:hint="eastAsia"/>
          <w:bCs/>
          <w:color w:val="000000" w:themeColor="text1"/>
          <w:highlight w:val="none"/>
          <w14:textFill>
            <w14:solidFill>
              <w14:schemeClr w14:val="tx1"/>
            </w14:solidFill>
          </w14:textFill>
        </w:rPr>
        <w:fldChar w:fldCharType="end"/>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深圳市财政局关于贯彻落实政府采购本国产品标准及相关政策的通知</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https://www.sz.gov.cn/cn/xxgk/zfxxgj/tzgg/content/post_12577672.html</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财政部有关负责人就《关于在政府采购中实施本国产品标准及相关政策的通知》答记者问</w:t>
      </w:r>
    </w:p>
    <w:p>
      <w:pPr>
        <w:pStyle w:val="38"/>
        <w:shd w:val="clear" w:color="auto"/>
        <w:spacing w:before="0" w:beforeAutospacing="0" w:after="0" w:afterAutospacing="0" w:line="360" w:lineRule="auto"/>
        <w:ind w:firstLine="624"/>
        <w:jc w:val="both"/>
        <w:rPr>
          <w:rStyle w:val="39"/>
          <w:rFonts w:hint="eastAsia"/>
          <w:bCs/>
          <w:color w:val="000000" w:themeColor="text1"/>
          <w:highlight w:val="none"/>
          <w14:textFill>
            <w14:solidFill>
              <w14:schemeClr w14:val="tx1"/>
            </w14:solidFill>
          </w14:textFill>
        </w:rPr>
      </w:pPr>
      <w:r>
        <w:rPr>
          <w:rStyle w:val="39"/>
          <w:rFonts w:hint="eastAsia"/>
          <w:bCs/>
          <w:color w:val="000000" w:themeColor="text1"/>
          <w:highlight w:val="none"/>
          <w14:textFill>
            <w14:solidFill>
              <w14:schemeClr w14:val="tx1"/>
            </w14:solidFill>
          </w14:textFill>
        </w:rPr>
        <w:t>http://www.ccgp.gov.cn/zcfg/zcjd/202509/t20250930_25456987.htm</w:t>
      </w:r>
    </w:p>
    <w:p>
      <w:pPr>
        <w:pStyle w:val="21"/>
        <w:shd w:val="clear"/>
        <w:rPr>
          <w:rFonts w:hint="eastAsia"/>
          <w:color w:val="000000" w:themeColor="text1"/>
          <w:highlight w:val="none"/>
          <w:lang w:val="fr-CH"/>
          <w14:textFill>
            <w14:solidFill>
              <w14:schemeClr w14:val="tx1"/>
            </w14:solidFill>
          </w14:textFill>
        </w:rPr>
      </w:pPr>
    </w:p>
    <w:p>
      <w:pPr>
        <w:widowControl/>
        <w:shd w:val="clear"/>
        <w:tabs>
          <w:tab w:val="left" w:pos="640"/>
          <w:tab w:val="left" w:pos="840"/>
        </w:tabs>
        <w:spacing w:line="360" w:lineRule="auto"/>
        <w:ind w:right="26"/>
        <w:textAlignment w:val="bottom"/>
        <w:rPr>
          <w:rStyle w:val="39"/>
          <w:rFonts w:hint="eastAsia" w:ascii="宋体" w:hAnsi="宋体" w:cs="宋体"/>
          <w:bCs/>
          <w:color w:val="000000" w:themeColor="text1"/>
          <w:sz w:val="24"/>
          <w:highlight w:val="none"/>
          <w:lang w:val="en-US" w:eastAsia="zh-CN"/>
          <w14:textFill>
            <w14:solidFill>
              <w14:schemeClr w14:val="tx1"/>
            </w14:solidFill>
          </w14:textFill>
        </w:rPr>
      </w:pPr>
      <w:r>
        <w:rPr>
          <w:rStyle w:val="39"/>
          <w:rFonts w:hint="eastAsia" w:ascii="宋体" w:hAnsi="宋体" w:cs="宋体"/>
          <w:bCs/>
          <w:color w:val="000000" w:themeColor="text1"/>
          <w:sz w:val="24"/>
          <w:highlight w:val="none"/>
          <w:lang w:val="en-US" w:eastAsia="zh-CN"/>
          <w14:textFill>
            <w14:solidFill>
              <w14:schemeClr w14:val="tx1"/>
            </w14:solidFill>
          </w14:textFill>
        </w:rPr>
        <w:t>6，关于落实执行《深圳市财政局关于大力推进政府采购订单融资支持企业发展有关事宜的通知》的通知</w:t>
      </w:r>
    </w:p>
    <w:p>
      <w:pPr>
        <w:pStyle w:val="38"/>
        <w:shd w:val="clear" w:color="auto"/>
        <w:spacing w:before="0" w:beforeAutospacing="0" w:after="0" w:afterAutospacing="0" w:line="360" w:lineRule="auto"/>
        <w:ind w:firstLine="624"/>
        <w:jc w:val="both"/>
        <w:rPr>
          <w:rStyle w:val="39"/>
          <w:rFonts w:hint="eastAsia" w:ascii="Times New Roman" w:hAnsi="Times New Roman" w:cs="Times New Roman"/>
          <w:bCs/>
          <w:color w:val="000000" w:themeColor="text1"/>
          <w:highlight w:val="none"/>
          <w:lang w:val="en-US" w:eastAsia="zh-CN"/>
          <w14:textFill>
            <w14:solidFill>
              <w14:schemeClr w14:val="tx1"/>
            </w14:solidFill>
          </w14:textFill>
        </w:rPr>
      </w:pPr>
      <w:r>
        <w:rPr>
          <w:rStyle w:val="39"/>
          <w:rFonts w:hint="eastAsia" w:ascii="Times New Roman" w:hAnsi="Times New Roman" w:cs="Times New Roman"/>
          <w:bCs/>
          <w:color w:val="000000" w:themeColor="text1"/>
          <w:highlight w:val="none"/>
          <w:lang w:val="en-US" w:eastAsia="zh-CN"/>
          <w14:textFill>
            <w14:solidFill>
              <w14:schemeClr w14:val="tx1"/>
            </w14:solidFill>
          </w14:textFill>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w:t>
      </w:r>
      <w:bookmarkStart w:id="47" w:name="_GoBack"/>
      <w:bookmarkEnd w:id="47"/>
      <w:r>
        <w:rPr>
          <w:rStyle w:val="39"/>
          <w:rFonts w:hint="eastAsia" w:ascii="Times New Roman" w:hAnsi="Times New Roman" w:cs="Times New Roman"/>
          <w:bCs/>
          <w:color w:val="000000" w:themeColor="text1"/>
          <w:highlight w:val="none"/>
          <w:lang w:val="en-US" w:eastAsia="zh-CN"/>
          <w14:textFill>
            <w14:solidFill>
              <w14:schemeClr w14:val="tx1"/>
            </w14:solidFill>
          </w14:textFill>
        </w:rPr>
        <w:t>://finance.szexgrp.com/gtm/web/guarantee/#/）。</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46006D-6385-43A3-A798-67CD84B51449}"/>
  </w:font>
  <w:font w:name="黑体">
    <w:panose1 w:val="02010609060101010101"/>
    <w:charset w:val="86"/>
    <w:family w:val="auto"/>
    <w:pitch w:val="default"/>
    <w:sig w:usb0="800002BF" w:usb1="38CF7CFA" w:usb2="00000016" w:usb3="00000000" w:csb0="00040001" w:csb1="00000000"/>
    <w:embedRegular r:id="rId2" w:fontKey="{C3242B06-721F-44BA-8236-A730496587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24E9FED-A3EC-46B4-AC57-7B813D2F4FDA}"/>
  </w:font>
  <w:font w:name="仿宋_GB2312">
    <w:panose1 w:val="02010609030101010101"/>
    <w:charset w:val="86"/>
    <w:family w:val="auto"/>
    <w:pitch w:val="default"/>
    <w:sig w:usb0="00000001" w:usb1="080E0000" w:usb2="00000000" w:usb3="00000000" w:csb0="00040000" w:csb1="00000000"/>
    <w:embedRegular r:id="rId4" w:fontKey="{D7902711-C4CE-48A7-9D5D-83F3E8F71A01}"/>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embedRegular r:id="rId5" w:fontKey="{47C03565-86A7-4437-B5D7-45391125C7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1"/>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265EE"/>
    <w:rsid w:val="00054471"/>
    <w:rsid w:val="000F243A"/>
    <w:rsid w:val="001C60B0"/>
    <w:rsid w:val="001E102D"/>
    <w:rsid w:val="002B1701"/>
    <w:rsid w:val="002F06A2"/>
    <w:rsid w:val="0037030E"/>
    <w:rsid w:val="003756CC"/>
    <w:rsid w:val="003A4DB8"/>
    <w:rsid w:val="00441793"/>
    <w:rsid w:val="004E616D"/>
    <w:rsid w:val="00537C28"/>
    <w:rsid w:val="00585E9B"/>
    <w:rsid w:val="006E4653"/>
    <w:rsid w:val="00713723"/>
    <w:rsid w:val="00771B68"/>
    <w:rsid w:val="0089189B"/>
    <w:rsid w:val="008B73C2"/>
    <w:rsid w:val="00B82957"/>
    <w:rsid w:val="00C93875"/>
    <w:rsid w:val="00CA4758"/>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C1016"/>
    <w:rsid w:val="026F1063"/>
    <w:rsid w:val="02A80FA1"/>
    <w:rsid w:val="02B81FC4"/>
    <w:rsid w:val="02FE031F"/>
    <w:rsid w:val="032558AB"/>
    <w:rsid w:val="032F4898"/>
    <w:rsid w:val="036839EA"/>
    <w:rsid w:val="036D7252"/>
    <w:rsid w:val="037800D1"/>
    <w:rsid w:val="037C7496"/>
    <w:rsid w:val="038D16A3"/>
    <w:rsid w:val="038E26A7"/>
    <w:rsid w:val="0396194E"/>
    <w:rsid w:val="03993BA4"/>
    <w:rsid w:val="03B24C65"/>
    <w:rsid w:val="03B54992"/>
    <w:rsid w:val="03BB1D6C"/>
    <w:rsid w:val="03D167CD"/>
    <w:rsid w:val="03E5503B"/>
    <w:rsid w:val="03FF0592"/>
    <w:rsid w:val="03FF56E1"/>
    <w:rsid w:val="040B5B34"/>
    <w:rsid w:val="040C3CF2"/>
    <w:rsid w:val="04191764"/>
    <w:rsid w:val="044E26AD"/>
    <w:rsid w:val="045A0087"/>
    <w:rsid w:val="04640655"/>
    <w:rsid w:val="047D1CE0"/>
    <w:rsid w:val="048C5BE2"/>
    <w:rsid w:val="04972A57"/>
    <w:rsid w:val="049A4077"/>
    <w:rsid w:val="049D5915"/>
    <w:rsid w:val="04A919F3"/>
    <w:rsid w:val="04AC3B33"/>
    <w:rsid w:val="04D035F5"/>
    <w:rsid w:val="04D255BF"/>
    <w:rsid w:val="04E15802"/>
    <w:rsid w:val="050D4546"/>
    <w:rsid w:val="0532605E"/>
    <w:rsid w:val="054F4E62"/>
    <w:rsid w:val="05525F81"/>
    <w:rsid w:val="058F5A54"/>
    <w:rsid w:val="05A30D0A"/>
    <w:rsid w:val="05D438B9"/>
    <w:rsid w:val="05E11832"/>
    <w:rsid w:val="05F15671"/>
    <w:rsid w:val="05F652DD"/>
    <w:rsid w:val="05F94DCD"/>
    <w:rsid w:val="060A7F0C"/>
    <w:rsid w:val="0616772D"/>
    <w:rsid w:val="06345E06"/>
    <w:rsid w:val="06386398"/>
    <w:rsid w:val="06416BB8"/>
    <w:rsid w:val="06456265"/>
    <w:rsid w:val="06640E4B"/>
    <w:rsid w:val="06CE1F71"/>
    <w:rsid w:val="06D01FD2"/>
    <w:rsid w:val="06D118A6"/>
    <w:rsid w:val="06E415DA"/>
    <w:rsid w:val="07000B16"/>
    <w:rsid w:val="070D0B30"/>
    <w:rsid w:val="0717516A"/>
    <w:rsid w:val="07200C9D"/>
    <w:rsid w:val="073A5410"/>
    <w:rsid w:val="0754675F"/>
    <w:rsid w:val="076B39F3"/>
    <w:rsid w:val="076F5347"/>
    <w:rsid w:val="0775167C"/>
    <w:rsid w:val="07A0765A"/>
    <w:rsid w:val="07AA3F74"/>
    <w:rsid w:val="07BD13EE"/>
    <w:rsid w:val="07CF36C6"/>
    <w:rsid w:val="07E110CD"/>
    <w:rsid w:val="080A5070"/>
    <w:rsid w:val="084E684E"/>
    <w:rsid w:val="084F5179"/>
    <w:rsid w:val="089D5EE4"/>
    <w:rsid w:val="08AE6343"/>
    <w:rsid w:val="08AF2F0D"/>
    <w:rsid w:val="08AF79C5"/>
    <w:rsid w:val="08C45350"/>
    <w:rsid w:val="08C94F2B"/>
    <w:rsid w:val="08EF6AC2"/>
    <w:rsid w:val="09185F2E"/>
    <w:rsid w:val="091E5277"/>
    <w:rsid w:val="092C2AB7"/>
    <w:rsid w:val="093C394F"/>
    <w:rsid w:val="095505E7"/>
    <w:rsid w:val="096C4D6B"/>
    <w:rsid w:val="097479AD"/>
    <w:rsid w:val="09772BD9"/>
    <w:rsid w:val="09774987"/>
    <w:rsid w:val="097815DF"/>
    <w:rsid w:val="098522BD"/>
    <w:rsid w:val="098E31D7"/>
    <w:rsid w:val="09C149B3"/>
    <w:rsid w:val="09D57431"/>
    <w:rsid w:val="09D9508C"/>
    <w:rsid w:val="09E75EDE"/>
    <w:rsid w:val="09F47D86"/>
    <w:rsid w:val="09F90D53"/>
    <w:rsid w:val="0A397E8E"/>
    <w:rsid w:val="0A3B3CB9"/>
    <w:rsid w:val="0A3D797F"/>
    <w:rsid w:val="0A3E54A5"/>
    <w:rsid w:val="0A570314"/>
    <w:rsid w:val="0A7F6940"/>
    <w:rsid w:val="0A904DFA"/>
    <w:rsid w:val="0A962578"/>
    <w:rsid w:val="0B1D330C"/>
    <w:rsid w:val="0B872ED2"/>
    <w:rsid w:val="0B8D66E4"/>
    <w:rsid w:val="0B9335CE"/>
    <w:rsid w:val="0BA12829"/>
    <w:rsid w:val="0BA650B0"/>
    <w:rsid w:val="0BB45AA2"/>
    <w:rsid w:val="0BCB720C"/>
    <w:rsid w:val="0BDC4F75"/>
    <w:rsid w:val="0BE85AA6"/>
    <w:rsid w:val="0BF0642E"/>
    <w:rsid w:val="0C23344D"/>
    <w:rsid w:val="0C2506CA"/>
    <w:rsid w:val="0C393981"/>
    <w:rsid w:val="0C3B7EEE"/>
    <w:rsid w:val="0C4310EE"/>
    <w:rsid w:val="0CA03970"/>
    <w:rsid w:val="0CEE48A7"/>
    <w:rsid w:val="0D0B2017"/>
    <w:rsid w:val="0D136775"/>
    <w:rsid w:val="0D244BFF"/>
    <w:rsid w:val="0D373A0B"/>
    <w:rsid w:val="0D4E1EA3"/>
    <w:rsid w:val="0D5D3E94"/>
    <w:rsid w:val="0D6214AA"/>
    <w:rsid w:val="0D63594E"/>
    <w:rsid w:val="0D703BC7"/>
    <w:rsid w:val="0D907DC5"/>
    <w:rsid w:val="0D9F44AC"/>
    <w:rsid w:val="0DA25D4B"/>
    <w:rsid w:val="0DAC6849"/>
    <w:rsid w:val="0DCF21C8"/>
    <w:rsid w:val="0DDA54E4"/>
    <w:rsid w:val="0DFE5677"/>
    <w:rsid w:val="0E034A3B"/>
    <w:rsid w:val="0E19425F"/>
    <w:rsid w:val="0E19600D"/>
    <w:rsid w:val="0E2624D8"/>
    <w:rsid w:val="0E2F3A82"/>
    <w:rsid w:val="0E356BBF"/>
    <w:rsid w:val="0E4219DB"/>
    <w:rsid w:val="0E793654"/>
    <w:rsid w:val="0EA97268"/>
    <w:rsid w:val="0EAF071F"/>
    <w:rsid w:val="0EC046DA"/>
    <w:rsid w:val="0ED35847"/>
    <w:rsid w:val="0ED40186"/>
    <w:rsid w:val="0ED802FF"/>
    <w:rsid w:val="0EE20AF5"/>
    <w:rsid w:val="0F072309"/>
    <w:rsid w:val="0F0942D3"/>
    <w:rsid w:val="0F0E3698"/>
    <w:rsid w:val="0F2033CB"/>
    <w:rsid w:val="0F6A2898"/>
    <w:rsid w:val="0F6B6D3C"/>
    <w:rsid w:val="0F851480"/>
    <w:rsid w:val="0FA1450C"/>
    <w:rsid w:val="0FC14BAE"/>
    <w:rsid w:val="0FDC3796"/>
    <w:rsid w:val="0FF74205"/>
    <w:rsid w:val="10076107"/>
    <w:rsid w:val="1008458B"/>
    <w:rsid w:val="100D4B83"/>
    <w:rsid w:val="106D0892"/>
    <w:rsid w:val="108F25B6"/>
    <w:rsid w:val="10947BCD"/>
    <w:rsid w:val="10A03AEF"/>
    <w:rsid w:val="1117576E"/>
    <w:rsid w:val="11286567"/>
    <w:rsid w:val="11292A0B"/>
    <w:rsid w:val="1131366D"/>
    <w:rsid w:val="113D64B6"/>
    <w:rsid w:val="11447845"/>
    <w:rsid w:val="11511F61"/>
    <w:rsid w:val="118E0AC0"/>
    <w:rsid w:val="11957313"/>
    <w:rsid w:val="11AC7198"/>
    <w:rsid w:val="11B22B48"/>
    <w:rsid w:val="11BD75F7"/>
    <w:rsid w:val="11E20D72"/>
    <w:rsid w:val="121C256F"/>
    <w:rsid w:val="124318AA"/>
    <w:rsid w:val="12631F4C"/>
    <w:rsid w:val="126E3EB0"/>
    <w:rsid w:val="12747CB6"/>
    <w:rsid w:val="129C720C"/>
    <w:rsid w:val="12D9220E"/>
    <w:rsid w:val="12EF70B7"/>
    <w:rsid w:val="12F17B2E"/>
    <w:rsid w:val="13157F9E"/>
    <w:rsid w:val="136071FB"/>
    <w:rsid w:val="1363353B"/>
    <w:rsid w:val="13660293"/>
    <w:rsid w:val="13737F6D"/>
    <w:rsid w:val="137B7981"/>
    <w:rsid w:val="138959E3"/>
    <w:rsid w:val="138F7287"/>
    <w:rsid w:val="139B1132"/>
    <w:rsid w:val="139B74C4"/>
    <w:rsid w:val="13C056B4"/>
    <w:rsid w:val="13E87CB7"/>
    <w:rsid w:val="140C1FE5"/>
    <w:rsid w:val="141650CD"/>
    <w:rsid w:val="141D437D"/>
    <w:rsid w:val="141D612B"/>
    <w:rsid w:val="142179C9"/>
    <w:rsid w:val="145533A6"/>
    <w:rsid w:val="14740441"/>
    <w:rsid w:val="148443FC"/>
    <w:rsid w:val="1497412F"/>
    <w:rsid w:val="149F2FE4"/>
    <w:rsid w:val="14A423A8"/>
    <w:rsid w:val="14EC25CE"/>
    <w:rsid w:val="150C0679"/>
    <w:rsid w:val="151307D7"/>
    <w:rsid w:val="152E21B8"/>
    <w:rsid w:val="153100AC"/>
    <w:rsid w:val="154C1DE6"/>
    <w:rsid w:val="154F67B8"/>
    <w:rsid w:val="158D6BDD"/>
    <w:rsid w:val="15CB9434"/>
    <w:rsid w:val="15CD21DE"/>
    <w:rsid w:val="15D27D09"/>
    <w:rsid w:val="15D33824"/>
    <w:rsid w:val="15D849FF"/>
    <w:rsid w:val="15E92BC7"/>
    <w:rsid w:val="15FD3709"/>
    <w:rsid w:val="160464D3"/>
    <w:rsid w:val="16157A01"/>
    <w:rsid w:val="161D6647"/>
    <w:rsid w:val="16493207"/>
    <w:rsid w:val="164B0365"/>
    <w:rsid w:val="16685D83"/>
    <w:rsid w:val="166938A9"/>
    <w:rsid w:val="167A7865"/>
    <w:rsid w:val="167F6351"/>
    <w:rsid w:val="168B1A72"/>
    <w:rsid w:val="16C32C88"/>
    <w:rsid w:val="16C358AF"/>
    <w:rsid w:val="16D637FC"/>
    <w:rsid w:val="16DC1042"/>
    <w:rsid w:val="16E96798"/>
    <w:rsid w:val="16F76FA7"/>
    <w:rsid w:val="172A3039"/>
    <w:rsid w:val="1763654B"/>
    <w:rsid w:val="1773288D"/>
    <w:rsid w:val="17836BED"/>
    <w:rsid w:val="178D1D96"/>
    <w:rsid w:val="17966920"/>
    <w:rsid w:val="17B40B54"/>
    <w:rsid w:val="17CA65CA"/>
    <w:rsid w:val="17DD00AB"/>
    <w:rsid w:val="17F35B20"/>
    <w:rsid w:val="180B1483"/>
    <w:rsid w:val="180C273E"/>
    <w:rsid w:val="180E341C"/>
    <w:rsid w:val="183459BE"/>
    <w:rsid w:val="183D7B1A"/>
    <w:rsid w:val="1840688C"/>
    <w:rsid w:val="184F3D45"/>
    <w:rsid w:val="18596A8E"/>
    <w:rsid w:val="18BE7B6B"/>
    <w:rsid w:val="18D019BE"/>
    <w:rsid w:val="18E37943"/>
    <w:rsid w:val="18FA239B"/>
    <w:rsid w:val="190B2632"/>
    <w:rsid w:val="191C4C03"/>
    <w:rsid w:val="19353F17"/>
    <w:rsid w:val="194D3428"/>
    <w:rsid w:val="19575C3B"/>
    <w:rsid w:val="195B397D"/>
    <w:rsid w:val="19622F5E"/>
    <w:rsid w:val="19882298"/>
    <w:rsid w:val="19946E8F"/>
    <w:rsid w:val="199E39C2"/>
    <w:rsid w:val="19A8293B"/>
    <w:rsid w:val="19B4308D"/>
    <w:rsid w:val="19D41982"/>
    <w:rsid w:val="19D43591"/>
    <w:rsid w:val="19E219A9"/>
    <w:rsid w:val="19E73463"/>
    <w:rsid w:val="1A332204"/>
    <w:rsid w:val="1A7F3E24"/>
    <w:rsid w:val="1A9A5D1C"/>
    <w:rsid w:val="1AC217DA"/>
    <w:rsid w:val="1AFE2C2B"/>
    <w:rsid w:val="1B1F09DB"/>
    <w:rsid w:val="1B222279"/>
    <w:rsid w:val="1B226512"/>
    <w:rsid w:val="1B461503"/>
    <w:rsid w:val="1B6F1962"/>
    <w:rsid w:val="1B982FF3"/>
    <w:rsid w:val="1BD619E1"/>
    <w:rsid w:val="1BD971F4"/>
    <w:rsid w:val="1BDA2117"/>
    <w:rsid w:val="1BDB6FF7"/>
    <w:rsid w:val="1BEA548C"/>
    <w:rsid w:val="1C0F2CE1"/>
    <w:rsid w:val="1C224C26"/>
    <w:rsid w:val="1C541A06"/>
    <w:rsid w:val="1C623275"/>
    <w:rsid w:val="1C762226"/>
    <w:rsid w:val="1CA8197B"/>
    <w:rsid w:val="1D0D31E0"/>
    <w:rsid w:val="1D1C78C7"/>
    <w:rsid w:val="1D7F1C04"/>
    <w:rsid w:val="1D864D41"/>
    <w:rsid w:val="1DC64109"/>
    <w:rsid w:val="1DD10C77"/>
    <w:rsid w:val="1DD821DB"/>
    <w:rsid w:val="1DD84EE2"/>
    <w:rsid w:val="1DE21BFC"/>
    <w:rsid w:val="1DEA52D0"/>
    <w:rsid w:val="1DF74083"/>
    <w:rsid w:val="1E2702D2"/>
    <w:rsid w:val="1E2C58E8"/>
    <w:rsid w:val="1E731769"/>
    <w:rsid w:val="1E7E1EBC"/>
    <w:rsid w:val="1EC575F3"/>
    <w:rsid w:val="1ECC0E79"/>
    <w:rsid w:val="1EE34BED"/>
    <w:rsid w:val="1EFB350D"/>
    <w:rsid w:val="1F126AC2"/>
    <w:rsid w:val="1F1840BF"/>
    <w:rsid w:val="1F2760B0"/>
    <w:rsid w:val="1F503858"/>
    <w:rsid w:val="1F515A39"/>
    <w:rsid w:val="1F5E41C7"/>
    <w:rsid w:val="1F69532E"/>
    <w:rsid w:val="1F7C63FB"/>
    <w:rsid w:val="1F9803AC"/>
    <w:rsid w:val="1FB12584"/>
    <w:rsid w:val="1FFD411B"/>
    <w:rsid w:val="2023302E"/>
    <w:rsid w:val="20250841"/>
    <w:rsid w:val="203D01A7"/>
    <w:rsid w:val="2087367A"/>
    <w:rsid w:val="209F2A54"/>
    <w:rsid w:val="20B47E17"/>
    <w:rsid w:val="20D73ACA"/>
    <w:rsid w:val="20FD1BD4"/>
    <w:rsid w:val="20FD356C"/>
    <w:rsid w:val="211B1C44"/>
    <w:rsid w:val="212E5E1B"/>
    <w:rsid w:val="215C4736"/>
    <w:rsid w:val="21671CF6"/>
    <w:rsid w:val="217557F8"/>
    <w:rsid w:val="218D2B42"/>
    <w:rsid w:val="218E0668"/>
    <w:rsid w:val="21B856E5"/>
    <w:rsid w:val="21E93AF0"/>
    <w:rsid w:val="21ED1832"/>
    <w:rsid w:val="2221328A"/>
    <w:rsid w:val="227B6E3E"/>
    <w:rsid w:val="228D764F"/>
    <w:rsid w:val="229C6DE9"/>
    <w:rsid w:val="22BB36DF"/>
    <w:rsid w:val="22CA3922"/>
    <w:rsid w:val="22D64075"/>
    <w:rsid w:val="22E76282"/>
    <w:rsid w:val="230E7CB2"/>
    <w:rsid w:val="231150AD"/>
    <w:rsid w:val="233E412D"/>
    <w:rsid w:val="233E7DBC"/>
    <w:rsid w:val="2349026B"/>
    <w:rsid w:val="23BD5235"/>
    <w:rsid w:val="23C465C3"/>
    <w:rsid w:val="23CD1D77"/>
    <w:rsid w:val="24281889"/>
    <w:rsid w:val="24577437"/>
    <w:rsid w:val="246001CD"/>
    <w:rsid w:val="24961D0D"/>
    <w:rsid w:val="24B403E6"/>
    <w:rsid w:val="24C90A33"/>
    <w:rsid w:val="24F074D1"/>
    <w:rsid w:val="25022231"/>
    <w:rsid w:val="25055DB0"/>
    <w:rsid w:val="251A0B90"/>
    <w:rsid w:val="251A3303"/>
    <w:rsid w:val="2547125A"/>
    <w:rsid w:val="25545725"/>
    <w:rsid w:val="25710085"/>
    <w:rsid w:val="25853B30"/>
    <w:rsid w:val="2593449F"/>
    <w:rsid w:val="25C32FD6"/>
    <w:rsid w:val="25CA1509"/>
    <w:rsid w:val="25EC437E"/>
    <w:rsid w:val="260450DB"/>
    <w:rsid w:val="260E7FC9"/>
    <w:rsid w:val="261E645E"/>
    <w:rsid w:val="264F486A"/>
    <w:rsid w:val="26625BC2"/>
    <w:rsid w:val="26984EEE"/>
    <w:rsid w:val="269E208E"/>
    <w:rsid w:val="26A050C5"/>
    <w:rsid w:val="26A54F0B"/>
    <w:rsid w:val="26BE19EF"/>
    <w:rsid w:val="26D7485F"/>
    <w:rsid w:val="26E02441"/>
    <w:rsid w:val="26E054C2"/>
    <w:rsid w:val="270645C5"/>
    <w:rsid w:val="2707406D"/>
    <w:rsid w:val="27191DB9"/>
    <w:rsid w:val="275639D6"/>
    <w:rsid w:val="27807BE0"/>
    <w:rsid w:val="2781787A"/>
    <w:rsid w:val="278279D8"/>
    <w:rsid w:val="279D1605"/>
    <w:rsid w:val="27B5694E"/>
    <w:rsid w:val="27CE5C62"/>
    <w:rsid w:val="27DF39CB"/>
    <w:rsid w:val="27F76F67"/>
    <w:rsid w:val="27FE6547"/>
    <w:rsid w:val="28355CE1"/>
    <w:rsid w:val="28440A5B"/>
    <w:rsid w:val="284C045D"/>
    <w:rsid w:val="285048C9"/>
    <w:rsid w:val="28846049"/>
    <w:rsid w:val="28B16468"/>
    <w:rsid w:val="28E31299"/>
    <w:rsid w:val="28EF4F44"/>
    <w:rsid w:val="290556B4"/>
    <w:rsid w:val="29257B04"/>
    <w:rsid w:val="292A6EC8"/>
    <w:rsid w:val="29540304"/>
    <w:rsid w:val="295C0655"/>
    <w:rsid w:val="296950CB"/>
    <w:rsid w:val="29695C42"/>
    <w:rsid w:val="29A5570A"/>
    <w:rsid w:val="29A63C37"/>
    <w:rsid w:val="29B570DA"/>
    <w:rsid w:val="29D62BAC"/>
    <w:rsid w:val="29E259F5"/>
    <w:rsid w:val="29F00112"/>
    <w:rsid w:val="2A247DBB"/>
    <w:rsid w:val="2A353B5D"/>
    <w:rsid w:val="2A677CA8"/>
    <w:rsid w:val="2A697EC4"/>
    <w:rsid w:val="2A900FAD"/>
    <w:rsid w:val="2A9071FF"/>
    <w:rsid w:val="2A9C2D33"/>
    <w:rsid w:val="2AA119FC"/>
    <w:rsid w:val="2AE553C9"/>
    <w:rsid w:val="2AF27EBA"/>
    <w:rsid w:val="2AF7102C"/>
    <w:rsid w:val="2AFC0D9C"/>
    <w:rsid w:val="2B2226E2"/>
    <w:rsid w:val="2B45623B"/>
    <w:rsid w:val="2B794137"/>
    <w:rsid w:val="2B7F70A5"/>
    <w:rsid w:val="2B8C5C18"/>
    <w:rsid w:val="2B960845"/>
    <w:rsid w:val="2BB1742D"/>
    <w:rsid w:val="2BBF0C1C"/>
    <w:rsid w:val="2BC41327"/>
    <w:rsid w:val="2BC730F4"/>
    <w:rsid w:val="2BCD4298"/>
    <w:rsid w:val="2BFA5278"/>
    <w:rsid w:val="2BFE7BD0"/>
    <w:rsid w:val="2C005095"/>
    <w:rsid w:val="2C131E96"/>
    <w:rsid w:val="2C17011F"/>
    <w:rsid w:val="2C1D2D14"/>
    <w:rsid w:val="2C2220D9"/>
    <w:rsid w:val="2C2B3086"/>
    <w:rsid w:val="2C387B4E"/>
    <w:rsid w:val="2C525562"/>
    <w:rsid w:val="2C610E53"/>
    <w:rsid w:val="2C755D0D"/>
    <w:rsid w:val="2CA13945"/>
    <w:rsid w:val="2CAC2A7B"/>
    <w:rsid w:val="2CB951EB"/>
    <w:rsid w:val="2CC24314"/>
    <w:rsid w:val="2CDD07AF"/>
    <w:rsid w:val="2CEA709A"/>
    <w:rsid w:val="2CF0667B"/>
    <w:rsid w:val="2CF90D9F"/>
    <w:rsid w:val="2D430676"/>
    <w:rsid w:val="2D69418A"/>
    <w:rsid w:val="2D9B2143"/>
    <w:rsid w:val="2D9E319D"/>
    <w:rsid w:val="2DAF47F9"/>
    <w:rsid w:val="2DB33930"/>
    <w:rsid w:val="2DB86843"/>
    <w:rsid w:val="2DE55AB4"/>
    <w:rsid w:val="2DE57862"/>
    <w:rsid w:val="2DED474D"/>
    <w:rsid w:val="2DFE6E37"/>
    <w:rsid w:val="2E114778"/>
    <w:rsid w:val="2E1741F6"/>
    <w:rsid w:val="2E36630F"/>
    <w:rsid w:val="2E823302"/>
    <w:rsid w:val="2EBF66E8"/>
    <w:rsid w:val="2EC102CF"/>
    <w:rsid w:val="2ED31DB0"/>
    <w:rsid w:val="2EDD0C2B"/>
    <w:rsid w:val="2EE25C2E"/>
    <w:rsid w:val="2F223C93"/>
    <w:rsid w:val="2F3445FD"/>
    <w:rsid w:val="2F535856"/>
    <w:rsid w:val="2F57653D"/>
    <w:rsid w:val="2F6B1FE9"/>
    <w:rsid w:val="2F762E67"/>
    <w:rsid w:val="2F7A6A57"/>
    <w:rsid w:val="2FAC4ADB"/>
    <w:rsid w:val="2FB95AD2"/>
    <w:rsid w:val="2FFE2E5D"/>
    <w:rsid w:val="301F52AD"/>
    <w:rsid w:val="302428C3"/>
    <w:rsid w:val="3034552F"/>
    <w:rsid w:val="30413E8E"/>
    <w:rsid w:val="304271ED"/>
    <w:rsid w:val="3075313F"/>
    <w:rsid w:val="30760C45"/>
    <w:rsid w:val="30963095"/>
    <w:rsid w:val="30A9101A"/>
    <w:rsid w:val="30AE4883"/>
    <w:rsid w:val="30F11D05"/>
    <w:rsid w:val="30F45B82"/>
    <w:rsid w:val="30FA3624"/>
    <w:rsid w:val="310426F5"/>
    <w:rsid w:val="311A5A74"/>
    <w:rsid w:val="312D57A8"/>
    <w:rsid w:val="312E5FEB"/>
    <w:rsid w:val="314A45AB"/>
    <w:rsid w:val="31A6555A"/>
    <w:rsid w:val="31B42060"/>
    <w:rsid w:val="31BE28A4"/>
    <w:rsid w:val="31C76D4C"/>
    <w:rsid w:val="31D356B0"/>
    <w:rsid w:val="31E00A6C"/>
    <w:rsid w:val="31FE21A5"/>
    <w:rsid w:val="32220E91"/>
    <w:rsid w:val="322A0611"/>
    <w:rsid w:val="32463916"/>
    <w:rsid w:val="32472899"/>
    <w:rsid w:val="324A23F5"/>
    <w:rsid w:val="326276D3"/>
    <w:rsid w:val="32851613"/>
    <w:rsid w:val="32954E27"/>
    <w:rsid w:val="32BF7DFB"/>
    <w:rsid w:val="32C97752"/>
    <w:rsid w:val="32E1603D"/>
    <w:rsid w:val="32F02F31"/>
    <w:rsid w:val="331A7FAD"/>
    <w:rsid w:val="332A689F"/>
    <w:rsid w:val="33323549"/>
    <w:rsid w:val="33751688"/>
    <w:rsid w:val="3381002D"/>
    <w:rsid w:val="338A7FAD"/>
    <w:rsid w:val="339C4E66"/>
    <w:rsid w:val="33B71CA0"/>
    <w:rsid w:val="33C57F19"/>
    <w:rsid w:val="33ED018B"/>
    <w:rsid w:val="33FB1B8D"/>
    <w:rsid w:val="34060532"/>
    <w:rsid w:val="34207846"/>
    <w:rsid w:val="34305F32"/>
    <w:rsid w:val="3434236D"/>
    <w:rsid w:val="343B642D"/>
    <w:rsid w:val="34433534"/>
    <w:rsid w:val="347656B7"/>
    <w:rsid w:val="34916467"/>
    <w:rsid w:val="349A75F8"/>
    <w:rsid w:val="34B232D3"/>
    <w:rsid w:val="34BD5AEB"/>
    <w:rsid w:val="34C409EF"/>
    <w:rsid w:val="34C46423"/>
    <w:rsid w:val="34EB7E53"/>
    <w:rsid w:val="34EE34A0"/>
    <w:rsid w:val="35156C7E"/>
    <w:rsid w:val="35213875"/>
    <w:rsid w:val="353A4937"/>
    <w:rsid w:val="353A66E5"/>
    <w:rsid w:val="353F5AA9"/>
    <w:rsid w:val="35586B6B"/>
    <w:rsid w:val="358838F4"/>
    <w:rsid w:val="35A3428A"/>
    <w:rsid w:val="35BE328B"/>
    <w:rsid w:val="35C30A55"/>
    <w:rsid w:val="35C661CB"/>
    <w:rsid w:val="35D07049"/>
    <w:rsid w:val="35E11256"/>
    <w:rsid w:val="35EF65E1"/>
    <w:rsid w:val="35F74A58"/>
    <w:rsid w:val="35FE5964"/>
    <w:rsid w:val="36034D29"/>
    <w:rsid w:val="3609300A"/>
    <w:rsid w:val="362C191E"/>
    <w:rsid w:val="365E5169"/>
    <w:rsid w:val="366D4BC8"/>
    <w:rsid w:val="366E760D"/>
    <w:rsid w:val="367B6FB5"/>
    <w:rsid w:val="369066FC"/>
    <w:rsid w:val="369334DC"/>
    <w:rsid w:val="36A75FFC"/>
    <w:rsid w:val="36AC7588"/>
    <w:rsid w:val="36C21C3F"/>
    <w:rsid w:val="36D33C63"/>
    <w:rsid w:val="36F318CB"/>
    <w:rsid w:val="37023232"/>
    <w:rsid w:val="372A42BA"/>
    <w:rsid w:val="375E2A17"/>
    <w:rsid w:val="377744E3"/>
    <w:rsid w:val="377FA2D1"/>
    <w:rsid w:val="37847F8D"/>
    <w:rsid w:val="3795529C"/>
    <w:rsid w:val="379E11AD"/>
    <w:rsid w:val="37E42938"/>
    <w:rsid w:val="37F708BD"/>
    <w:rsid w:val="37FE6B50"/>
    <w:rsid w:val="38082ACA"/>
    <w:rsid w:val="38242B87"/>
    <w:rsid w:val="38314519"/>
    <w:rsid w:val="38336D98"/>
    <w:rsid w:val="386C3059"/>
    <w:rsid w:val="3891486E"/>
    <w:rsid w:val="38E60960"/>
    <w:rsid w:val="38F512A1"/>
    <w:rsid w:val="39406294"/>
    <w:rsid w:val="39416F45"/>
    <w:rsid w:val="394A3E0E"/>
    <w:rsid w:val="394B1EE3"/>
    <w:rsid w:val="396B1563"/>
    <w:rsid w:val="396E1053"/>
    <w:rsid w:val="399F7A55"/>
    <w:rsid w:val="39A4152E"/>
    <w:rsid w:val="39E3546E"/>
    <w:rsid w:val="3A257964"/>
    <w:rsid w:val="3A3A5061"/>
    <w:rsid w:val="3A3C6A5B"/>
    <w:rsid w:val="3A3D67D4"/>
    <w:rsid w:val="3A4678DA"/>
    <w:rsid w:val="3A4727AD"/>
    <w:rsid w:val="3A555D6F"/>
    <w:rsid w:val="3A571AE7"/>
    <w:rsid w:val="3A657172"/>
    <w:rsid w:val="3A6F0BDF"/>
    <w:rsid w:val="3A8328DC"/>
    <w:rsid w:val="3A86417A"/>
    <w:rsid w:val="3A8D375B"/>
    <w:rsid w:val="3AAA60BB"/>
    <w:rsid w:val="3AD84A09"/>
    <w:rsid w:val="3AE214AE"/>
    <w:rsid w:val="3B0D21A6"/>
    <w:rsid w:val="3B124BB9"/>
    <w:rsid w:val="3B2220F5"/>
    <w:rsid w:val="3B2319C9"/>
    <w:rsid w:val="3B247C1B"/>
    <w:rsid w:val="3B5878C5"/>
    <w:rsid w:val="3B7A5A8D"/>
    <w:rsid w:val="3B903503"/>
    <w:rsid w:val="3B9CF78A"/>
    <w:rsid w:val="3BA05290"/>
    <w:rsid w:val="3BB0325D"/>
    <w:rsid w:val="3C045EE9"/>
    <w:rsid w:val="3C092149"/>
    <w:rsid w:val="3C2459F9"/>
    <w:rsid w:val="3C3A2B60"/>
    <w:rsid w:val="3C4B567C"/>
    <w:rsid w:val="3C6C6886"/>
    <w:rsid w:val="3C710A9B"/>
    <w:rsid w:val="3C736028"/>
    <w:rsid w:val="3C740B22"/>
    <w:rsid w:val="3C860462"/>
    <w:rsid w:val="3C942B7F"/>
    <w:rsid w:val="3C9613C2"/>
    <w:rsid w:val="3CA37266"/>
    <w:rsid w:val="3CA803D8"/>
    <w:rsid w:val="3CA8662A"/>
    <w:rsid w:val="3CAB3899"/>
    <w:rsid w:val="3CE75344"/>
    <w:rsid w:val="3CF21B65"/>
    <w:rsid w:val="3CF4361D"/>
    <w:rsid w:val="3CF76527"/>
    <w:rsid w:val="3D315030"/>
    <w:rsid w:val="3D385C00"/>
    <w:rsid w:val="3D3A1978"/>
    <w:rsid w:val="3D463DBE"/>
    <w:rsid w:val="3D4B05F7"/>
    <w:rsid w:val="3D536F54"/>
    <w:rsid w:val="3D7F365D"/>
    <w:rsid w:val="3D80667C"/>
    <w:rsid w:val="3D8F1598"/>
    <w:rsid w:val="3D931DA2"/>
    <w:rsid w:val="3D934BE4"/>
    <w:rsid w:val="3D995F73"/>
    <w:rsid w:val="3DA212CB"/>
    <w:rsid w:val="3DCC61DA"/>
    <w:rsid w:val="3DE2791A"/>
    <w:rsid w:val="3DF02037"/>
    <w:rsid w:val="3DFD7B27"/>
    <w:rsid w:val="3E027FBC"/>
    <w:rsid w:val="3E0B50C2"/>
    <w:rsid w:val="3E0E4BB3"/>
    <w:rsid w:val="3E22515D"/>
    <w:rsid w:val="3E263CAA"/>
    <w:rsid w:val="3E396CAE"/>
    <w:rsid w:val="3E506F79"/>
    <w:rsid w:val="3E614CE2"/>
    <w:rsid w:val="3E78202C"/>
    <w:rsid w:val="3E7D047A"/>
    <w:rsid w:val="3EA62247"/>
    <w:rsid w:val="3EC82FB3"/>
    <w:rsid w:val="3ECF7B6A"/>
    <w:rsid w:val="3ED05615"/>
    <w:rsid w:val="3F03223E"/>
    <w:rsid w:val="3F0F473E"/>
    <w:rsid w:val="3F250AB4"/>
    <w:rsid w:val="3F2F6B8F"/>
    <w:rsid w:val="3F6251B6"/>
    <w:rsid w:val="3F7E3CCE"/>
    <w:rsid w:val="3F9115F7"/>
    <w:rsid w:val="3FB3156E"/>
    <w:rsid w:val="3FB65AD9"/>
    <w:rsid w:val="3FBA0B4E"/>
    <w:rsid w:val="3FD339BE"/>
    <w:rsid w:val="3FE05723"/>
    <w:rsid w:val="40185875"/>
    <w:rsid w:val="402C0554"/>
    <w:rsid w:val="403D6978"/>
    <w:rsid w:val="40452C81"/>
    <w:rsid w:val="40582115"/>
    <w:rsid w:val="405C776F"/>
    <w:rsid w:val="405D1A2A"/>
    <w:rsid w:val="405E0525"/>
    <w:rsid w:val="40646D0C"/>
    <w:rsid w:val="40955117"/>
    <w:rsid w:val="40AD420F"/>
    <w:rsid w:val="410762AC"/>
    <w:rsid w:val="41151DB4"/>
    <w:rsid w:val="41601F71"/>
    <w:rsid w:val="41780CC1"/>
    <w:rsid w:val="41932D5F"/>
    <w:rsid w:val="41A05B22"/>
    <w:rsid w:val="41AF2209"/>
    <w:rsid w:val="41C95079"/>
    <w:rsid w:val="41EA3241"/>
    <w:rsid w:val="41FF4F3E"/>
    <w:rsid w:val="420A6C99"/>
    <w:rsid w:val="421B164C"/>
    <w:rsid w:val="42312C1E"/>
    <w:rsid w:val="423408FB"/>
    <w:rsid w:val="42415557"/>
    <w:rsid w:val="42925DB2"/>
    <w:rsid w:val="42B52A5A"/>
    <w:rsid w:val="42EB4309"/>
    <w:rsid w:val="42F16099"/>
    <w:rsid w:val="433429C6"/>
    <w:rsid w:val="435C016E"/>
    <w:rsid w:val="437159C8"/>
    <w:rsid w:val="43AE09CA"/>
    <w:rsid w:val="43B91888"/>
    <w:rsid w:val="43C95804"/>
    <w:rsid w:val="4403491A"/>
    <w:rsid w:val="445826D6"/>
    <w:rsid w:val="44703ED1"/>
    <w:rsid w:val="447F4114"/>
    <w:rsid w:val="448917EC"/>
    <w:rsid w:val="44A2710B"/>
    <w:rsid w:val="44BE2144"/>
    <w:rsid w:val="44C1472D"/>
    <w:rsid w:val="44CD30D2"/>
    <w:rsid w:val="44D3620E"/>
    <w:rsid w:val="44E4041B"/>
    <w:rsid w:val="44FC7513"/>
    <w:rsid w:val="4504461A"/>
    <w:rsid w:val="450D39DC"/>
    <w:rsid w:val="45141548"/>
    <w:rsid w:val="452C0D9A"/>
    <w:rsid w:val="452F78E8"/>
    <w:rsid w:val="45686B2D"/>
    <w:rsid w:val="457E78C3"/>
    <w:rsid w:val="457F0202"/>
    <w:rsid w:val="457F1EF2"/>
    <w:rsid w:val="45806396"/>
    <w:rsid w:val="45DB3EF9"/>
    <w:rsid w:val="45E85CE9"/>
    <w:rsid w:val="45FD1795"/>
    <w:rsid w:val="46032B23"/>
    <w:rsid w:val="46317690"/>
    <w:rsid w:val="463A1ECC"/>
    <w:rsid w:val="46A77952"/>
    <w:rsid w:val="46B81CA9"/>
    <w:rsid w:val="46BC1650"/>
    <w:rsid w:val="46E62229"/>
    <w:rsid w:val="46ED1809"/>
    <w:rsid w:val="46FA3F26"/>
    <w:rsid w:val="47024B89"/>
    <w:rsid w:val="470C6541"/>
    <w:rsid w:val="47134FE8"/>
    <w:rsid w:val="47266AC9"/>
    <w:rsid w:val="47811F51"/>
    <w:rsid w:val="47BD00A0"/>
    <w:rsid w:val="47C84024"/>
    <w:rsid w:val="47EFCFA3"/>
    <w:rsid w:val="47F40975"/>
    <w:rsid w:val="47F60B91"/>
    <w:rsid w:val="48054931"/>
    <w:rsid w:val="482F5E51"/>
    <w:rsid w:val="483B0352"/>
    <w:rsid w:val="48671147"/>
    <w:rsid w:val="486758C4"/>
    <w:rsid w:val="487C41DD"/>
    <w:rsid w:val="488C2ACF"/>
    <w:rsid w:val="488F7C16"/>
    <w:rsid w:val="48931F3C"/>
    <w:rsid w:val="48AA54D8"/>
    <w:rsid w:val="48D32C81"/>
    <w:rsid w:val="4901159C"/>
    <w:rsid w:val="49153299"/>
    <w:rsid w:val="49180694"/>
    <w:rsid w:val="495B760C"/>
    <w:rsid w:val="49677321"/>
    <w:rsid w:val="4974292D"/>
    <w:rsid w:val="498B5C77"/>
    <w:rsid w:val="49B27967"/>
    <w:rsid w:val="49CA6C64"/>
    <w:rsid w:val="49DF0B35"/>
    <w:rsid w:val="49EF5898"/>
    <w:rsid w:val="4A0D488A"/>
    <w:rsid w:val="4A0D5D1E"/>
    <w:rsid w:val="4A2A75AB"/>
    <w:rsid w:val="4A3855BE"/>
    <w:rsid w:val="4A4554B8"/>
    <w:rsid w:val="4A4D7882"/>
    <w:rsid w:val="4A5E5DDF"/>
    <w:rsid w:val="4A7F6F7D"/>
    <w:rsid w:val="4A9511DA"/>
    <w:rsid w:val="4AC705C3"/>
    <w:rsid w:val="4ACF1226"/>
    <w:rsid w:val="4AD4683C"/>
    <w:rsid w:val="4AD60806"/>
    <w:rsid w:val="4AE253FD"/>
    <w:rsid w:val="4AF54F29"/>
    <w:rsid w:val="4B007631"/>
    <w:rsid w:val="4B232DA2"/>
    <w:rsid w:val="4B296B88"/>
    <w:rsid w:val="4B5670C1"/>
    <w:rsid w:val="4BA72908"/>
    <w:rsid w:val="4BCD6803"/>
    <w:rsid w:val="4BDE565B"/>
    <w:rsid w:val="4BFD0ACD"/>
    <w:rsid w:val="4C1E1B11"/>
    <w:rsid w:val="4C352DFF"/>
    <w:rsid w:val="4C5424D5"/>
    <w:rsid w:val="4C63431C"/>
    <w:rsid w:val="4C637F6F"/>
    <w:rsid w:val="4C7D7357"/>
    <w:rsid w:val="4C7E73A7"/>
    <w:rsid w:val="4C891FD4"/>
    <w:rsid w:val="4C982217"/>
    <w:rsid w:val="4CA010CC"/>
    <w:rsid w:val="4CEC2563"/>
    <w:rsid w:val="4CF17B79"/>
    <w:rsid w:val="4D0072CE"/>
    <w:rsid w:val="4D0C636D"/>
    <w:rsid w:val="4D1D67F6"/>
    <w:rsid w:val="4D343C52"/>
    <w:rsid w:val="4D562C80"/>
    <w:rsid w:val="4D6640C3"/>
    <w:rsid w:val="4D6B3488"/>
    <w:rsid w:val="4D6C375C"/>
    <w:rsid w:val="4D7560B4"/>
    <w:rsid w:val="4D77225E"/>
    <w:rsid w:val="4D7D31BB"/>
    <w:rsid w:val="4D7F6F33"/>
    <w:rsid w:val="4D930C30"/>
    <w:rsid w:val="4D9E721C"/>
    <w:rsid w:val="4DAB1AD6"/>
    <w:rsid w:val="4E06707A"/>
    <w:rsid w:val="4E5C54C6"/>
    <w:rsid w:val="4E661EA1"/>
    <w:rsid w:val="4ECC5774"/>
    <w:rsid w:val="4EE73FDF"/>
    <w:rsid w:val="4EEB4A7F"/>
    <w:rsid w:val="4EFC62BD"/>
    <w:rsid w:val="4F0B7849"/>
    <w:rsid w:val="4F1A44F5"/>
    <w:rsid w:val="4F3A01B4"/>
    <w:rsid w:val="4F3A75B6"/>
    <w:rsid w:val="4F561F16"/>
    <w:rsid w:val="4F585C8E"/>
    <w:rsid w:val="4F5876FA"/>
    <w:rsid w:val="4F6208BA"/>
    <w:rsid w:val="4F7A5C04"/>
    <w:rsid w:val="4F894099"/>
    <w:rsid w:val="4F8C3B89"/>
    <w:rsid w:val="4F936CC6"/>
    <w:rsid w:val="4F9812E6"/>
    <w:rsid w:val="50137E07"/>
    <w:rsid w:val="501D6F9B"/>
    <w:rsid w:val="501E0C85"/>
    <w:rsid w:val="50402E5B"/>
    <w:rsid w:val="505A25AA"/>
    <w:rsid w:val="50760AC1"/>
    <w:rsid w:val="507C44FD"/>
    <w:rsid w:val="509314F5"/>
    <w:rsid w:val="50B45146"/>
    <w:rsid w:val="50B91612"/>
    <w:rsid w:val="50C57353"/>
    <w:rsid w:val="50EC2B32"/>
    <w:rsid w:val="50FD73A0"/>
    <w:rsid w:val="510178BB"/>
    <w:rsid w:val="51037E7B"/>
    <w:rsid w:val="511676E7"/>
    <w:rsid w:val="51625CF9"/>
    <w:rsid w:val="51890380"/>
    <w:rsid w:val="51932FAD"/>
    <w:rsid w:val="51AB479B"/>
    <w:rsid w:val="51F003FF"/>
    <w:rsid w:val="52036385"/>
    <w:rsid w:val="522602C5"/>
    <w:rsid w:val="523227C6"/>
    <w:rsid w:val="52376968"/>
    <w:rsid w:val="52662470"/>
    <w:rsid w:val="5268268C"/>
    <w:rsid w:val="527252B8"/>
    <w:rsid w:val="527E1EAF"/>
    <w:rsid w:val="52B551A5"/>
    <w:rsid w:val="52BB0A0D"/>
    <w:rsid w:val="52C13B4A"/>
    <w:rsid w:val="52D7511B"/>
    <w:rsid w:val="52DD4E28"/>
    <w:rsid w:val="52DE1FCB"/>
    <w:rsid w:val="5314011E"/>
    <w:rsid w:val="532A1B08"/>
    <w:rsid w:val="53400F13"/>
    <w:rsid w:val="535844AE"/>
    <w:rsid w:val="53603363"/>
    <w:rsid w:val="536852EA"/>
    <w:rsid w:val="5386726D"/>
    <w:rsid w:val="538961A4"/>
    <w:rsid w:val="53A45945"/>
    <w:rsid w:val="53A6324B"/>
    <w:rsid w:val="53CB1124"/>
    <w:rsid w:val="53EE6BC1"/>
    <w:rsid w:val="540445A3"/>
    <w:rsid w:val="54104D89"/>
    <w:rsid w:val="541F36E1"/>
    <w:rsid w:val="5428123A"/>
    <w:rsid w:val="54297BF9"/>
    <w:rsid w:val="54324CFF"/>
    <w:rsid w:val="544B176B"/>
    <w:rsid w:val="54776BB6"/>
    <w:rsid w:val="547846DC"/>
    <w:rsid w:val="5479292E"/>
    <w:rsid w:val="54915D12"/>
    <w:rsid w:val="549F7EBB"/>
    <w:rsid w:val="54BB7C66"/>
    <w:rsid w:val="54C17E31"/>
    <w:rsid w:val="551654C9"/>
    <w:rsid w:val="55264138"/>
    <w:rsid w:val="553B5952"/>
    <w:rsid w:val="554B4D08"/>
    <w:rsid w:val="55515659"/>
    <w:rsid w:val="5566710A"/>
    <w:rsid w:val="55853555"/>
    <w:rsid w:val="558E2409"/>
    <w:rsid w:val="55B160F8"/>
    <w:rsid w:val="55BB6615"/>
    <w:rsid w:val="55D41E21"/>
    <w:rsid w:val="55E42029"/>
    <w:rsid w:val="55F81F79"/>
    <w:rsid w:val="56010E2D"/>
    <w:rsid w:val="560721BC"/>
    <w:rsid w:val="56293EE0"/>
    <w:rsid w:val="56450EDB"/>
    <w:rsid w:val="568E6439"/>
    <w:rsid w:val="56900687"/>
    <w:rsid w:val="56963547"/>
    <w:rsid w:val="56E12A0D"/>
    <w:rsid w:val="56E322E1"/>
    <w:rsid w:val="56EE0C86"/>
    <w:rsid w:val="56F02C50"/>
    <w:rsid w:val="572B18A4"/>
    <w:rsid w:val="573E39BB"/>
    <w:rsid w:val="57596A47"/>
    <w:rsid w:val="576176AA"/>
    <w:rsid w:val="57822B16"/>
    <w:rsid w:val="579B7990"/>
    <w:rsid w:val="579E26AC"/>
    <w:rsid w:val="57A53A3A"/>
    <w:rsid w:val="57AF0E5C"/>
    <w:rsid w:val="57CA16F3"/>
    <w:rsid w:val="57E82F61"/>
    <w:rsid w:val="58191461"/>
    <w:rsid w:val="581E3FA7"/>
    <w:rsid w:val="583D33C0"/>
    <w:rsid w:val="585F008D"/>
    <w:rsid w:val="586438F5"/>
    <w:rsid w:val="587F6039"/>
    <w:rsid w:val="58A7742D"/>
    <w:rsid w:val="58D17250"/>
    <w:rsid w:val="58DF2F7C"/>
    <w:rsid w:val="58F5454D"/>
    <w:rsid w:val="58F76517"/>
    <w:rsid w:val="5903310E"/>
    <w:rsid w:val="590B5B1F"/>
    <w:rsid w:val="590D1897"/>
    <w:rsid w:val="5919401E"/>
    <w:rsid w:val="591E1BC3"/>
    <w:rsid w:val="596671F9"/>
    <w:rsid w:val="59691FED"/>
    <w:rsid w:val="597162CA"/>
    <w:rsid w:val="597638E0"/>
    <w:rsid w:val="597B2CC1"/>
    <w:rsid w:val="598C3730"/>
    <w:rsid w:val="59914276"/>
    <w:rsid w:val="59BD32BD"/>
    <w:rsid w:val="59D33627"/>
    <w:rsid w:val="59D46859"/>
    <w:rsid w:val="59DF9AFA"/>
    <w:rsid w:val="59E22D24"/>
    <w:rsid w:val="5A094F9B"/>
    <w:rsid w:val="5A19111B"/>
    <w:rsid w:val="5A276988"/>
    <w:rsid w:val="5A2C317E"/>
    <w:rsid w:val="5A3C190B"/>
    <w:rsid w:val="5A5B0D0C"/>
    <w:rsid w:val="5A8D7F61"/>
    <w:rsid w:val="5A981634"/>
    <w:rsid w:val="5ACF5316"/>
    <w:rsid w:val="5AD54636"/>
    <w:rsid w:val="5AD54E03"/>
    <w:rsid w:val="5AE91E90"/>
    <w:rsid w:val="5AF26F96"/>
    <w:rsid w:val="5B0B3659"/>
    <w:rsid w:val="5B3E2BC0"/>
    <w:rsid w:val="5B6360E6"/>
    <w:rsid w:val="5B977B3E"/>
    <w:rsid w:val="5B9E0ECC"/>
    <w:rsid w:val="5BA54009"/>
    <w:rsid w:val="5BCF63A9"/>
    <w:rsid w:val="5C050F4B"/>
    <w:rsid w:val="5C2C4F2D"/>
    <w:rsid w:val="5C5679F9"/>
    <w:rsid w:val="5C700ABB"/>
    <w:rsid w:val="5C7120A1"/>
    <w:rsid w:val="5C797243"/>
    <w:rsid w:val="5C806824"/>
    <w:rsid w:val="5CB4E9B4"/>
    <w:rsid w:val="5CB52971"/>
    <w:rsid w:val="5CB9153A"/>
    <w:rsid w:val="5CCB5695"/>
    <w:rsid w:val="5CD32DF8"/>
    <w:rsid w:val="5CD4149F"/>
    <w:rsid w:val="5CF323B1"/>
    <w:rsid w:val="5CFD7E74"/>
    <w:rsid w:val="5D4838F1"/>
    <w:rsid w:val="5D4D6706"/>
    <w:rsid w:val="5D63417B"/>
    <w:rsid w:val="5D66733F"/>
    <w:rsid w:val="5D775E79"/>
    <w:rsid w:val="5D8B36D2"/>
    <w:rsid w:val="5D8F4F70"/>
    <w:rsid w:val="5D924A61"/>
    <w:rsid w:val="5DA327CA"/>
    <w:rsid w:val="5DAF116F"/>
    <w:rsid w:val="5DB449D7"/>
    <w:rsid w:val="5DD30284"/>
    <w:rsid w:val="5E162F9C"/>
    <w:rsid w:val="5E4C10B3"/>
    <w:rsid w:val="5E4C4C10"/>
    <w:rsid w:val="5E5166CA"/>
    <w:rsid w:val="5E5B30A5"/>
    <w:rsid w:val="5E6957C1"/>
    <w:rsid w:val="5E8545C5"/>
    <w:rsid w:val="5E875C48"/>
    <w:rsid w:val="5EC3747C"/>
    <w:rsid w:val="5EC7698C"/>
    <w:rsid w:val="5ECB7E0E"/>
    <w:rsid w:val="5EE70977"/>
    <w:rsid w:val="5EF84D97"/>
    <w:rsid w:val="5F0C6E98"/>
    <w:rsid w:val="5F103E8F"/>
    <w:rsid w:val="5F17346F"/>
    <w:rsid w:val="5F5A270B"/>
    <w:rsid w:val="5F661984"/>
    <w:rsid w:val="5FAB70A8"/>
    <w:rsid w:val="5FD217D5"/>
    <w:rsid w:val="5FFC0099"/>
    <w:rsid w:val="602045A6"/>
    <w:rsid w:val="60310561"/>
    <w:rsid w:val="60365B77"/>
    <w:rsid w:val="603C0CB4"/>
    <w:rsid w:val="605D1356"/>
    <w:rsid w:val="608B78E2"/>
    <w:rsid w:val="609B1E7E"/>
    <w:rsid w:val="60B85F03"/>
    <w:rsid w:val="60DC361E"/>
    <w:rsid w:val="60F33A68"/>
    <w:rsid w:val="61016185"/>
    <w:rsid w:val="6110461A"/>
    <w:rsid w:val="612956DC"/>
    <w:rsid w:val="612A4D6D"/>
    <w:rsid w:val="613227E3"/>
    <w:rsid w:val="613B24C6"/>
    <w:rsid w:val="614C4F26"/>
    <w:rsid w:val="615564D1"/>
    <w:rsid w:val="616650DA"/>
    <w:rsid w:val="616933C9"/>
    <w:rsid w:val="61A15272"/>
    <w:rsid w:val="61A20385"/>
    <w:rsid w:val="61B74A96"/>
    <w:rsid w:val="61C4171F"/>
    <w:rsid w:val="61DD30D7"/>
    <w:rsid w:val="61F93300"/>
    <w:rsid w:val="61F96E5C"/>
    <w:rsid w:val="621D48D8"/>
    <w:rsid w:val="622B7232"/>
    <w:rsid w:val="624A77E6"/>
    <w:rsid w:val="62854B94"/>
    <w:rsid w:val="62B64D4D"/>
    <w:rsid w:val="62DE4C05"/>
    <w:rsid w:val="62F80177"/>
    <w:rsid w:val="631E435E"/>
    <w:rsid w:val="63213CF4"/>
    <w:rsid w:val="633345F0"/>
    <w:rsid w:val="63AC7EFE"/>
    <w:rsid w:val="63B079EF"/>
    <w:rsid w:val="63B86816"/>
    <w:rsid w:val="63C94F54"/>
    <w:rsid w:val="63D86F45"/>
    <w:rsid w:val="63F60FCB"/>
    <w:rsid w:val="6420377A"/>
    <w:rsid w:val="644606A8"/>
    <w:rsid w:val="644F5459"/>
    <w:rsid w:val="6450412D"/>
    <w:rsid w:val="645F0EE1"/>
    <w:rsid w:val="64602371"/>
    <w:rsid w:val="648570CD"/>
    <w:rsid w:val="64961430"/>
    <w:rsid w:val="64994970"/>
    <w:rsid w:val="649E1F3D"/>
    <w:rsid w:val="64B928D3"/>
    <w:rsid w:val="64CA053B"/>
    <w:rsid w:val="64CA0F84"/>
    <w:rsid w:val="64CA31F0"/>
    <w:rsid w:val="64D771FD"/>
    <w:rsid w:val="64D911C7"/>
    <w:rsid w:val="64DA367B"/>
    <w:rsid w:val="64DD4813"/>
    <w:rsid w:val="64E14962"/>
    <w:rsid w:val="64F61D79"/>
    <w:rsid w:val="65241F3A"/>
    <w:rsid w:val="65282833"/>
    <w:rsid w:val="652E26F9"/>
    <w:rsid w:val="65366619"/>
    <w:rsid w:val="65416DD3"/>
    <w:rsid w:val="65727C4B"/>
    <w:rsid w:val="658554FB"/>
    <w:rsid w:val="65883BF7"/>
    <w:rsid w:val="658B6DC7"/>
    <w:rsid w:val="659A0956"/>
    <w:rsid w:val="659E34C7"/>
    <w:rsid w:val="659F7D1B"/>
    <w:rsid w:val="65AA3925"/>
    <w:rsid w:val="65B01973"/>
    <w:rsid w:val="65E676F8"/>
    <w:rsid w:val="660B3602"/>
    <w:rsid w:val="660C6F8D"/>
    <w:rsid w:val="661C4E7D"/>
    <w:rsid w:val="661C75BD"/>
    <w:rsid w:val="662D5327"/>
    <w:rsid w:val="666A04BD"/>
    <w:rsid w:val="667C62AE"/>
    <w:rsid w:val="668F2A3A"/>
    <w:rsid w:val="66903B07"/>
    <w:rsid w:val="669058B5"/>
    <w:rsid w:val="66A23F66"/>
    <w:rsid w:val="66AD4998"/>
    <w:rsid w:val="66B5531C"/>
    <w:rsid w:val="66BA7997"/>
    <w:rsid w:val="66E14363"/>
    <w:rsid w:val="66E16111"/>
    <w:rsid w:val="670A38BA"/>
    <w:rsid w:val="672524A2"/>
    <w:rsid w:val="673301D2"/>
    <w:rsid w:val="6739DF74"/>
    <w:rsid w:val="673B3A73"/>
    <w:rsid w:val="676A395C"/>
    <w:rsid w:val="67713939"/>
    <w:rsid w:val="67CD5013"/>
    <w:rsid w:val="67DD2D7C"/>
    <w:rsid w:val="67DDB618"/>
    <w:rsid w:val="680F19A3"/>
    <w:rsid w:val="684C2884"/>
    <w:rsid w:val="68662D72"/>
    <w:rsid w:val="68A33BCF"/>
    <w:rsid w:val="68AB7651"/>
    <w:rsid w:val="68B61551"/>
    <w:rsid w:val="68D60C2D"/>
    <w:rsid w:val="68D90E35"/>
    <w:rsid w:val="690C1B6B"/>
    <w:rsid w:val="692F585A"/>
    <w:rsid w:val="6931512E"/>
    <w:rsid w:val="69E93C5A"/>
    <w:rsid w:val="69EE74C3"/>
    <w:rsid w:val="69FF3DA6"/>
    <w:rsid w:val="6A0A597F"/>
    <w:rsid w:val="6A250690"/>
    <w:rsid w:val="6A5938E3"/>
    <w:rsid w:val="6A5C267E"/>
    <w:rsid w:val="6A617C95"/>
    <w:rsid w:val="6A8169BA"/>
    <w:rsid w:val="6A9516EC"/>
    <w:rsid w:val="6AA803E7"/>
    <w:rsid w:val="6AAF57D6"/>
    <w:rsid w:val="6AB73D58"/>
    <w:rsid w:val="6AE90161"/>
    <w:rsid w:val="6AEC06A4"/>
    <w:rsid w:val="6B014ED0"/>
    <w:rsid w:val="6B054AC4"/>
    <w:rsid w:val="6B2947D1"/>
    <w:rsid w:val="6B4E7C44"/>
    <w:rsid w:val="6B865960"/>
    <w:rsid w:val="6BA5042F"/>
    <w:rsid w:val="6BAE4B05"/>
    <w:rsid w:val="6BB87D88"/>
    <w:rsid w:val="6BD60F99"/>
    <w:rsid w:val="6BE26BB3"/>
    <w:rsid w:val="6BF30DC0"/>
    <w:rsid w:val="6BF95CAB"/>
    <w:rsid w:val="6BFF0DBE"/>
    <w:rsid w:val="6BFF8A38"/>
    <w:rsid w:val="6C0A54C0"/>
    <w:rsid w:val="6C4B29AA"/>
    <w:rsid w:val="6C507FC1"/>
    <w:rsid w:val="6C702411"/>
    <w:rsid w:val="6C7C2B64"/>
    <w:rsid w:val="6C7F2654"/>
    <w:rsid w:val="6CBD73A9"/>
    <w:rsid w:val="6CE4281D"/>
    <w:rsid w:val="6D0D3798"/>
    <w:rsid w:val="6D360A56"/>
    <w:rsid w:val="6D746AAD"/>
    <w:rsid w:val="6D79369D"/>
    <w:rsid w:val="6D866288"/>
    <w:rsid w:val="6DA47CF5"/>
    <w:rsid w:val="6DA5433C"/>
    <w:rsid w:val="6DC34565"/>
    <w:rsid w:val="6E0A1704"/>
    <w:rsid w:val="6E113780"/>
    <w:rsid w:val="6E11552E"/>
    <w:rsid w:val="6E315BD0"/>
    <w:rsid w:val="6E3631E6"/>
    <w:rsid w:val="6E495542"/>
    <w:rsid w:val="6E510B61"/>
    <w:rsid w:val="6E70494A"/>
    <w:rsid w:val="6E7855AD"/>
    <w:rsid w:val="6E7D42EE"/>
    <w:rsid w:val="6ECD3B4B"/>
    <w:rsid w:val="6ED24CBD"/>
    <w:rsid w:val="6ED26B2E"/>
    <w:rsid w:val="6EF70BC7"/>
    <w:rsid w:val="6F03756C"/>
    <w:rsid w:val="6F062BB9"/>
    <w:rsid w:val="6F0C1D3D"/>
    <w:rsid w:val="6F5558EE"/>
    <w:rsid w:val="6F751AEC"/>
    <w:rsid w:val="6F7B1AEF"/>
    <w:rsid w:val="6F8C57B4"/>
    <w:rsid w:val="6F997ED1"/>
    <w:rsid w:val="6FAA5C3A"/>
    <w:rsid w:val="6FB72105"/>
    <w:rsid w:val="6FBA7D43"/>
    <w:rsid w:val="6FC565D0"/>
    <w:rsid w:val="703025E3"/>
    <w:rsid w:val="703379DD"/>
    <w:rsid w:val="703D260A"/>
    <w:rsid w:val="707216B3"/>
    <w:rsid w:val="708C533F"/>
    <w:rsid w:val="709A7A5C"/>
    <w:rsid w:val="70A64653"/>
    <w:rsid w:val="70B52AE8"/>
    <w:rsid w:val="70B7060E"/>
    <w:rsid w:val="70BC3E77"/>
    <w:rsid w:val="70F3716D"/>
    <w:rsid w:val="70F829D5"/>
    <w:rsid w:val="711A1966"/>
    <w:rsid w:val="711C7DEE"/>
    <w:rsid w:val="712612F0"/>
    <w:rsid w:val="715A543E"/>
    <w:rsid w:val="71A14E1B"/>
    <w:rsid w:val="71A87053"/>
    <w:rsid w:val="71B132B0"/>
    <w:rsid w:val="71BB5EDC"/>
    <w:rsid w:val="71CA611F"/>
    <w:rsid w:val="71CB5851"/>
    <w:rsid w:val="72101EA0"/>
    <w:rsid w:val="7218332F"/>
    <w:rsid w:val="72322114"/>
    <w:rsid w:val="724F1FEB"/>
    <w:rsid w:val="72757DB1"/>
    <w:rsid w:val="72783DCD"/>
    <w:rsid w:val="727E484F"/>
    <w:rsid w:val="728F462D"/>
    <w:rsid w:val="729B22F4"/>
    <w:rsid w:val="729B7F48"/>
    <w:rsid w:val="72AE77EF"/>
    <w:rsid w:val="72B017B9"/>
    <w:rsid w:val="72BB1F0C"/>
    <w:rsid w:val="72D1172F"/>
    <w:rsid w:val="72F316A6"/>
    <w:rsid w:val="72F51BCD"/>
    <w:rsid w:val="72F902EA"/>
    <w:rsid w:val="73020FF3"/>
    <w:rsid w:val="73267CCD"/>
    <w:rsid w:val="73685BF0"/>
    <w:rsid w:val="739048A5"/>
    <w:rsid w:val="73B21B10"/>
    <w:rsid w:val="73B862A1"/>
    <w:rsid w:val="73B93EE5"/>
    <w:rsid w:val="73BC5F3C"/>
    <w:rsid w:val="73E86D31"/>
    <w:rsid w:val="745F28C4"/>
    <w:rsid w:val="747C78F7"/>
    <w:rsid w:val="747F7695"/>
    <w:rsid w:val="7483115A"/>
    <w:rsid w:val="749B0247"/>
    <w:rsid w:val="74AB5D69"/>
    <w:rsid w:val="74CE5F27"/>
    <w:rsid w:val="74DF6386"/>
    <w:rsid w:val="750A2372"/>
    <w:rsid w:val="750E6C6B"/>
    <w:rsid w:val="753D283B"/>
    <w:rsid w:val="75483F2B"/>
    <w:rsid w:val="756E14B8"/>
    <w:rsid w:val="75864A53"/>
    <w:rsid w:val="75CF06D9"/>
    <w:rsid w:val="75D1787A"/>
    <w:rsid w:val="75DF032D"/>
    <w:rsid w:val="75FC2F67"/>
    <w:rsid w:val="760140DA"/>
    <w:rsid w:val="76045978"/>
    <w:rsid w:val="760F4A49"/>
    <w:rsid w:val="76133B2A"/>
    <w:rsid w:val="76530DD9"/>
    <w:rsid w:val="767A350B"/>
    <w:rsid w:val="76A77C3C"/>
    <w:rsid w:val="76EBA4BA"/>
    <w:rsid w:val="77083846"/>
    <w:rsid w:val="775A6197"/>
    <w:rsid w:val="7789082B"/>
    <w:rsid w:val="779A2861"/>
    <w:rsid w:val="77BD0907"/>
    <w:rsid w:val="77DE0B76"/>
    <w:rsid w:val="77F205C7"/>
    <w:rsid w:val="78120820"/>
    <w:rsid w:val="78126A72"/>
    <w:rsid w:val="781400F4"/>
    <w:rsid w:val="78144598"/>
    <w:rsid w:val="783B1B25"/>
    <w:rsid w:val="783E6762"/>
    <w:rsid w:val="785610A2"/>
    <w:rsid w:val="78615304"/>
    <w:rsid w:val="78840C72"/>
    <w:rsid w:val="789B25C4"/>
    <w:rsid w:val="78D76F87"/>
    <w:rsid w:val="78E21FA1"/>
    <w:rsid w:val="78F148D9"/>
    <w:rsid w:val="78F357D1"/>
    <w:rsid w:val="78FF6FF6"/>
    <w:rsid w:val="79226841"/>
    <w:rsid w:val="793F73F3"/>
    <w:rsid w:val="794B223C"/>
    <w:rsid w:val="796B01E8"/>
    <w:rsid w:val="79752E15"/>
    <w:rsid w:val="7999158E"/>
    <w:rsid w:val="79A4194C"/>
    <w:rsid w:val="79C63670"/>
    <w:rsid w:val="79C75A4A"/>
    <w:rsid w:val="79D51B05"/>
    <w:rsid w:val="79F71A7C"/>
    <w:rsid w:val="7A08012D"/>
    <w:rsid w:val="7A0F3269"/>
    <w:rsid w:val="7A1B6D05"/>
    <w:rsid w:val="7A1E0906"/>
    <w:rsid w:val="7A311C76"/>
    <w:rsid w:val="7A41719B"/>
    <w:rsid w:val="7A4912AF"/>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0C77A9"/>
    <w:rsid w:val="7B3D416D"/>
    <w:rsid w:val="7B475882"/>
    <w:rsid w:val="7B735A7A"/>
    <w:rsid w:val="7B7F6999"/>
    <w:rsid w:val="7B8B5094"/>
    <w:rsid w:val="7B8E2477"/>
    <w:rsid w:val="7BB4552D"/>
    <w:rsid w:val="7BB5399C"/>
    <w:rsid w:val="7BBC487D"/>
    <w:rsid w:val="7BF977E4"/>
    <w:rsid w:val="7BFF7A62"/>
    <w:rsid w:val="7C044924"/>
    <w:rsid w:val="7C1D11E6"/>
    <w:rsid w:val="7C233619"/>
    <w:rsid w:val="7C5238E1"/>
    <w:rsid w:val="7C547659"/>
    <w:rsid w:val="7CB63E70"/>
    <w:rsid w:val="7CE7399F"/>
    <w:rsid w:val="7D0F532E"/>
    <w:rsid w:val="7D226E2B"/>
    <w:rsid w:val="7D5176F5"/>
    <w:rsid w:val="7D6452D1"/>
    <w:rsid w:val="7D781125"/>
    <w:rsid w:val="7D8628FA"/>
    <w:rsid w:val="7D943A85"/>
    <w:rsid w:val="7DA41F1A"/>
    <w:rsid w:val="7DA57A41"/>
    <w:rsid w:val="7DAF266D"/>
    <w:rsid w:val="7DB05310"/>
    <w:rsid w:val="7DC77AC8"/>
    <w:rsid w:val="7DE42E8D"/>
    <w:rsid w:val="7DF12C86"/>
    <w:rsid w:val="7E0712F2"/>
    <w:rsid w:val="7E292420"/>
    <w:rsid w:val="7E355268"/>
    <w:rsid w:val="7E546F05"/>
    <w:rsid w:val="7E786F03"/>
    <w:rsid w:val="7E8B1E21"/>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A2248A"/>
    <w:rsid w:val="7FDD39BD"/>
    <w:rsid w:val="7FEBE7FD"/>
    <w:rsid w:val="7FED23FC"/>
    <w:rsid w:val="7FEFA89D"/>
    <w:rsid w:val="7FF627D5"/>
    <w:rsid w:val="975F096E"/>
    <w:rsid w:val="9F76FD37"/>
    <w:rsid w:val="A5DD8F3F"/>
    <w:rsid w:val="A6FB1B55"/>
    <w:rsid w:val="AF70D94F"/>
    <w:rsid w:val="B77B5456"/>
    <w:rsid w:val="B7E60AA1"/>
    <w:rsid w:val="B9EB852B"/>
    <w:rsid w:val="BB879C77"/>
    <w:rsid w:val="C677F239"/>
    <w:rsid w:val="D5FBE7CD"/>
    <w:rsid w:val="DF5FF698"/>
    <w:rsid w:val="EBF54C30"/>
    <w:rsid w:val="FA3F4B89"/>
    <w:rsid w:val="FB6D94D2"/>
    <w:rsid w:val="FBE643B9"/>
    <w:rsid w:val="FD9F7C3E"/>
    <w:rsid w:val="FDDD65CE"/>
    <w:rsid w:val="FF754F1F"/>
    <w:rsid w:val="FF7FFD42"/>
    <w:rsid w:val="FFFEB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firstLineChars="200"/>
    </w:pPr>
    <w:rPr>
      <w:szCs w:val="20"/>
    </w:rPr>
  </w:style>
  <w:style w:type="paragraph" w:styleId="8">
    <w:name w:val="Body Text"/>
    <w:basedOn w:val="1"/>
    <w:next w:val="1"/>
    <w:unhideWhenUsed/>
    <w:qFormat/>
    <w:uiPriority w:val="0"/>
    <w:pPr>
      <w:spacing w:after="120"/>
    </w:pPr>
    <w:rPr>
      <w:sz w:val="24"/>
    </w:rPr>
  </w:style>
  <w:style w:type="paragraph" w:styleId="9">
    <w:name w:val="annotation text"/>
    <w:basedOn w:val="1"/>
    <w:link w:val="43"/>
    <w:unhideWhenUsed/>
    <w:qFormat/>
    <w:uiPriority w:val="0"/>
    <w:pPr>
      <w:jc w:val="left"/>
    </w:pPr>
    <w:rPr>
      <w:kern w:val="0"/>
      <w:sz w:val="20"/>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42"/>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qFormat/>
    <w:uiPriority w:val="0"/>
    <w:pPr>
      <w:spacing w:line="600" w:lineRule="exact"/>
      <w:ind w:firstLine="880" w:firstLineChars="200"/>
    </w:pPr>
    <w:rPr>
      <w:rFonts w:eastAsia="仿宋_GB2312"/>
      <w:sz w:val="32"/>
    </w:rPr>
  </w:style>
  <w:style w:type="paragraph" w:styleId="17">
    <w:name w:val="Body Text 2"/>
    <w:basedOn w:val="1"/>
    <w:qFormat/>
    <w:uiPriority w:val="99"/>
    <w:pPr>
      <w:spacing w:before="240"/>
    </w:pPr>
    <w:rPr>
      <w:rFonts w:ascii="Calibri" w:hAnsi="Calibri"/>
      <w:color w:val="FF0000"/>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annotation subject"/>
    <w:basedOn w:val="9"/>
    <w:next w:val="9"/>
    <w:link w:val="44"/>
    <w:qFormat/>
    <w:uiPriority w:val="0"/>
    <w:rPr>
      <w:b/>
      <w:bCs/>
      <w:kern w:val="2"/>
      <w:sz w:val="21"/>
    </w:rPr>
  </w:style>
  <w:style w:type="paragraph" w:styleId="21">
    <w:name w:val="Body Text First Indent"/>
    <w:basedOn w:val="8"/>
    <w:qFormat/>
    <w:uiPriority w:val="0"/>
    <w:pPr>
      <w:snapToGrid w:val="0"/>
      <w:spacing w:line="560" w:lineRule="exact"/>
      <w:ind w:firstLine="200" w:firstLineChars="200"/>
    </w:pPr>
    <w:rPr>
      <w:rFonts w:ascii="仿宋" w:hAnsi="仿宋" w:cs="仿宋"/>
    </w:rPr>
  </w:style>
  <w:style w:type="paragraph" w:styleId="22">
    <w:name w:val="Body Text First Indent 2"/>
    <w:basedOn w:val="10"/>
    <w:semiHidden/>
    <w:qFormat/>
    <w:uiPriority w:val="0"/>
    <w:pPr>
      <w:ind w:firstLine="420" w:firstLineChars="200"/>
    </w:pPr>
    <w:rPr>
      <w:szCs w:val="24"/>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FollowedHyperlink"/>
    <w:basedOn w:val="25"/>
    <w:qFormat/>
    <w:uiPriority w:val="0"/>
    <w:rPr>
      <w:color w:val="800080"/>
      <w:u w:val="none"/>
    </w:rPr>
  </w:style>
  <w:style w:type="character" w:styleId="29">
    <w:name w:val="Hyperlink"/>
    <w:basedOn w:val="25"/>
    <w:qFormat/>
    <w:uiPriority w:val="0"/>
    <w:rPr>
      <w:color w:val="0000FF"/>
      <w:u w:val="none"/>
    </w:rPr>
  </w:style>
  <w:style w:type="character" w:styleId="30">
    <w:name w:val="annotation reference"/>
    <w:basedOn w:val="25"/>
    <w:qFormat/>
    <w:uiPriority w:val="0"/>
    <w:rPr>
      <w:sz w:val="21"/>
      <w:szCs w:val="21"/>
    </w:rPr>
  </w:style>
  <w:style w:type="paragraph" w:customStyle="1" w:styleId="31">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2">
    <w:name w:val="正文格式"/>
    <w:basedOn w:val="10"/>
    <w:qFormat/>
    <w:uiPriority w:val="99"/>
    <w:pPr>
      <w:spacing w:after="0" w:line="360" w:lineRule="auto"/>
      <w:ind w:left="0" w:leftChars="0" w:firstLine="600"/>
    </w:pPr>
    <w:rPr>
      <w:rFonts w:eastAsia="仿宋_GB2312"/>
      <w:sz w:val="30"/>
      <w:szCs w:val="30"/>
    </w:rPr>
  </w:style>
  <w:style w:type="paragraph" w:styleId="3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5">
    <w:name w:val="List Paragraph"/>
    <w:basedOn w:val="1"/>
    <w:qFormat/>
    <w:uiPriority w:val="34"/>
    <w:pPr>
      <w:ind w:firstLine="420" w:firstLineChars="200"/>
    </w:pPr>
  </w:style>
  <w:style w:type="character" w:customStyle="1" w:styleId="36">
    <w:name w:val="NormalCharacter"/>
    <w:qFormat/>
    <w:uiPriority w:val="0"/>
    <w:rPr>
      <w:kern w:val="2"/>
      <w:sz w:val="21"/>
      <w:szCs w:val="24"/>
      <w:lang w:val="en-US" w:eastAsia="zh-CN" w:bidi="ar-SA"/>
    </w:rPr>
  </w:style>
  <w:style w:type="paragraph" w:customStyle="1" w:styleId="37">
    <w:name w:val="Table Paragraph"/>
    <w:basedOn w:val="1"/>
    <w:qFormat/>
    <w:uiPriority w:val="0"/>
    <w:pPr>
      <w:autoSpaceDE w:val="0"/>
      <w:autoSpaceDN w:val="0"/>
      <w:jc w:val="left"/>
    </w:pPr>
    <w:rPr>
      <w:rFonts w:ascii="宋体" w:hAnsi="宋体" w:cs="宋体"/>
      <w:kern w:val="0"/>
      <w:sz w:val="22"/>
      <w:szCs w:val="22"/>
    </w:rPr>
  </w:style>
  <w:style w:type="paragraph" w:customStyle="1" w:styleId="3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qowt-font5-gb2312"/>
    <w:qFormat/>
    <w:uiPriority w:val="0"/>
  </w:style>
  <w:style w:type="paragraph" w:customStyle="1" w:styleId="40">
    <w:name w:val="msolistparagraph"/>
    <w:basedOn w:val="1"/>
    <w:qFormat/>
    <w:uiPriority w:val="0"/>
    <w:pPr>
      <w:ind w:firstLine="420" w:firstLineChars="200"/>
    </w:p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页眉 字符"/>
    <w:basedOn w:val="25"/>
    <w:link w:val="14"/>
    <w:qFormat/>
    <w:uiPriority w:val="0"/>
    <w:rPr>
      <w:kern w:val="2"/>
      <w:sz w:val="18"/>
      <w:szCs w:val="18"/>
    </w:rPr>
  </w:style>
  <w:style w:type="character" w:customStyle="1" w:styleId="43">
    <w:name w:val="批注文字 字符"/>
    <w:basedOn w:val="25"/>
    <w:link w:val="9"/>
    <w:qFormat/>
    <w:uiPriority w:val="0"/>
    <w:rPr>
      <w:szCs w:val="24"/>
    </w:rPr>
  </w:style>
  <w:style w:type="character" w:customStyle="1" w:styleId="44">
    <w:name w:val="批注主题 字符"/>
    <w:basedOn w:val="43"/>
    <w:link w:val="20"/>
    <w:qFormat/>
    <w:uiPriority w:val="0"/>
    <w:rPr>
      <w:b/>
      <w:bCs/>
      <w:kern w:val="2"/>
      <w:sz w:val="21"/>
      <w:szCs w:val="24"/>
    </w:rPr>
  </w:style>
  <w:style w:type="paragraph" w:customStyle="1" w:styleId="45">
    <w:name w:val="9前海 正文"/>
    <w:basedOn w:val="46"/>
    <w:qFormat/>
    <w:uiPriority w:val="0"/>
    <w:pPr>
      <w:ind w:firstLine="640"/>
    </w:pPr>
    <w:rPr>
      <w:rFonts w:ascii="仿宋_GB2312" w:eastAsia="仿宋_GB2312"/>
    </w:rPr>
  </w:style>
  <w:style w:type="paragraph" w:customStyle="1" w:styleId="46">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7">
    <w:name w:val="列出段落2"/>
    <w:basedOn w:val="1"/>
    <w:qFormat/>
    <w:uiPriority w:val="34"/>
    <w:pPr>
      <w:ind w:firstLine="420" w:firstLineChars="200"/>
    </w:pPr>
  </w:style>
  <w:style w:type="paragraph" w:customStyle="1" w:styleId="48">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49">
    <w:name w:val="No Spacing"/>
    <w:qFormat/>
    <w:uiPriority w:val="1"/>
    <w:pPr>
      <w:adjustRightInd w:val="0"/>
      <w:snapToGrid w:val="0"/>
      <w:jc w:val="center"/>
    </w:pPr>
    <w:rPr>
      <w:rFonts w:ascii="Tahoma" w:hAnsi="Tahoma" w:eastAsia="宋体" w:cstheme="minorBidi"/>
      <w:sz w:val="21"/>
      <w:szCs w:val="22"/>
      <w:lang w:val="en-US" w:eastAsia="zh-CN" w:bidi="ar-SA"/>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18431</Words>
  <Characters>19073</Characters>
  <Lines>1737</Lines>
  <Paragraphs>1594</Paragraphs>
  <TotalTime>16</TotalTime>
  <ScaleCrop>false</ScaleCrop>
  <LinksUpToDate>false</LinksUpToDate>
  <CharactersWithSpaces>19634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2025-02-15T17:50:00Z</dcterms:created>
  <dc:creator>黎俊</dc:creator>
  <cp:lastModifiedBy>黎俊</cp:lastModifiedBy>
  <cp:lastPrinted>2025-09-29T16:37:00Z</cp:lastPrinted>
  <dcterms:modified xsi:type="dcterms:W3CDTF">2026-06-24T08:54:12Z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