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F4B39">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bookmarkStart w:id="0" w:name="_Toc32562"/>
      <w:bookmarkStart w:id="1" w:name="_Toc125127182"/>
      <w:bookmarkStart w:id="2" w:name="_Toc13216"/>
      <w:bookmarkStart w:id="3" w:name="_Toc5810"/>
      <w:r>
        <w:rPr>
          <w:rFonts w:hint="eastAsia" w:ascii="黑体" w:hAnsi="黑体" w:eastAsia="黑体" w:cs="黑体"/>
          <w:color w:val="000000" w:themeColor="text1"/>
          <w:sz w:val="32"/>
          <w:szCs w:val="32"/>
          <w:highlight w:val="none"/>
          <w:lang w:val="en-US" w:eastAsia="zh-CN"/>
          <w14:textFill>
            <w14:solidFill>
              <w14:schemeClr w14:val="tx1"/>
            </w14:solidFill>
          </w14:textFill>
        </w:rPr>
        <w:t>附件</w:t>
      </w:r>
      <w:r>
        <w:rPr>
          <w:rFonts w:hint="default" w:ascii="黑体" w:hAnsi="黑体" w:eastAsia="黑体" w:cs="黑体"/>
          <w:color w:val="000000" w:themeColor="text1"/>
          <w:sz w:val="32"/>
          <w:szCs w:val="32"/>
          <w:highlight w:val="none"/>
          <w:lang w:val="en-US" w:eastAsia="zh-CN"/>
          <w14:textFill>
            <w14:solidFill>
              <w14:schemeClr w14:val="tx1"/>
            </w14:solidFill>
          </w14:textFill>
        </w:rPr>
        <w:t>2</w:t>
      </w:r>
    </w:p>
    <w:p w14:paraId="0C0A08FF">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bookmarkEnd w:id="0"/>
    <w:bookmarkEnd w:id="1"/>
    <w:bookmarkEnd w:id="2"/>
    <w:bookmarkEnd w:id="3"/>
    <w:p w14:paraId="1F291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000000" w:themeColor="text1"/>
          <w:kern w:val="0"/>
          <w:sz w:val="44"/>
          <w:szCs w:val="44"/>
          <w:highlight w:val="none"/>
          <w:lang w:val="en-US" w:eastAsia="zh-CN" w:bidi="ar-SA"/>
          <w14:textFill>
            <w14:solidFill>
              <w14:schemeClr w14:val="tx1"/>
            </w14:solidFill>
          </w14:textFill>
        </w:rPr>
      </w:pP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深圳市2026年中央资金消费新业态新模式新场景试点（支持创新多元化服务消费场景</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单体融合消费场景资助</w:t>
      </w:r>
      <w:r>
        <w:rPr>
          <w:rFonts w:hint="default"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项目</w:t>
      </w:r>
      <w:r>
        <w:rPr>
          <w:rFonts w:hint="eastAsia" w:ascii="方正小标宋简体" w:hAnsi="Times New Roman" w:eastAsia="方正小标宋简体" w:cs="Times New Roman"/>
          <w:color w:val="000000" w:themeColor="text1"/>
          <w:kern w:val="2"/>
          <w:sz w:val="44"/>
          <w:szCs w:val="44"/>
          <w:highlight w:val="none"/>
          <w:lang w:val="en-US" w:eastAsia="zh-CN" w:bidi="ar-SA"/>
          <w14:textFill>
            <w14:solidFill>
              <w14:schemeClr w14:val="tx1"/>
            </w14:solidFill>
          </w14:textFill>
        </w:rPr>
        <w:t>）申报指南</w:t>
      </w:r>
    </w:p>
    <w:p w14:paraId="5B6EEA40">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14:paraId="27DC5428">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000000" w:themeColor="text1"/>
          <w:kern w:val="2"/>
          <w:sz w:val="36"/>
          <w:szCs w:val="36"/>
          <w:highlight w:val="none"/>
          <w:lang w:val="en-US" w:eastAsia="zh-CN" w:bidi="ar-SA"/>
          <w14:textFill>
            <w14:solidFill>
              <w14:schemeClr w14:val="tx1"/>
            </w14:solidFill>
          </w14:textFill>
        </w:rPr>
      </w:pPr>
    </w:p>
    <w:p w14:paraId="2D39519B">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pPr>
      <w:bookmarkStart w:id="4" w:name="_Toc24194"/>
      <w:bookmarkStart w:id="5" w:name="_Toc20798"/>
      <w:r>
        <w:rPr>
          <w:rFonts w:hint="eastAsia" w:ascii="仿宋_GB2312" w:hAnsi="仿宋_GB2312" w:eastAsia="黑体" w:cs="Times New Roman"/>
          <w:b w:val="0"/>
          <w:bCs/>
          <w:color w:val="000000" w:themeColor="text1"/>
          <w:kern w:val="36"/>
          <w:sz w:val="32"/>
          <w:szCs w:val="48"/>
          <w:highlight w:val="none"/>
          <w:lang w:val="en-GB" w:eastAsia="zh-CN" w:bidi="ar-SA"/>
          <w14:textFill>
            <w14:solidFill>
              <w14:schemeClr w14:val="tx1"/>
            </w14:solidFill>
          </w14:textFill>
        </w:rPr>
        <w:t>支持领域</w:t>
      </w:r>
      <w:bookmarkEnd w:id="4"/>
      <w:bookmarkEnd w:id="5"/>
    </w:p>
    <w:p w14:paraId="059FCB4B">
      <w:pPr>
        <w:bidi w:val="0"/>
        <w:spacing w:before="0" w:after="0" w:line="560" w:lineRule="exact"/>
        <w:ind w:firstLine="640"/>
        <w:rPr>
          <w:rFonts w:hint="eastAsia"/>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支持单体店铺开展多元消费场景升级，拓展文化时尚、健康体育、艺术展览、主题社交、休闲娱乐等服务消费功能</w:t>
      </w:r>
      <w:r>
        <w:rPr>
          <w:rFonts w:hint="eastAsia"/>
          <w:color w:val="auto"/>
          <w:highlight w:val="none"/>
          <w:lang w:val="en-US" w:eastAsia="zh-CN"/>
        </w:rPr>
        <w:t>。</w:t>
      </w:r>
    </w:p>
    <w:p w14:paraId="733A6972">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6" w:name="_Toc8852"/>
      <w:bookmarkStart w:id="7" w:name="_Toc1543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设定依据</w:t>
      </w:r>
      <w:bookmarkEnd w:id="6"/>
      <w:bookmarkEnd w:id="7"/>
    </w:p>
    <w:p w14:paraId="3855D78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（一）资金政策依据</w:t>
      </w:r>
    </w:p>
    <w:p w14:paraId="07F5FE37">
      <w:pPr>
        <w:widowControl/>
        <w:bidi w:val="0"/>
        <w:spacing w:before="0" w:after="0" w:line="560" w:lineRule="exact"/>
        <w:ind w:firstLine="640" w:firstLineChars="200"/>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pPr>
      <w:r>
        <w:rPr>
          <w:rFonts w:hint="eastAsia" w:cs="Times New Roman"/>
          <w:color w:val="000000" w:themeColor="text1"/>
          <w:sz w:val="32"/>
          <w:szCs w:val="32"/>
          <w:highlight w:val="none"/>
          <w:lang w:eastAsia="zh-CN"/>
          <w14:textFill>
            <w14:solidFill>
              <w14:schemeClr w14:val="tx1"/>
            </w14:solidFill>
          </w14:textFill>
        </w:rPr>
        <w:t>《财政部 商务部关于开展消费新业态新模式新场景试点工作的通知</w:t>
      </w:r>
      <w:r>
        <w:rPr>
          <w:rFonts w:hint="eastAsia" w:cs="Times New Roman"/>
          <w:color w:val="000000" w:themeColor="text1"/>
          <w:sz w:val="32"/>
          <w:szCs w:val="32"/>
          <w:highlight w:val="none"/>
          <w:lang w:val="en-US" w:eastAsia="zh-CN"/>
          <w14:textFill>
            <w14:solidFill>
              <w14:schemeClr w14:val="tx1"/>
            </w14:solidFill>
          </w14:textFill>
        </w:rPr>
        <w:t>财建〔2025〕341号</w:t>
      </w:r>
      <w:r>
        <w:rPr>
          <w:rFonts w:hint="eastAsia" w:cs="Times New Roman"/>
          <w:color w:val="000000" w:themeColor="text1"/>
          <w:sz w:val="32"/>
          <w:szCs w:val="32"/>
          <w:highlight w:val="none"/>
          <w:lang w:eastAsia="zh-CN"/>
          <w14:textFill>
            <w14:solidFill>
              <w14:schemeClr w14:val="tx1"/>
            </w14:solidFill>
          </w14:textFill>
        </w:rPr>
        <w:t>》</w:t>
      </w:r>
    </w:p>
    <w:p w14:paraId="0485A0D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（二）资金管理依据</w:t>
      </w:r>
    </w:p>
    <w:p w14:paraId="75CB1487">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eastAsia="仿宋_GB2312"/>
          <w:color w:val="000000" w:themeColor="text1"/>
          <w:highlight w:val="none"/>
          <w:lang w:val="en-US" w:eastAsia="zh-CN"/>
          <w14:textFill>
            <w14:solidFill>
              <w14:schemeClr w14:val="tx1"/>
            </w14:solidFill>
          </w14:textFill>
        </w:rPr>
        <w:t>《深圳市消费新业态新模式新场景试点城市建设资金管理办法》</w:t>
      </w:r>
    </w:p>
    <w:p w14:paraId="36D1AC7F">
      <w:pPr>
        <w:bidi w:val="0"/>
        <w:rPr>
          <w:rFonts w:hint="eastAsia"/>
          <w:color w:val="000000" w:themeColor="text1"/>
          <w:highlight w:val="none"/>
          <w:u w:val="singl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14:paraId="67FC8D3E">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8" w:name="_Toc21755"/>
      <w:bookmarkStart w:id="9" w:name="_Toc18411"/>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支持数量和支持方式</w:t>
      </w:r>
      <w:bookmarkEnd w:id="8"/>
      <w:bookmarkEnd w:id="9"/>
    </w:p>
    <w:p w14:paraId="4F78C468">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（一）支持数量</w:t>
      </w:r>
    </w:p>
    <w:p w14:paraId="7D7B21C4">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有数量限制，受财政下达年度资金预算控制，视申报情况，我局据以对</w:t>
      </w:r>
      <w:r>
        <w:rPr>
          <w:rFonts w:hint="eastAsia"/>
          <w:color w:val="000000" w:themeColor="text1"/>
          <w:highlight w:val="none"/>
          <w:lang w:val="en-US" w:eastAsia="zh-CN"/>
          <w14:textFill>
            <w14:solidFill>
              <w14:schemeClr w14:val="tx1"/>
            </w14:solidFill>
          </w14:textFill>
        </w:rPr>
        <w:t>资助</w:t>
      </w:r>
      <w:r>
        <w:rPr>
          <w:rFonts w:hint="eastAsia" w:ascii="仿宋_GB2312" w:eastAsia="仿宋_GB2312"/>
          <w:color w:val="000000" w:themeColor="text1"/>
          <w:highlight w:val="none"/>
          <w:lang w:val="en-US" w:eastAsia="zh-CN"/>
          <w14:textFill>
            <w14:solidFill>
              <w14:schemeClr w14:val="tx1"/>
            </w14:solidFill>
          </w14:textFill>
        </w:rPr>
        <w:t>金额和拨付进度等进行统一调整，申报单位应无条件同意调整结果。</w:t>
      </w:r>
    </w:p>
    <w:p w14:paraId="2B2FD972">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（二）支持方式</w:t>
      </w:r>
    </w:p>
    <w:p w14:paraId="68FFCAC1">
      <w:pPr>
        <w:bidi w:val="0"/>
        <w:rPr>
          <w:rFonts w:hint="eastAsia"/>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事后资助，自愿申报。</w:t>
      </w:r>
    </w:p>
    <w:p w14:paraId="0A7DCF11">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0" w:name="_Toc431"/>
      <w:bookmarkStart w:id="11" w:name="_Toc15307"/>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申报条件</w:t>
      </w:r>
      <w:bookmarkEnd w:id="10"/>
      <w:bookmarkEnd w:id="11"/>
    </w:p>
    <w:p w14:paraId="500398C3">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（一）基础条件</w:t>
      </w:r>
    </w:p>
    <w:p w14:paraId="4274E4F5">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1.申报单位为在深圳市实际从事经营活动的企业、事业单位。</w:t>
      </w:r>
    </w:p>
    <w:p w14:paraId="30618F7D">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2.申报单位应为消费新业态新模式新场景试点项目（即申报项目）的实际建设或运营主体，项目所在地应在深圳市（含深汕特别合作区，下同）。</w:t>
      </w:r>
    </w:p>
    <w:p w14:paraId="375C451C">
      <w:pPr>
        <w:keepNext/>
        <w:keepLines/>
        <w:widowControl w:val="0"/>
        <w:bidi w:val="0"/>
        <w:spacing w:before="0" w:after="0" w:line="560" w:lineRule="exact"/>
        <w:ind w:firstLine="640" w:firstLineChars="200"/>
        <w:jc w:val="both"/>
        <w:outlineLvl w:val="1"/>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3.申报单位未被国家、省、市有关部门列入严重失信主体名单实施失信惩戒，未被明确限制申请财政性资金项目且在限制期内；未拖欠应缴还的财政性资金。</w:t>
      </w:r>
    </w:p>
    <w:p w14:paraId="1CB3CB18">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4</w:t>
      </w:r>
      <w:r>
        <w:rPr>
          <w:rFonts w:hint="eastAsia"/>
          <w:color w:val="000000" w:themeColor="text1"/>
          <w:highlight w:val="none"/>
          <w:lang w:val="en-US" w:eastAsia="zh-CN"/>
          <w14:textFill>
            <w14:solidFill>
              <w14:schemeClr w14:val="tx1"/>
            </w14:solidFill>
          </w14:textFill>
        </w:rPr>
        <w:t>.申报单位应保证资金真实申报、合规使用和有效管理；应对申报材料的真实性、合法性、完整性负责，应如实提供本单位信用状况，承担违约责任并作出承诺，不得弄虚作假、套取、骗取财政资金。</w:t>
      </w:r>
    </w:p>
    <w:p w14:paraId="11CBA96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14:paraId="49A8DDE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6.申报单位不存在将本属于同一性质内涵与建设内容的资助项目刻意分拆成两个项目的情形。同一项目不得重复申请多个支持</w:t>
      </w:r>
      <w:r>
        <w:rPr>
          <w:rFonts w:hint="default"/>
          <w:color w:val="000000" w:themeColor="text1"/>
          <w:highlight w:val="none"/>
          <w:lang w:eastAsia="zh-CN"/>
          <w14:textFill>
            <w14:solidFill>
              <w14:schemeClr w14:val="tx1"/>
            </w14:solidFill>
          </w14:textFill>
        </w:rPr>
        <w:t>内容</w:t>
      </w:r>
      <w:r>
        <w:rPr>
          <w:rFonts w:hint="eastAsia"/>
          <w:color w:val="000000" w:themeColor="text1"/>
          <w:highlight w:val="none"/>
          <w:lang w:val="en-US" w:eastAsia="zh-CN"/>
          <w14:textFill>
            <w14:solidFill>
              <w14:schemeClr w14:val="tx1"/>
            </w14:solidFill>
          </w14:textFill>
        </w:rPr>
        <w:t>。</w:t>
      </w:r>
    </w:p>
    <w:p w14:paraId="038A768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7.申报单位须配合开展消费新业态新模式新场景试点工作，报送工作进展及相关数据。</w:t>
      </w:r>
    </w:p>
    <w:p w14:paraId="56182965">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8.项目资助金额不得超过项目实际有效总投入的50%，同一项目中央、省、市、区资助合计不超过项目实际投入。</w:t>
      </w:r>
    </w:p>
    <w:p w14:paraId="1D6E326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9.申报项目管理机制健全，绩效目标清晰、合理、可考核，预期成效显著。</w:t>
      </w:r>
    </w:p>
    <w:p w14:paraId="218D0183">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 w:cstheme="majorBidi"/>
          <w:bCs/>
          <w:color w:val="000000" w:themeColor="text1"/>
          <w:kern w:val="2"/>
          <w:sz w:val="32"/>
          <w:szCs w:val="32"/>
          <w:highlight w:val="none"/>
          <w:lang w:val="en-US" w:eastAsia="zh-CN" w:bidi="ar-SA"/>
          <w14:textFill>
            <w14:solidFill>
              <w14:schemeClr w14:val="tx1"/>
            </w14:solidFill>
          </w14:textFill>
        </w:rPr>
        <w:t>（二）专项条件</w:t>
      </w:r>
    </w:p>
    <w:p w14:paraId="1E1D370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申报项目须同时满足以下条件：</w:t>
      </w:r>
    </w:p>
    <w:p w14:paraId="4643F6D4">
      <w:pPr>
        <w:keepNext w:val="0"/>
        <w:keepLines w:val="0"/>
        <w:pageBreakBefore w:val="0"/>
        <w:widowControl w:val="0"/>
        <w:kinsoku/>
        <w:wordWrap/>
        <w:overflowPunct/>
        <w:topLinePunct w:val="0"/>
        <w:autoSpaceDE/>
        <w:autoSpaceDN/>
        <w:bidi w:val="0"/>
        <w:adjustRightInd/>
        <w:snapToGrid/>
        <w:spacing w:before="0" w:after="0"/>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1.申报项目应有固定经营场所且店铺经营面积达100㎡以上。</w:t>
      </w:r>
    </w:p>
    <w:p w14:paraId="516EDF12">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2.申报项目须通过业态、功能或内容的实质性创新融合，在同一物理空间内实现常态化运营的文化时尚、健康体育、艺术展览、主题社交、休闲娱乐等2类以上服务消费功能融合。</w:t>
      </w:r>
    </w:p>
    <w:p w14:paraId="55C581A8">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3.项目实际有效投入金额不低于100万元。（2025年9月30日后项目开展以来）</w:t>
      </w:r>
    </w:p>
    <w:p w14:paraId="669D7F40">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4.月均提供服务次数不低于1000次。（统计周期为2025年9月30日至申报受理前一个月月末；月均值按该期间实际运营数据计算，不足一个月的部分，按日均值折算为月均值。）</w:t>
      </w:r>
    </w:p>
    <w:p w14:paraId="22AEB3CE">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5.不属于仅通过相邻或楼上独立空间简单组合、店内增设简单装饰性陈列、或短期临时性活动实现功能拓展。</w:t>
      </w:r>
    </w:p>
    <w:p w14:paraId="66096EE8">
      <w:pPr>
        <w:pStyle w:val="29"/>
        <w:bidi w:val="0"/>
        <w:spacing w:line="560" w:lineRule="exact"/>
        <w:ind w:firstLine="640" w:firstLineChars="200"/>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pPr>
      <w:r>
        <w:rPr>
          <w:rStyle w:val="19"/>
          <w:rFonts w:hint="eastAsia" w:ascii="仿宋_GB2312" w:hAnsi="仿宋_GB2312" w:eastAsia="仿宋_GB2312" w:cs="仿宋"/>
          <w:color w:val="000000" w:themeColor="text1"/>
          <w:sz w:val="32"/>
          <w:szCs w:val="22"/>
          <w:highlight w:val="none"/>
          <w:lang w:eastAsia="zh-CN"/>
          <w14:textFill>
            <w14:solidFill>
              <w14:schemeClr w14:val="tx1"/>
            </w14:solidFill>
          </w14:textFill>
        </w:rPr>
        <w:t>项目支持时间范围为</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2025年9月30日至2027年6月30日，所支持投入部分应在上述时间内。</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原则上限于支持市场化商业化项目，不支持免费的纯公益项目，</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不支持事业单位信息系统建设维护、养老院和病房建设等与支持方向无关的领域。</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支持内容不包括新建、扩建</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商业综合体，以及</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各类古镇、纪念馆、博物馆等设施，不包括</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办公场所及必须的公共服务基础设施建设</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，不包括</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为了满足最基本经营条件、消防验收等需求，基础水电改造、防水处理、消防改造及设施购置等一般性装修项目</w:t>
      </w:r>
      <w:r>
        <w:rPr>
          <w:rStyle w:val="19"/>
          <w:rFonts w:hint="eastAsia" w:ascii="仿宋_GB2312" w:hAnsi="仿宋_GB2312" w:eastAsia="仿宋_GB2312" w:cs="仿宋"/>
          <w:bCs w:val="0"/>
          <w:color w:val="000000" w:themeColor="text1"/>
          <w:kern w:val="2"/>
          <w:sz w:val="32"/>
          <w:szCs w:val="22"/>
          <w:highlight w:val="none"/>
          <w:lang w:eastAsia="zh-CN"/>
          <w14:textFill>
            <w14:solidFill>
              <w14:schemeClr w14:val="tx1"/>
            </w14:solidFill>
          </w14:textFill>
        </w:rPr>
        <w:t>。不支持党政机关主办、承办或承担部分活动费用的展会、节庆、论坛活动。</w:t>
      </w:r>
      <w:r>
        <w:rPr>
          <w:rStyle w:val="19"/>
          <w:rFonts w:hint="eastAsia" w:ascii="仿宋_GB2312" w:hAnsi="仿宋_GB2312" w:eastAsia="仿宋_GB2312" w:cs="仿宋"/>
          <w:color w:val="000000" w:themeColor="text1"/>
          <w:sz w:val="32"/>
          <w:szCs w:val="22"/>
          <w:highlight w:val="none"/>
          <w:lang w:val="en-US" w:eastAsia="zh-CN"/>
          <w14:textFill>
            <w14:solidFill>
              <w14:schemeClr w14:val="tx1"/>
            </w14:solidFill>
          </w14:textFill>
        </w:rPr>
        <w:t>不支持仅通过相邻或楼上独立空间简单组合、在店内增设简单装饰性陈列、或通过短期临时性活动实现功能拓展的项目。</w:t>
      </w:r>
    </w:p>
    <w:p w14:paraId="32459B56">
      <w:pPr>
        <w:keepNext w:val="0"/>
        <w:keepLines w:val="0"/>
        <w:pageBreakBefore w:val="0"/>
        <w:widowControl w:val="0"/>
        <w:kinsoku/>
        <w:wordWrap/>
        <w:overflowPunct/>
        <w:topLinePunct w:val="0"/>
        <w:autoSpaceDE/>
        <w:autoSpaceDN/>
        <w:bidi w:val="0"/>
        <w:adjustRightInd/>
        <w:snapToGrid/>
        <w:spacing w:before="0" w:after="0"/>
        <w:textAlignment w:val="auto"/>
        <w:rPr>
          <w:rFonts w:hint="eastAsia"/>
          <w:color w:val="000000" w:themeColor="text1"/>
          <w:highlight w:val="none"/>
          <w:lang w:val="en-US" w:eastAsia="zh-CN"/>
          <w14:textFill>
            <w14:solidFill>
              <w14:schemeClr w14:val="tx1"/>
            </w14:solidFill>
          </w14:textFill>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以及无消费内容的项目。</w:t>
      </w:r>
    </w:p>
    <w:p w14:paraId="08034E5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pPr>
      <w:bookmarkStart w:id="12" w:name="_Toc31102"/>
      <w:bookmarkStart w:id="13" w:name="_Toc7095"/>
      <w:r>
        <w:rPr>
          <w:rFonts w:hint="eastAsia" w:ascii="仿宋_GB2312" w:hAnsi="仿宋_GB2312" w:eastAsia="黑体" w:cs="Times New Roman"/>
          <w:b w:val="0"/>
          <w:bCs/>
          <w:color w:val="000000" w:themeColor="text1"/>
          <w:kern w:val="36"/>
          <w:sz w:val="32"/>
          <w:szCs w:val="48"/>
          <w:highlight w:val="none"/>
          <w:lang w:val="en-US" w:eastAsia="zh-CN" w:bidi="ar-SA"/>
          <w14:textFill>
            <w14:solidFill>
              <w14:schemeClr w14:val="tx1"/>
            </w14:solidFill>
          </w14:textFill>
        </w:rPr>
        <w:t>支持标准</w:t>
      </w:r>
      <w:bookmarkEnd w:id="12"/>
      <w:bookmarkEnd w:id="13"/>
    </w:p>
    <w:p w14:paraId="2AB8EBC8">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对符合条件的项目，按</w:t>
      </w:r>
      <w:r>
        <w:rPr>
          <w:rFonts w:hint="eastAsia"/>
          <w:color w:val="000000" w:themeColor="text1"/>
          <w:highlight w:val="none"/>
          <w:lang w:val="en-US" w:eastAsia="zh-CN"/>
          <w14:textFill>
            <w14:solidFill>
              <w14:schemeClr w14:val="tx1"/>
            </w14:solidFill>
          </w14:textFill>
        </w:rPr>
        <w:t>项目</w:t>
      </w:r>
      <w:r>
        <w:rPr>
          <w:rFonts w:hint="eastAsia" w:ascii="仿宋_GB2312" w:eastAsia="仿宋_GB2312"/>
          <w:color w:val="000000" w:themeColor="text1"/>
          <w:highlight w:val="none"/>
          <w:lang w:val="en-US" w:eastAsia="zh-CN"/>
          <w14:textFill>
            <w14:solidFill>
              <w14:schemeClr w14:val="tx1"/>
            </w14:solidFill>
          </w14:textFill>
        </w:rPr>
        <w:t>相关实际</w:t>
      </w:r>
      <w:r>
        <w:rPr>
          <w:rFonts w:hint="eastAsia"/>
          <w:color w:val="000000" w:themeColor="text1"/>
          <w:highlight w:val="none"/>
          <w:lang w:val="en-US" w:eastAsia="zh-CN"/>
          <w14:textFill>
            <w14:solidFill>
              <w14:schemeClr w14:val="tx1"/>
            </w14:solidFill>
          </w14:textFill>
        </w:rPr>
        <w:t>有效</w:t>
      </w:r>
      <w:r>
        <w:rPr>
          <w:rFonts w:hint="eastAsia" w:ascii="仿宋_GB2312" w:eastAsia="仿宋_GB2312"/>
          <w:color w:val="000000" w:themeColor="text1"/>
          <w:highlight w:val="none"/>
          <w:lang w:val="en-US" w:eastAsia="zh-CN"/>
          <w14:textFill>
            <w14:solidFill>
              <w14:schemeClr w14:val="tx1"/>
            </w14:solidFill>
          </w14:textFill>
        </w:rPr>
        <w:t>投入</w:t>
      </w:r>
      <w:r>
        <w:rPr>
          <w:rFonts w:hint="eastAsia"/>
          <w:color w:val="000000" w:themeColor="text1"/>
          <w:highlight w:val="none"/>
          <w:lang w:val="en-US" w:eastAsia="zh-CN"/>
          <w14:textFill>
            <w14:solidFill>
              <w14:schemeClr w14:val="tx1"/>
            </w14:solidFill>
          </w14:textFill>
        </w:rPr>
        <w:t>的</w:t>
      </w:r>
      <w:r>
        <w:rPr>
          <w:rFonts w:hint="eastAsia" w:ascii="仿宋_GB2312" w:eastAsia="仿宋_GB2312"/>
          <w:color w:val="000000" w:themeColor="text1"/>
          <w:highlight w:val="none"/>
          <w:lang w:val="en-US" w:eastAsia="zh-CN"/>
          <w14:textFill>
            <w14:solidFill>
              <w14:schemeClr w14:val="tx1"/>
            </w14:solidFill>
          </w14:textFill>
        </w:rPr>
        <w:t>20%给予资助，试点期间最高不超过100万元。</w:t>
      </w:r>
    </w:p>
    <w:p w14:paraId="6D9CA396">
      <w:pPr>
        <w:bidi w:val="0"/>
        <w:rPr>
          <w:rFonts w:hint="eastAsia" w:ascii="仿宋_GB2312" w:eastAsia="仿宋_GB2312"/>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w:t>
      </w:r>
      <w:r>
        <w:rPr>
          <w:rFonts w:hint="eastAsia"/>
          <w:color w:val="000000" w:themeColor="text1"/>
          <w:highlight w:val="none"/>
          <w:lang w:val="en-US" w:eastAsia="zh-CN"/>
          <w14:textFill>
            <w14:solidFill>
              <w14:schemeClr w14:val="tx1"/>
            </w14:solidFill>
          </w14:textFill>
        </w:rPr>
        <w:t>打造单体融合场景已完成或阶段性完成部分相关投入，不包含各级财政投资部分，以及第四点第（二）条专项条件中明确不予支持部分。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14:paraId="16D90C01">
      <w:pPr>
        <w:pStyle w:val="29"/>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14" w:name="_Toc7147"/>
      <w:bookmarkStart w:id="15" w:name="_Toc27028"/>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六、申报材料</w:t>
      </w:r>
      <w:bookmarkEnd w:id="14"/>
      <w:bookmarkEnd w:id="15"/>
    </w:p>
    <w:p w14:paraId="351B562F">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14:paraId="2825647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于线上填写并提交《项目申报书》，网址：https://www.gdzwfw.gov.cn/（广东政务服务网），搜索“深圳市消费新业态新模式新场景试点项目（支持创新多元化服务消费场景—单体融合消费场景资助项目）”——选择深圳市-南山区后，按照相关事项提示流程和要求进行线上申报（特别提醒该事项办理需申报主体以法人账号登录提交，不接受个人账号提交），并按办理指南提交相关材料（包括并不限于）如下：</w:t>
      </w:r>
    </w:p>
    <w:p w14:paraId="515124FB">
      <w:pPr>
        <w:bidi w:val="0"/>
        <w:rPr>
          <w:rFonts w:hint="eastAsia"/>
          <w:highlight w:val="none"/>
          <w:lang w:val="en-US" w:eastAsia="zh-CN"/>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w:t>
      </w:r>
      <w:r>
        <w:rPr>
          <w:rFonts w:hint="eastAsia"/>
          <w:color w:val="auto"/>
          <w:highlight w:val="none"/>
          <w:lang w:val="en-US" w:eastAsia="zh-CN"/>
        </w:rPr>
        <w:t>（温馨提示：材料要求齐备，缺漏无法受理，请务必认真研读相关指南，切实准备资料，确认符合申请条件和材料齐备后再行提交，避免资料补缺导致办理时间过长或条件不符合退回）</w:t>
      </w:r>
      <w:r>
        <w:rPr>
          <w:rFonts w:hint="default"/>
          <w:highlight w:val="none"/>
        </w:rPr>
        <w:t>，初审通过后提供申请书纸质文件原件</w:t>
      </w:r>
      <w:r>
        <w:rPr>
          <w:rFonts w:hint="eastAsia"/>
          <w:highlight w:val="none"/>
          <w:lang w:eastAsia="zh-CN"/>
        </w:rPr>
        <w:t>，并按照</w:t>
      </w:r>
      <w:r>
        <w:rPr>
          <w:rFonts w:hint="default"/>
          <w:highlight w:val="none"/>
        </w:rPr>
        <w:t>本指南第六条要求的项目申报材料</w:t>
      </w:r>
      <w:r>
        <w:rPr>
          <w:rFonts w:hint="eastAsia"/>
          <w:highlight w:val="none"/>
          <w:lang w:eastAsia="zh-CN"/>
        </w:rPr>
        <w:t>（一式四份）</w:t>
      </w:r>
      <w:r>
        <w:rPr>
          <w:rFonts w:hint="default"/>
          <w:highlight w:val="none"/>
        </w:rPr>
        <w:t>一并线下或通过邮寄方式</w:t>
      </w:r>
      <w:r>
        <w:rPr>
          <w:rFonts w:hint="default"/>
          <w:highlight w:val="none"/>
          <w:lang w:val="en-US"/>
        </w:rPr>
        <w:t>将材料递交至政务服务大厅</w:t>
      </w:r>
      <w:r>
        <w:rPr>
          <w:rFonts w:hint="default"/>
          <w:highlight w:val="none"/>
        </w:rPr>
        <w:t>，线下受理地址</w:t>
      </w:r>
      <w:r>
        <w:rPr>
          <w:rFonts w:hint="default"/>
          <w:highlight w:val="none"/>
          <w:lang w:val="en-US"/>
        </w:rPr>
        <w:t>可通过</w:t>
      </w:r>
      <w:r>
        <w:rPr>
          <w:rFonts w:hint="default"/>
          <w:highlight w:val="none"/>
        </w:rPr>
        <w:t>线上申报系统申请页面查询</w:t>
      </w:r>
      <w:r>
        <w:rPr>
          <w:rFonts w:hint="default"/>
          <w:highlight w:val="none"/>
          <w:lang w:val="en-US"/>
        </w:rPr>
        <w:t>，</w:t>
      </w:r>
      <w:r>
        <w:rPr>
          <w:rFonts w:hint="eastAsia"/>
          <w:highlight w:val="none"/>
          <w:lang w:val="en-US" w:eastAsia="zh-CN"/>
        </w:rPr>
        <w:t>或见本指南第八条（三）受理地址。</w:t>
      </w:r>
    </w:p>
    <w:p w14:paraId="2DCBF5E7">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2.申报单位营业执照或统一社会信用代码证书复印件</w:t>
      </w:r>
      <w:r>
        <w:rPr>
          <w:rFonts w:hint="eastAsia"/>
          <w:color w:val="000000" w:themeColor="text1"/>
          <w:highlight w:val="none"/>
          <w:lang w:val="en-US" w:eastAsia="zh-CN"/>
          <w14:textFill>
            <w14:solidFill>
              <w14:schemeClr w14:val="tx1"/>
            </w14:solidFill>
          </w14:textFill>
        </w:rPr>
        <w:t>。</w:t>
      </w:r>
    </w:p>
    <w:p w14:paraId="51224960">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3.单位信用报告</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“信用中国”查询截图、国家企业信用信息公示系统下载的企业信用报告</w:t>
      </w:r>
      <w:r>
        <w:rPr>
          <w:rFonts w:hint="eastAsia"/>
          <w:color w:val="000000" w:themeColor="text1"/>
          <w:highlight w:val="none"/>
          <w:lang w:val="en-US" w:eastAsia="zh-CN"/>
          <w14:textFill>
            <w14:solidFill>
              <w14:schemeClr w14:val="tx1"/>
            </w14:solidFill>
          </w14:textFill>
        </w:rPr>
        <w:t>。</w:t>
      </w:r>
    </w:p>
    <w:p w14:paraId="5A055152">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（二）专项材料清单</w:t>
      </w:r>
    </w:p>
    <w:p w14:paraId="7E1C6051">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1.各申报单位应按照下表要求完整提交对应佐证材料：</w:t>
      </w:r>
    </w:p>
    <w:tbl>
      <w:tblPr>
        <w:tblStyle w:val="18"/>
        <w:tblW w:w="9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0"/>
        <w:gridCol w:w="3490"/>
        <w:gridCol w:w="3604"/>
      </w:tblGrid>
      <w:tr w14:paraId="08EA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78418">
            <w:pPr>
              <w:keepNext w:val="0"/>
              <w:keepLines w:val="0"/>
              <w:widowControl/>
              <w:suppressLineNumbers w:val="0"/>
              <w:bidi w:val="0"/>
              <w:snapToGrid w:val="0"/>
              <w:spacing w:line="560" w:lineRule="exact"/>
              <w:ind w:left="0" w:leftChars="0" w:right="0" w:rightChars="0" w:firstLine="0" w:firstLineChars="0"/>
              <w:jc w:val="center"/>
              <w:textAlignment w:val="center"/>
              <w:rPr>
                <w:rFonts w:ascii="仿宋_GB2312" w:hAnsi="宋体" w:eastAsia="仿宋_GB2312" w:cs="仿宋_GB2312"/>
                <w:b/>
                <w:bCs/>
                <w:i w:val="0"/>
                <w:iCs w:val="0"/>
                <w:color w:val="0F1115"/>
                <w:sz w:val="28"/>
                <w:szCs w:val="28"/>
                <w:highlight w:val="none"/>
                <w:u w:val="none"/>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类型</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8B99C">
            <w:pPr>
              <w:keepNext w:val="0"/>
              <w:keepLines w:val="0"/>
              <w:widowControl/>
              <w:suppressLineNumbers w:val="0"/>
              <w:bidi w:val="0"/>
              <w:snapToGrid w:val="0"/>
              <w:spacing w:line="560" w:lineRule="exact"/>
              <w:ind w:left="0" w:leftChars="0" w:right="0" w:rightChars="0" w:firstLine="0" w:firstLineChars="0"/>
              <w:jc w:val="center"/>
              <w:textAlignment w:val="center"/>
              <w:rPr>
                <w:rFonts w:hint="eastAsia" w:ascii="仿宋_GB2312" w:hAnsi="宋体" w:eastAsia="仿宋_GB2312" w:cs="仿宋_GB2312"/>
                <w:b/>
                <w:bCs/>
                <w:i w:val="0"/>
                <w:iCs w:val="0"/>
                <w:color w:val="0F1115"/>
                <w:sz w:val="28"/>
                <w:szCs w:val="28"/>
                <w:highlight w:val="none"/>
                <w:u w:val="none"/>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具体要求</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2FFB9">
            <w:pPr>
              <w:keepNext w:val="0"/>
              <w:keepLines w:val="0"/>
              <w:widowControl/>
              <w:suppressLineNumbers w:val="0"/>
              <w:bidi w:val="0"/>
              <w:snapToGrid w:val="0"/>
              <w:spacing w:line="560" w:lineRule="exact"/>
              <w:ind w:left="0" w:leftChars="0" w:right="0" w:rightChars="0" w:firstLine="0" w:firstLineChars="0"/>
              <w:jc w:val="center"/>
              <w:textAlignment w:val="center"/>
              <w:rPr>
                <w:rFonts w:hint="default" w:ascii="仿宋_GB2312" w:hAnsi="宋体" w:eastAsia="仿宋_GB2312" w:cs="仿宋_GB2312"/>
                <w:b/>
                <w:bCs/>
                <w:i w:val="0"/>
                <w:iCs w:val="0"/>
                <w:color w:val="0F1115"/>
                <w:sz w:val="28"/>
                <w:szCs w:val="28"/>
                <w:highlight w:val="none"/>
                <w:u w:val="none"/>
                <w:lang w:val="en-US"/>
              </w:rPr>
            </w:pPr>
            <w:r>
              <w:rPr>
                <w:rFonts w:hint="eastAsia" w:ascii="仿宋_GB2312" w:hAnsi="宋体" w:eastAsia="仿宋_GB2312" w:cs="仿宋_GB2312"/>
                <w:b/>
                <w:bCs/>
                <w:i w:val="0"/>
                <w:iCs w:val="0"/>
                <w:color w:val="000000" w:themeColor="text1"/>
                <w:kern w:val="0"/>
                <w:sz w:val="28"/>
                <w:szCs w:val="28"/>
                <w:highlight w:val="none"/>
                <w:u w:val="none"/>
                <w:lang w:val="en-US" w:eastAsia="zh-CN" w:bidi="ar"/>
                <w14:textFill>
                  <w14:solidFill>
                    <w14:schemeClr w14:val="tx1"/>
                  </w14:solidFill>
                </w14:textFill>
              </w:rPr>
              <w:t>佐证材料</w:t>
            </w:r>
            <w:r>
              <w:rPr>
                <w:rFonts w:hint="eastAsia" w:hAnsi="宋体" w:cs="仿宋_GB2312"/>
                <w:b/>
                <w:bCs/>
                <w:i w:val="0"/>
                <w:iCs w:val="0"/>
                <w:color w:val="000000" w:themeColor="text1"/>
                <w:kern w:val="0"/>
                <w:sz w:val="28"/>
                <w:szCs w:val="28"/>
                <w:highlight w:val="none"/>
                <w:u w:val="none"/>
                <w:lang w:val="en-US" w:eastAsia="zh-CN" w:bidi="ar"/>
                <w14:textFill>
                  <w14:solidFill>
                    <w14:schemeClr w14:val="tx1"/>
                  </w14:solidFill>
                </w14:textFill>
              </w:rPr>
              <w:t>参考</w:t>
            </w:r>
          </w:p>
        </w:tc>
      </w:tr>
      <w:tr w14:paraId="0287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858CB">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实体经营场所</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DF020">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拥有固定经营场所</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6F73">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F1115"/>
                <w:sz w:val="28"/>
                <w:szCs w:val="28"/>
                <w:highlight w:val="none"/>
                <w:u w:val="none"/>
                <w:lang w:val="en-US"/>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不动产权证书</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场地租赁合同</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r w14:paraId="0F6D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7ABC">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经营面积</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AED27">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经营面积100㎡以上</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0CC42">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营业执照</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载明面积的租赁合同</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不动产权证书</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r w14:paraId="3662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91E49">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业态融合</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成果</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16C9">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通过业态、功能或内容的实质性创新融合，在同一物理空间内实现常态化运营的文化时尚、健康体育、艺术展览、主题社交、休闲娱乐等2类以上服务消费功能融合</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FE67">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业态融合</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成果</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、各功能区域现场照片/效果图、</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可消费内容等佐证材料</w:t>
            </w:r>
          </w:p>
        </w:tc>
      </w:tr>
      <w:tr w14:paraId="559B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00EFF">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服务次数</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FDA0E">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月均提供服务次数不低于1000次</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DD9E">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服务订单记录、核销记录、预约系统数据、会员服务记录等</w:t>
            </w:r>
          </w:p>
        </w:tc>
      </w:tr>
      <w:tr w14:paraId="08B7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B94FD">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投入与成效</w:t>
            </w:r>
          </w:p>
        </w:tc>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222BD">
            <w:pPr>
              <w:keepNext w:val="0"/>
              <w:keepLines w:val="0"/>
              <w:widowControl/>
              <w:suppressLineNumbers w:val="0"/>
              <w:bidi w:val="0"/>
              <w:snapToGrid w:val="0"/>
              <w:spacing w:line="560" w:lineRule="exact"/>
              <w:ind w:left="0" w:leftChars="0" w:right="0" w:rightChars="0" w:firstLine="0" w:firstLineChars="0"/>
              <w:jc w:val="left"/>
              <w:textAlignment w:val="center"/>
              <w:rPr>
                <w:rFonts w:hint="default" w:ascii="仿宋_GB2312" w:hAnsi="宋体" w:eastAsia="仿宋_GB2312" w:cs="仿宋_GB2312"/>
                <w:i w:val="0"/>
                <w:iCs w:val="0"/>
                <w:color w:val="0F1115"/>
                <w:sz w:val="28"/>
                <w:szCs w:val="28"/>
                <w:highlight w:val="none"/>
                <w:u w:val="none"/>
                <w:lang w:val="en-US"/>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投入金额不低于100万元</w:t>
            </w:r>
          </w:p>
        </w:tc>
        <w:tc>
          <w:tcPr>
            <w:tcW w:w="3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C940">
            <w:pPr>
              <w:keepNext w:val="0"/>
              <w:keepLines w:val="0"/>
              <w:widowControl/>
              <w:suppressLineNumbers w:val="0"/>
              <w:bidi w:val="0"/>
              <w:snapToGrid w:val="0"/>
              <w:spacing w:line="560" w:lineRule="exact"/>
              <w:ind w:left="0" w:leftChars="0" w:right="0" w:rightChars="0" w:firstLine="0" w:firstLineChars="0"/>
              <w:jc w:val="left"/>
              <w:textAlignment w:val="center"/>
              <w:rPr>
                <w:rFonts w:hint="eastAsia" w:ascii="仿宋_GB2312" w:hAnsi="宋体" w:eastAsia="仿宋_GB2312" w:cs="仿宋_GB2312"/>
                <w:i w:val="0"/>
                <w:iCs w:val="0"/>
                <w:color w:val="0F1115"/>
                <w:sz w:val="28"/>
                <w:szCs w:val="28"/>
                <w:highlight w:val="none"/>
                <w:u w:val="none"/>
              </w:rPr>
            </w:pP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相关</w:t>
            </w:r>
            <w:r>
              <w:rPr>
                <w:rFonts w:hint="eastAsia" w:ascii="仿宋_GB2312" w:hAnsi="宋体" w:eastAsia="仿宋_GB2312" w:cs="仿宋_GB2312"/>
                <w:i w:val="0"/>
                <w:iCs w:val="0"/>
                <w:color w:val="000000" w:themeColor="text1"/>
                <w:kern w:val="0"/>
                <w:sz w:val="28"/>
                <w:szCs w:val="28"/>
                <w:highlight w:val="none"/>
                <w:u w:val="none"/>
                <w:lang w:val="en-US" w:eastAsia="zh-CN" w:bidi="ar"/>
                <w14:textFill>
                  <w14:solidFill>
                    <w14:schemeClr w14:val="tx1"/>
                  </w14:solidFill>
                </w14:textFill>
              </w:rPr>
              <w:t>合同、发票、支付凭证、项目投入明细表</w:t>
            </w:r>
            <w:r>
              <w:rPr>
                <w:rFonts w:hint="eastAsia" w:hAnsi="宋体" w:cs="仿宋_GB2312"/>
                <w:i w:val="0"/>
                <w:iCs w:val="0"/>
                <w:color w:val="000000" w:themeColor="text1"/>
                <w:kern w:val="0"/>
                <w:sz w:val="28"/>
                <w:szCs w:val="28"/>
                <w:highlight w:val="none"/>
                <w:u w:val="none"/>
                <w:lang w:val="en-US" w:eastAsia="zh-CN" w:bidi="ar"/>
                <w14:textFill>
                  <w14:solidFill>
                    <w14:schemeClr w14:val="tx1"/>
                  </w14:solidFill>
                </w14:textFill>
              </w:rPr>
              <w:t>等</w:t>
            </w:r>
          </w:p>
        </w:tc>
      </w:tr>
    </w:tbl>
    <w:p w14:paraId="654BE134">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2.项目成效总结（模板详见项目申报书）。</w:t>
      </w:r>
    </w:p>
    <w:p w14:paraId="76CB0144">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专项资金项目投入明细表</w:t>
      </w:r>
      <w:r>
        <w:rPr>
          <w:rFonts w:hint="eastAsia"/>
          <w:color w:val="000000" w:themeColor="text1"/>
          <w:highlight w:val="none"/>
          <w:lang w:val="en-US" w:eastAsia="zh-CN"/>
          <w14:textFill>
            <w14:solidFill>
              <w14:schemeClr w14:val="tx1"/>
            </w14:solidFill>
          </w14:textFill>
        </w:rPr>
        <w:t>及佐证材料（详见项目申报书）。</w:t>
      </w:r>
    </w:p>
    <w:p w14:paraId="460F066A">
      <w:pPr>
        <w:bidi w:val="0"/>
        <w:rPr>
          <w:rFonts w:hint="eastAsia"/>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以上申报材料按顺序一式四份（附可编辑电子版和PDF扫描件）连续编写页码装订成册，在封面加盖单位公章并加盖骑缝章（其中，申报指引及附件有明确要求加盖公章的资料需按要求执行）；规格为A4纸正反面打印/复印。</w:t>
      </w:r>
    </w:p>
    <w:p w14:paraId="34DE4E78">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bookmarkStart w:id="18" w:name="_Toc11274"/>
      <w:bookmarkStart w:id="19" w:name="_Toc16198"/>
      <w:bookmarkStart w:id="20" w:name="_Toc2137"/>
      <w:bookmarkStart w:id="21" w:name="_Toc161850809"/>
      <w:bookmarkStart w:id="22" w:name="_Toc10305"/>
      <w:bookmarkStart w:id="23" w:name="_Toc125127183"/>
      <w:r>
        <w:rPr>
          <w:rFonts w:hint="eastAsia" w:ascii="黑体" w:hAnsi="黑体" w:eastAsia="黑体" w:cs="仿宋"/>
          <w:color w:val="auto"/>
          <w:kern w:val="2"/>
          <w:sz w:val="32"/>
          <w:szCs w:val="22"/>
          <w:highlight w:val="none"/>
          <w:lang w:val="en-US" w:eastAsia="zh-CN" w:bidi="ar-SA"/>
        </w:rPr>
        <w:t>七、申请表格</w:t>
      </w:r>
      <w:bookmarkEnd w:id="16"/>
      <w:bookmarkEnd w:id="17"/>
    </w:p>
    <w:p w14:paraId="0F33468D">
      <w:pPr>
        <w:keepNext/>
        <w:keepLines/>
        <w:widowControl w:val="0"/>
        <w:bidi w:val="0"/>
        <w:spacing w:before="0" w:beforeLines="0" w:beforeAutospacing="0" w:after="0" w:afterLines="0" w:afterAutospacing="0" w:line="560" w:lineRule="exact"/>
        <w:ind w:firstLine="640" w:firstLineChars="200"/>
        <w:jc w:val="both"/>
        <w:outlineLvl w:val="0"/>
        <w:rPr>
          <w:rFonts w:hint="eastAsia" w:hAnsi="Calibri" w:cs="Times New Roman"/>
          <w:color w:val="auto"/>
          <w:sz w:val="32"/>
          <w:szCs w:val="32"/>
          <w:highlight w:val="none"/>
          <w:lang w:eastAsia="zh-CN"/>
        </w:rPr>
      </w:pPr>
      <w:bookmarkStart w:id="24" w:name="_Toc13760"/>
      <w:bookmarkStart w:id="25" w:name="_Toc20121"/>
      <w:r>
        <w:rPr>
          <w:rFonts w:hint="eastAsia" w:hAnsi="Calibri" w:cs="Times New Roman"/>
          <w:color w:val="auto"/>
          <w:sz w:val="32"/>
          <w:szCs w:val="32"/>
          <w:highlight w:val="none"/>
          <w:lang w:eastAsia="zh-CN"/>
        </w:rPr>
        <w:t>按照本指南第六条（一）规定登录广东政务服务网在线填报申请书，网址：https://www.gdzwfw.gov.cn/。请在线上下载并填写《深圳市2026年中央资金消费新业态新模式新场景试点项目申报书》。</w:t>
      </w:r>
    </w:p>
    <w:p w14:paraId="45B83816">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八、受理机关</w:t>
      </w:r>
      <w:bookmarkEnd w:id="24"/>
      <w:bookmarkEnd w:id="25"/>
    </w:p>
    <w:p w14:paraId="619C0522">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14:paraId="14E5932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深圳市南山区商务局。</w:t>
      </w:r>
    </w:p>
    <w:p w14:paraId="3EDBCDF4">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14:paraId="647F4135">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14:paraId="4E5211B2">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14:paraId="0A8BC665">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14:paraId="0FF0CD85">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14:paraId="01706AEC">
      <w:pPr>
        <w:keepNext w:val="0"/>
        <w:keepLines w:val="0"/>
        <w:widowControl/>
        <w:suppressLineNumbers w:val="0"/>
        <w:jc w:val="left"/>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auto"/>
          <w:sz w:val="32"/>
          <w:szCs w:val="32"/>
          <w:highlight w:val="none"/>
          <w:lang w:eastAsia="zh-CN"/>
        </w:rPr>
        <w:t>线上受理：</w:t>
      </w:r>
      <w:r>
        <w:rPr>
          <w:rFonts w:hint="eastAsia"/>
          <w:color w:val="auto"/>
          <w:highlight w:val="none"/>
          <w:lang w:val="en-US" w:eastAsia="zh-CN"/>
        </w:rPr>
        <w:t>https://www.gdzwfw.gov.cn/（广东政务服务网）。</w:t>
      </w:r>
    </w:p>
    <w:p w14:paraId="756A1CF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线下材料递交地址：</w:t>
      </w:r>
    </w:p>
    <w:p w14:paraId="76F1BEE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（1）深圳市南山区政务服务中心</w:t>
      </w:r>
    </w:p>
    <w:p w14:paraId="47612FE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地址：深圳市南山区滨海大道辅路3001号深圳湾体育中心南山区政务服务中心一楼综合窗口（深圳湾体育中心东南侧独栋楼房）；办公电话：0755-86975095。</w:t>
      </w:r>
    </w:p>
    <w:p w14:paraId="76D84B0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时间：周一至周五：9:00－12:00</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14:00-17:45（午间服务时间12:00-14:00。法定节假日休息，不对外办公</w:t>
      </w:r>
      <w:r>
        <w:rPr>
          <w:rFonts w:hint="eastAsia"/>
          <w:color w:val="000000" w:themeColor="text1"/>
          <w:highlight w:val="none"/>
          <w:lang w:val="en-US" w:eastAsia="zh-CN"/>
          <w14:textFill>
            <w14:solidFill>
              <w14:schemeClr w14:val="tx1"/>
            </w14:solidFill>
          </w14:textFill>
        </w:rPr>
        <w:t>）。</w:t>
      </w:r>
    </w:p>
    <w:p w14:paraId="1961B22E">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（2）深圳市南山区政务服务中心创智云城服务厅</w:t>
      </w:r>
    </w:p>
    <w:p w14:paraId="5F42962F">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详细地址：深圳市南山区创科路260号创智云城A3栋3楼综合窗口；办公电话：0755-86965234。</w:t>
      </w:r>
    </w:p>
    <w:p w14:paraId="2D6A353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办理时间：周一至周五：9</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00－12:00，14:00-17</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45（法定节假日休息，不对外办公）</w:t>
      </w:r>
    </w:p>
    <w:p w14:paraId="57ADBE5C">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（3）深圳市南山区政务服务中心创新广场服务厅</w:t>
      </w:r>
    </w:p>
    <w:p w14:paraId="1FBFEF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详细地址：深圳市南山区白石路3069号深圳湾科技生态园9栋A座B3层南山区政务服务中心创新广场服务厅综合窗口；办公电话：0755-26923005。</w:t>
      </w:r>
    </w:p>
    <w:p w14:paraId="5ABDEFB7">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办理时间：周一至周五上午9:00—12:00；14:00—17:45（法定节假日及调休除外）</w:t>
      </w:r>
    </w:p>
    <w:p w14:paraId="3691D816">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14:paraId="7DCC8864">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6" w:name="_Toc9722"/>
      <w:bookmarkStart w:id="27" w:name="_Toc1376"/>
      <w:r>
        <w:rPr>
          <w:rFonts w:hint="eastAsia" w:hAnsi="宋体" w:cs="宋体"/>
          <w:color w:val="000000" w:themeColor="text1"/>
          <w:kern w:val="0"/>
          <w:sz w:val="32"/>
          <w:szCs w:val="32"/>
          <w:highlight w:val="none"/>
          <w:lang w:val="en-US" w:eastAsia="zh-CN"/>
          <w14:textFill>
            <w14:solidFill>
              <w14:schemeClr w14:val="tx1"/>
            </w14:solidFill>
          </w14:textFill>
        </w:rPr>
        <w:t>0755-88167804、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0755-88167811</w:t>
      </w:r>
    </w:p>
    <w:p w14:paraId="4F9ADDD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九、申请决定机关</w:t>
      </w:r>
      <w:bookmarkEnd w:id="26"/>
      <w:bookmarkEnd w:id="27"/>
    </w:p>
    <w:p w14:paraId="45145673">
      <w:pPr>
        <w:keepNext/>
        <w:keepLines/>
        <w:widowControl w:val="0"/>
        <w:bidi w:val="0"/>
        <w:spacing w:before="0" w:beforeLines="0" w:beforeAutospacing="0" w:after="0" w:afterLines="0" w:afterAutospacing="0" w:line="560" w:lineRule="exact"/>
        <w:ind w:firstLine="640" w:firstLineChars="200"/>
        <w:jc w:val="both"/>
        <w:outlineLvl w:val="0"/>
        <w:rPr>
          <w:rFonts w:hint="eastAsia" w:hAnsi="宋体" w:cs="宋体"/>
          <w:color w:val="000000" w:themeColor="text1"/>
          <w:kern w:val="0"/>
          <w:sz w:val="32"/>
          <w:szCs w:val="32"/>
          <w:highlight w:val="none"/>
          <w:lang w:val="en-US" w:eastAsia="zh-CN"/>
          <w14:textFill>
            <w14:solidFill>
              <w14:schemeClr w14:val="tx1"/>
            </w14:solidFill>
          </w14:textFill>
        </w:rPr>
      </w:pPr>
      <w:r>
        <w:rPr>
          <w:rFonts w:hint="eastAsia" w:hAnsi="宋体" w:cs="宋体"/>
          <w:color w:val="000000" w:themeColor="text1"/>
          <w:kern w:val="0"/>
          <w:sz w:val="32"/>
          <w:szCs w:val="32"/>
          <w:highlight w:val="none"/>
          <w:lang w:val="en-US" w:eastAsia="zh-CN"/>
          <w14:textFill>
            <w14:solidFill>
              <w14:schemeClr w14:val="tx1"/>
            </w14:solidFill>
          </w14:textFill>
        </w:rPr>
        <w:t>深圳市南山区商务局</w:t>
      </w:r>
    </w:p>
    <w:p w14:paraId="36E14668">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十、办理流程</w:t>
      </w:r>
      <w:bookmarkEnd w:id="18"/>
      <w:bookmarkEnd w:id="19"/>
    </w:p>
    <w:p w14:paraId="2822092F">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区级商务主管部门发布申报指南——申报单位网上申报——区级商务主管部门网上初审——申报单位向辖区政务服务中心收文窗口提交申请材料——区级商务部门开展形式审查——区级商务主管部门开展资质审查——区级商务主管部门组织专项审计——征求意见与综合核查——拟定资助计划——社会公示——下达资助计划——通知申报单位提交拨付资料——拨付资金</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w:t>
      </w:r>
    </w:p>
    <w:p w14:paraId="21399195">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28" w:name="_Toc28790"/>
      <w:bookmarkStart w:id="29" w:name="_Toc3693"/>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十一、办理时限</w:t>
      </w:r>
      <w:bookmarkEnd w:id="28"/>
      <w:bookmarkEnd w:id="29"/>
    </w:p>
    <w:p w14:paraId="629AD8BF">
      <w:pPr>
        <w:bidi w:val="0"/>
        <w:rPr>
          <w:rFonts w:hint="default" w:eastAsia="仿宋_GB2312"/>
          <w:color w:val="auto"/>
          <w:highlight w:val="none"/>
          <w:lang w:val="en-US" w:eastAsia="zh-CN"/>
        </w:rPr>
      </w:pPr>
      <w:r>
        <w:rPr>
          <w:rFonts w:hint="eastAsia"/>
          <w:color w:val="auto"/>
          <w:highlight w:val="none"/>
          <w:lang w:val="en-US" w:eastAsia="zh-CN"/>
        </w:rPr>
        <w:t>180个工作日，不含特别程序。</w:t>
      </w:r>
    </w:p>
    <w:p w14:paraId="1AF5FBAE">
      <w:pPr>
        <w:keepNext w:val="0"/>
        <w:keepLines w:val="0"/>
        <w:widowControl/>
        <w:bidi w:val="0"/>
        <w:spacing w:before="0" w:beforeLines="-2147483648" w:beforeAutospacing="0" w:after="0" w:afterLines="-2147483648" w:afterAutospacing="0" w:line="240" w:lineRule="auto"/>
        <w:ind w:firstLine="640" w:firstLineChars="200"/>
        <w:jc w:val="left"/>
        <w:outlineLvl w:val="9"/>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pPr>
      <w:bookmarkStart w:id="30" w:name="_Toc32254"/>
      <w:bookmarkStart w:id="31" w:name="_Toc29872"/>
      <w:r>
        <w:rPr>
          <w:rFonts w:hint="eastAsia" w:ascii="黑体" w:hAnsi="黑体" w:eastAsia="黑体" w:cs="仿宋"/>
          <w:color w:val="000000" w:themeColor="text1"/>
          <w:kern w:val="2"/>
          <w:sz w:val="32"/>
          <w:szCs w:val="22"/>
          <w:highlight w:val="none"/>
          <w:lang w:val="en-US" w:eastAsia="zh-CN" w:bidi="ar-SA"/>
          <w14:textFill>
            <w14:solidFill>
              <w14:schemeClr w14:val="tx1"/>
            </w14:solidFill>
          </w14:textFill>
        </w:rPr>
        <w:t>十二、证件及有效期</w:t>
      </w:r>
      <w:bookmarkEnd w:id="30"/>
      <w:bookmarkEnd w:id="31"/>
    </w:p>
    <w:p w14:paraId="0887D4C6">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证件：无</w:t>
      </w:r>
    </w:p>
    <w:p w14:paraId="7100AB91">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有效期限：无</w:t>
      </w:r>
    </w:p>
    <w:p w14:paraId="4C7DC7B6">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2" w:name="_Toc19920"/>
      <w:bookmarkStart w:id="33" w:name="_Toc17239"/>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十三、证件的法律效力</w:t>
      </w:r>
      <w:bookmarkEnd w:id="32"/>
      <w:bookmarkEnd w:id="33"/>
    </w:p>
    <w:p w14:paraId="6C8E6FE0">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14:paraId="2FBCC4BC">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4" w:name="_Toc6842"/>
      <w:bookmarkStart w:id="35" w:name="_Toc750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十四、收费</w:t>
      </w:r>
      <w:bookmarkEnd w:id="34"/>
      <w:bookmarkEnd w:id="35"/>
    </w:p>
    <w:p w14:paraId="5E7E86C8">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p w14:paraId="024DE761">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000000" w:themeColor="text1"/>
          <w:kern w:val="2"/>
          <w:sz w:val="32"/>
          <w:szCs w:val="32"/>
          <w:highlight w:val="none"/>
          <w:lang w:val="en-US" w:eastAsia="zh-CN" w:bidi="ar-SA"/>
          <w14:textFill>
            <w14:solidFill>
              <w14:schemeClr w14:val="tx1"/>
            </w14:solidFill>
          </w14:textFill>
        </w:rPr>
      </w:pPr>
      <w:bookmarkStart w:id="36" w:name="_Toc30475"/>
      <w:bookmarkStart w:id="37" w:name="_Toc30145"/>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十五、年审或年检</w:t>
      </w:r>
      <w:bookmarkEnd w:id="36"/>
      <w:bookmarkEnd w:id="37"/>
    </w:p>
    <w:p w14:paraId="297BE18E">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bookmarkStart w:id="38" w:name="_Toc28762"/>
      <w:bookmarkStart w:id="39" w:name="_Toc20677"/>
    </w:p>
    <w:p w14:paraId="773C6003">
      <w:pPr>
        <w:bidi w:val="0"/>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Times New Roman"/>
          <w:color w:val="000000" w:themeColor="text1"/>
          <w:kern w:val="2"/>
          <w:sz w:val="32"/>
          <w:szCs w:val="32"/>
          <w:highlight w:val="none"/>
          <w:lang w:val="en-US" w:eastAsia="zh-CN" w:bidi="ar-SA"/>
          <w14:textFill>
            <w14:solidFill>
              <w14:schemeClr w14:val="tx1"/>
            </w14:solidFill>
          </w14:textFill>
        </w:rPr>
        <w:t>十六、监督检查和补充说明</w:t>
      </w:r>
      <w:bookmarkEnd w:id="38"/>
      <w:bookmarkEnd w:id="39"/>
    </w:p>
    <w:p w14:paraId="24F00809">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（一）申报单位应当按要求配合市、区两级商务部门和其他相关部门的监督检查，按要求做好项目资金管理、绩效评估等工作。</w:t>
      </w:r>
    </w:p>
    <w:p w14:paraId="026163CC">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（二）申报单位存在以下情形之一的，应当按要求将已获得的部分或全部财政专项资金退回国库</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并按照有关规定处理；涉嫌犯罪的，依法移送有关机关处理：</w:t>
      </w:r>
    </w:p>
    <w:p w14:paraId="6D697CBD">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1.申报单位未履行或未完全履行申报承诺并经查证属实的。</w:t>
      </w:r>
    </w:p>
    <w:p w14:paraId="7C532DD7">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2.申报单位不符合项目申报条件获得资助的。</w:t>
      </w:r>
    </w:p>
    <w:p w14:paraId="0AC6FBB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3.申报单位存在利用不正当手段套取、骗取、盗取专项资金的。</w:t>
      </w:r>
    </w:p>
    <w:p w14:paraId="5E7DF9B6">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4.审计、巡视、巡察等核查需要申报单位退回专项资金的。</w:t>
      </w:r>
    </w:p>
    <w:p w14:paraId="47E1F128">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5.其他按照有关规定需要退回资金的。</w:t>
      </w:r>
    </w:p>
    <w:p w14:paraId="4BB7C98F">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14:paraId="461B4589">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任何单位和个人不得以任何形式、任何理由违规使用财政资金，对截留、挤占、挪用、骗取财政资金等违法行为，一经查实，将收回已安排的资金，并按照《财政违法行为处罚处分条例》等有关规定追究责任。</w:t>
      </w:r>
    </w:p>
    <w:p w14:paraId="537234AD">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受理单位</w:t>
      </w:r>
      <w:r>
        <w:rPr>
          <w:rFonts w:hint="eastAsia"/>
          <w:color w:val="000000" w:themeColor="text1"/>
          <w:highlight w:val="none"/>
          <w14:textFill>
            <w14:solidFill>
              <w14:schemeClr w14:val="tx1"/>
            </w14:solidFill>
          </w14:textFill>
        </w:rPr>
        <w:t>从未委托任何单位和个人为申报单位代理专项资金扶持计划项目申报事宜</w:t>
      </w:r>
      <w:r>
        <w:rPr>
          <w:color w:val="000000" w:themeColor="text1"/>
          <w:highlight w:val="none"/>
          <w14:textFill>
            <w14:solidFill>
              <w14:schemeClr w14:val="tx1"/>
            </w14:solidFill>
          </w14:textFill>
        </w:rPr>
        <w:t>，申报单位应</w:t>
      </w:r>
      <w:r>
        <w:rPr>
          <w:rFonts w:hint="eastAsia"/>
          <w:color w:val="000000" w:themeColor="text1"/>
          <w:highlight w:val="none"/>
          <w14:textFill>
            <w14:solidFill>
              <w14:schemeClr w14:val="tx1"/>
            </w14:solidFill>
          </w14:textFill>
        </w:rPr>
        <w:t>自主申报。我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严格按照有关</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和程序受理申请，不收取任何费用。如有任何中介机构和个人假借我</w:t>
      </w:r>
      <w:r>
        <w:rPr>
          <w:rFonts w:hint="eastAsia"/>
          <w:color w:val="000000" w:themeColor="text1"/>
          <w:highlight w:val="none"/>
          <w:lang w:eastAsia="zh-CN"/>
          <w14:textFill>
            <w14:solidFill>
              <w14:schemeClr w14:val="tx1"/>
            </w14:solidFill>
          </w14:textFill>
        </w:rPr>
        <w:t>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工作人员名义向申报单位收取费用的，请向我</w:t>
      </w:r>
      <w:r>
        <w:rPr>
          <w:rFonts w:hint="eastAsia"/>
          <w:color w:val="000000" w:themeColor="text1"/>
          <w:highlight w:val="none"/>
          <w:lang w:eastAsia="zh-CN"/>
          <w14:textFill>
            <w14:solidFill>
              <w14:schemeClr w14:val="tx1"/>
            </w14:solidFill>
          </w14:textFill>
        </w:rPr>
        <w:t>单位</w:t>
      </w:r>
      <w:r>
        <w:rPr>
          <w:rFonts w:hint="eastAsia"/>
          <w:color w:val="000000" w:themeColor="text1"/>
          <w:highlight w:val="none"/>
          <w14:textFill>
            <w14:solidFill>
              <w14:schemeClr w14:val="tx1"/>
            </w14:solidFill>
          </w14:textFill>
        </w:rPr>
        <w:t>举报</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0755-88167811</w:t>
      </w:r>
      <w:bookmarkStart w:id="40" w:name="_GoBack"/>
      <w:r>
        <w:rPr>
          <w:rFonts w:hint="eastAsia"/>
          <w:color w:val="000000" w:themeColor="text1"/>
          <w:highlight w:val="none"/>
          <w:lang w:val="en-US" w:eastAsia="zh-CN"/>
          <w14:textFill>
            <w14:solidFill>
              <w14:schemeClr w14:val="tx1"/>
            </w14:solidFill>
          </w14:textFill>
        </w:rPr>
        <w:t>）</w:t>
      </w:r>
      <w:bookmarkEnd w:id="40"/>
    </w:p>
    <w:p w14:paraId="7991D4B6">
      <w:pPr>
        <w:bidi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申报单位在项目申报期间发生企业名称、联系信息变更的，应及时联系并提供变更材料，如因未及时变更产生的后果由企业自行承担。</w:t>
      </w:r>
    </w:p>
    <w:p w14:paraId="0FA7062B">
      <w:pPr>
        <w:bidi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）资助拨款按照申请书银行账户信息办理。因</w:t>
      </w:r>
      <w:r>
        <w:rPr>
          <w:color w:val="000000" w:themeColor="text1"/>
          <w:highlight w:val="none"/>
          <w14:textFill>
            <w14:solidFill>
              <w14:schemeClr w14:val="tx1"/>
            </w14:solidFill>
          </w14:textFill>
        </w:rPr>
        <w:t>账户信息变更或企业填写错误等原因导致</w:t>
      </w:r>
      <w:r>
        <w:rPr>
          <w:rFonts w:hint="eastAsia"/>
          <w:color w:val="000000" w:themeColor="text1"/>
          <w:highlight w:val="none"/>
          <w:lang w:eastAsia="zh-CN"/>
          <w14:textFill>
            <w14:solidFill>
              <w14:schemeClr w14:val="tx1"/>
            </w14:solidFill>
          </w14:textFill>
        </w:rPr>
        <w:t>拨付</w:t>
      </w:r>
      <w:r>
        <w:rPr>
          <w:color w:val="000000" w:themeColor="text1"/>
          <w:highlight w:val="none"/>
          <w14:textFill>
            <w14:solidFill>
              <w14:schemeClr w14:val="tx1"/>
            </w14:solidFill>
          </w14:textFill>
        </w:rPr>
        <w:t>不成功的，</w:t>
      </w:r>
      <w:r>
        <w:rPr>
          <w:rFonts w:hint="eastAsia"/>
          <w:color w:val="000000" w:themeColor="text1"/>
          <w:highlight w:val="none"/>
          <w14:textFill>
            <w14:solidFill>
              <w14:schemeClr w14:val="tx1"/>
            </w14:solidFill>
          </w14:textFill>
        </w:rPr>
        <w:t>原则上予以办理一次拨款信息更改并再次拨付。</w:t>
      </w:r>
      <w:r>
        <w:rPr>
          <w:color w:val="000000" w:themeColor="text1"/>
          <w:highlight w:val="none"/>
          <w14:textFill>
            <w14:solidFill>
              <w14:schemeClr w14:val="tx1"/>
            </w14:solidFill>
          </w14:textFill>
        </w:rPr>
        <w:t>申报单位</w:t>
      </w:r>
      <w:r>
        <w:rPr>
          <w:rFonts w:hint="eastAsia"/>
          <w:color w:val="000000" w:themeColor="text1"/>
          <w:highlight w:val="none"/>
          <w14:textFill>
            <w14:solidFill>
              <w14:schemeClr w14:val="tx1"/>
            </w14:solidFill>
          </w14:textFill>
        </w:rPr>
        <w:t>应当按照要求办理资金拨款手续。</w:t>
      </w:r>
    </w:p>
    <w:p w14:paraId="300999EC">
      <w:pPr>
        <w:bidi w:val="0"/>
        <w:rPr>
          <w:rFonts w:hint="eastAsia"/>
          <w:color w:val="000000" w:themeColor="text1"/>
          <w:highlight w:val="none"/>
          <w14:textFill>
            <w14:solidFill>
              <w14:schemeClr w14:val="tx1"/>
            </w14:solidFill>
          </w14:textFill>
        </w:rPr>
      </w:pPr>
    </w:p>
    <w:p w14:paraId="60DA7F82">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附录：名词解释</w:t>
      </w:r>
    </w:p>
    <w:p w14:paraId="176DB405">
      <w:pPr>
        <w:bidi w:val="0"/>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br w:type="page"/>
      </w:r>
    </w:p>
    <w:p w14:paraId="3538BE6F">
      <w:pPr>
        <w:bidi w:val="0"/>
        <w:ind w:firstLine="0" w:firstLineChars="0"/>
        <w:rPr>
          <w:rFonts w:hint="eastAsia"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附</w:t>
      </w:r>
      <w:r>
        <w:rPr>
          <w:rFonts w:hint="eastAsia" w:ascii="黑体" w:hAnsi="黑体" w:eastAsia="黑体" w:cs="黑体"/>
          <w:color w:val="000000" w:themeColor="text1"/>
          <w:highlight w:val="none"/>
          <w:lang w:val="en-US" w:eastAsia="zh-CN"/>
          <w14:textFill>
            <w14:solidFill>
              <w14:schemeClr w14:val="tx1"/>
            </w14:solidFill>
          </w14:textFill>
        </w:rPr>
        <w:t xml:space="preserve">  </w:t>
      </w:r>
      <w:r>
        <w:rPr>
          <w:rFonts w:hint="eastAsia" w:ascii="黑体" w:hAnsi="黑体" w:eastAsia="黑体" w:cs="黑体"/>
          <w:color w:val="000000" w:themeColor="text1"/>
          <w:highlight w:val="none"/>
          <w:lang w:eastAsia="zh-CN"/>
          <w14:textFill>
            <w14:solidFill>
              <w14:schemeClr w14:val="tx1"/>
            </w14:solidFill>
          </w14:textFill>
        </w:rPr>
        <w:t>录</w:t>
      </w:r>
    </w:p>
    <w:p w14:paraId="1AB7A322">
      <w:pPr>
        <w:bidi w:val="0"/>
        <w:rPr>
          <w:rFonts w:hint="eastAsia"/>
          <w:color w:val="000000" w:themeColor="text1"/>
          <w:highlight w:val="none"/>
          <w14:textFill>
            <w14:solidFill>
              <w14:schemeClr w14:val="tx1"/>
            </w14:solidFill>
          </w14:textFill>
        </w:rPr>
      </w:pPr>
    </w:p>
    <w:p w14:paraId="31DAAEE1">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14:paraId="50997D1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14:paraId="4BC2225B">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14:paraId="128548D4">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单体店铺：</w:t>
      </w:r>
      <w:r>
        <w:rPr>
          <w:rFonts w:hint="eastAsia" w:ascii="仿宋_GB2312" w:hAnsi="仿宋_GB2312" w:eastAsia="仿宋_GB2312" w:cs="仿宋_GB2312"/>
          <w:color w:val="auto"/>
          <w:sz w:val="32"/>
          <w:szCs w:val="32"/>
          <w:highlight w:val="none"/>
          <w:lang w:val="en-US" w:eastAsia="zh-CN"/>
        </w:rPr>
        <w:t>指具有独立经营空间、明确物理边界、可单独核算与运营的单个店铺，不包含商业综合体、商铺集群及多店合并形成的经营区域。</w:t>
      </w:r>
    </w:p>
    <w:p w14:paraId="4A23057D">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三</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14:paraId="639023E0">
      <w:pPr>
        <w:bidi w:val="0"/>
        <w:rPr>
          <w:rFonts w:hint="eastAsia"/>
          <w:color w:val="000000" w:themeColor="text1"/>
          <w:highlight w:val="none"/>
          <w14:textFill>
            <w14:solidFill>
              <w14:schemeClr w14:val="tx1"/>
            </w14:solidFill>
          </w14:textFill>
        </w:rPr>
      </w:pPr>
    </w:p>
    <w:bookmarkEnd w:id="20"/>
    <w:bookmarkEnd w:id="21"/>
    <w:bookmarkEnd w:id="22"/>
    <w:bookmarkEnd w:id="23"/>
    <w:p w14:paraId="04034C03">
      <w:pPr>
        <w:pStyle w:val="17"/>
        <w:rPr>
          <w:rFonts w:ascii="仿宋_GB2312" w:hAnsi="仿宋_GB2312"/>
          <w:color w:val="000000" w:themeColor="text1"/>
          <w:highlight w:val="none"/>
          <w14:textFill>
            <w14:solidFill>
              <w14:schemeClr w14:val="tx1"/>
            </w14:solidFill>
          </w14:textFill>
        </w:rPr>
      </w:pPr>
    </w:p>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F64D">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98C259">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98C259">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62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596F0D"/>
    <w:rsid w:val="02803A46"/>
    <w:rsid w:val="02CB1CF7"/>
    <w:rsid w:val="02DA63DE"/>
    <w:rsid w:val="02E93786"/>
    <w:rsid w:val="032558AB"/>
    <w:rsid w:val="032C6A46"/>
    <w:rsid w:val="04FC43AD"/>
    <w:rsid w:val="06173D21"/>
    <w:rsid w:val="070F7027"/>
    <w:rsid w:val="08461CA3"/>
    <w:rsid w:val="096C3E20"/>
    <w:rsid w:val="09F4308E"/>
    <w:rsid w:val="0A2D6324"/>
    <w:rsid w:val="0A6C5760"/>
    <w:rsid w:val="0B35692F"/>
    <w:rsid w:val="0B3D033F"/>
    <w:rsid w:val="0B4456D1"/>
    <w:rsid w:val="0BAD1FAB"/>
    <w:rsid w:val="0BE1742C"/>
    <w:rsid w:val="0C6D7BF8"/>
    <w:rsid w:val="0D1F0CED"/>
    <w:rsid w:val="0DD759F4"/>
    <w:rsid w:val="0F95719B"/>
    <w:rsid w:val="0FE131A1"/>
    <w:rsid w:val="10BF0BFF"/>
    <w:rsid w:val="11A73770"/>
    <w:rsid w:val="11BF2EFC"/>
    <w:rsid w:val="11F1104F"/>
    <w:rsid w:val="11F13731"/>
    <w:rsid w:val="124226AB"/>
    <w:rsid w:val="126D73E5"/>
    <w:rsid w:val="13A40095"/>
    <w:rsid w:val="14053C83"/>
    <w:rsid w:val="15C958A9"/>
    <w:rsid w:val="163D2AB4"/>
    <w:rsid w:val="172A2DF8"/>
    <w:rsid w:val="17B005EC"/>
    <w:rsid w:val="185533C0"/>
    <w:rsid w:val="187E0EC3"/>
    <w:rsid w:val="18AB1F57"/>
    <w:rsid w:val="190653E0"/>
    <w:rsid w:val="197B53D3"/>
    <w:rsid w:val="1C210334"/>
    <w:rsid w:val="1C964CCC"/>
    <w:rsid w:val="1CFC17D2"/>
    <w:rsid w:val="1F1F51E6"/>
    <w:rsid w:val="1FF83836"/>
    <w:rsid w:val="205A510F"/>
    <w:rsid w:val="21127D99"/>
    <w:rsid w:val="22C22819"/>
    <w:rsid w:val="23B763C6"/>
    <w:rsid w:val="241E0552"/>
    <w:rsid w:val="246A3FA3"/>
    <w:rsid w:val="26E72CF4"/>
    <w:rsid w:val="294B23CF"/>
    <w:rsid w:val="2976170C"/>
    <w:rsid w:val="2A104310"/>
    <w:rsid w:val="2A4B3E74"/>
    <w:rsid w:val="2BA068F1"/>
    <w:rsid w:val="2C2A1457"/>
    <w:rsid w:val="2CAE0A32"/>
    <w:rsid w:val="2EFFB91F"/>
    <w:rsid w:val="2FDEF0A7"/>
    <w:rsid w:val="2FEF4348"/>
    <w:rsid w:val="2FFC0AFB"/>
    <w:rsid w:val="302C0287"/>
    <w:rsid w:val="31A95387"/>
    <w:rsid w:val="31B31F93"/>
    <w:rsid w:val="321653A8"/>
    <w:rsid w:val="321759BB"/>
    <w:rsid w:val="329C19A3"/>
    <w:rsid w:val="32F52701"/>
    <w:rsid w:val="341A4C22"/>
    <w:rsid w:val="347B2CCE"/>
    <w:rsid w:val="352B3694"/>
    <w:rsid w:val="363C0287"/>
    <w:rsid w:val="3654545B"/>
    <w:rsid w:val="36565190"/>
    <w:rsid w:val="366C2500"/>
    <w:rsid w:val="369A281B"/>
    <w:rsid w:val="376F874C"/>
    <w:rsid w:val="382C7B34"/>
    <w:rsid w:val="387303F9"/>
    <w:rsid w:val="39BDE09B"/>
    <w:rsid w:val="3B0E3D0E"/>
    <w:rsid w:val="3B8C72EB"/>
    <w:rsid w:val="3BFC17F2"/>
    <w:rsid w:val="3CA43A73"/>
    <w:rsid w:val="3CFD6976"/>
    <w:rsid w:val="3CFE42D4"/>
    <w:rsid w:val="3D5D42F6"/>
    <w:rsid w:val="3DB808BA"/>
    <w:rsid w:val="3E465CA3"/>
    <w:rsid w:val="3FC78962"/>
    <w:rsid w:val="407A2ECB"/>
    <w:rsid w:val="418D6C3A"/>
    <w:rsid w:val="41E50163"/>
    <w:rsid w:val="423806ED"/>
    <w:rsid w:val="428230B1"/>
    <w:rsid w:val="42B10DBA"/>
    <w:rsid w:val="4311773F"/>
    <w:rsid w:val="431A16C9"/>
    <w:rsid w:val="437A5877"/>
    <w:rsid w:val="43BB3CEC"/>
    <w:rsid w:val="44A91A1A"/>
    <w:rsid w:val="44D052C5"/>
    <w:rsid w:val="46AE1F3D"/>
    <w:rsid w:val="473C23B2"/>
    <w:rsid w:val="47781E40"/>
    <w:rsid w:val="48541414"/>
    <w:rsid w:val="4900762E"/>
    <w:rsid w:val="49692B40"/>
    <w:rsid w:val="4A6B0082"/>
    <w:rsid w:val="4AB56AE2"/>
    <w:rsid w:val="4B6E7935"/>
    <w:rsid w:val="4BCF62A6"/>
    <w:rsid w:val="4CB91CF2"/>
    <w:rsid w:val="4E423A35"/>
    <w:rsid w:val="4E7E74BD"/>
    <w:rsid w:val="4F98BDA8"/>
    <w:rsid w:val="4FC2745B"/>
    <w:rsid w:val="509A0D5C"/>
    <w:rsid w:val="52252BFC"/>
    <w:rsid w:val="52FFEAFB"/>
    <w:rsid w:val="53645795"/>
    <w:rsid w:val="53ED1DDF"/>
    <w:rsid w:val="54E753F5"/>
    <w:rsid w:val="563F7F48"/>
    <w:rsid w:val="5779221D"/>
    <w:rsid w:val="589B5008"/>
    <w:rsid w:val="58A326D8"/>
    <w:rsid w:val="59466376"/>
    <w:rsid w:val="5A9E6E08"/>
    <w:rsid w:val="5ADF26A2"/>
    <w:rsid w:val="5BF51433"/>
    <w:rsid w:val="5C46774B"/>
    <w:rsid w:val="5DC68F29"/>
    <w:rsid w:val="5E2F7920"/>
    <w:rsid w:val="5F99DB0C"/>
    <w:rsid w:val="5FFF8D5C"/>
    <w:rsid w:val="623151CA"/>
    <w:rsid w:val="64A22FFB"/>
    <w:rsid w:val="64DB7056"/>
    <w:rsid w:val="64FEF02B"/>
    <w:rsid w:val="655FB47A"/>
    <w:rsid w:val="66982F4F"/>
    <w:rsid w:val="6888651F"/>
    <w:rsid w:val="6894168D"/>
    <w:rsid w:val="69B52798"/>
    <w:rsid w:val="6A7451AD"/>
    <w:rsid w:val="6AC14C27"/>
    <w:rsid w:val="6BC41409"/>
    <w:rsid w:val="6C030E4B"/>
    <w:rsid w:val="6C5C62E3"/>
    <w:rsid w:val="6CAB30BC"/>
    <w:rsid w:val="6CED0F48"/>
    <w:rsid w:val="6CED51AD"/>
    <w:rsid w:val="6F0002D1"/>
    <w:rsid w:val="6FBE5F4A"/>
    <w:rsid w:val="6FCC3E6E"/>
    <w:rsid w:val="6FEFB7EB"/>
    <w:rsid w:val="71D6011D"/>
    <w:rsid w:val="72694444"/>
    <w:rsid w:val="73470D86"/>
    <w:rsid w:val="73A0155B"/>
    <w:rsid w:val="73AF7735"/>
    <w:rsid w:val="73BBB3EE"/>
    <w:rsid w:val="74F90479"/>
    <w:rsid w:val="75405A96"/>
    <w:rsid w:val="756D75BF"/>
    <w:rsid w:val="75EDF560"/>
    <w:rsid w:val="7625601A"/>
    <w:rsid w:val="77BF249E"/>
    <w:rsid w:val="77FE323C"/>
    <w:rsid w:val="78CB5794"/>
    <w:rsid w:val="78D33F7B"/>
    <w:rsid w:val="7973208E"/>
    <w:rsid w:val="7A613437"/>
    <w:rsid w:val="7BF1FA5A"/>
    <w:rsid w:val="7C1A6A34"/>
    <w:rsid w:val="7CBE4AD3"/>
    <w:rsid w:val="7D1C7CE5"/>
    <w:rsid w:val="7DEA80E7"/>
    <w:rsid w:val="7EAF82F1"/>
    <w:rsid w:val="7EFC0D0F"/>
    <w:rsid w:val="7F363046"/>
    <w:rsid w:val="7F7D640C"/>
    <w:rsid w:val="7FD80166"/>
    <w:rsid w:val="7FFF46EB"/>
    <w:rsid w:val="8EFFBC18"/>
    <w:rsid w:val="9FBE2D98"/>
    <w:rsid w:val="B8BB565C"/>
    <w:rsid w:val="BBEEE557"/>
    <w:rsid w:val="BBF67452"/>
    <w:rsid w:val="BFB1E59F"/>
    <w:rsid w:val="BFEFB242"/>
    <w:rsid w:val="BFFB0999"/>
    <w:rsid w:val="C7FDACC2"/>
    <w:rsid w:val="CAFD38F4"/>
    <w:rsid w:val="CD7E5358"/>
    <w:rsid w:val="CDFF62A0"/>
    <w:rsid w:val="D3F36C01"/>
    <w:rsid w:val="DB2E415F"/>
    <w:rsid w:val="DB2F7D73"/>
    <w:rsid w:val="DE4F4ECD"/>
    <w:rsid w:val="DFBFA96B"/>
    <w:rsid w:val="DFDF681D"/>
    <w:rsid w:val="EDBF5009"/>
    <w:rsid w:val="EEF3C802"/>
    <w:rsid w:val="EFEFF4C4"/>
    <w:rsid w:val="EFFFF1FE"/>
    <w:rsid w:val="F2C6E9B9"/>
    <w:rsid w:val="F3D74AA2"/>
    <w:rsid w:val="F6DCE9CB"/>
    <w:rsid w:val="F98F69B3"/>
    <w:rsid w:val="FBFE63F7"/>
    <w:rsid w:val="FD3BDD4F"/>
    <w:rsid w:val="FD6F6B19"/>
    <w:rsid w:val="FDFCB3E6"/>
    <w:rsid w:val="FDFD5E31"/>
    <w:rsid w:val="FEBFC558"/>
    <w:rsid w:val="FF7FB831"/>
    <w:rsid w:val="FF9D7F84"/>
    <w:rsid w:val="FFCF903D"/>
    <w:rsid w:val="FFDBD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5209</Words>
  <Characters>5370</Characters>
  <Lines>0</Lines>
  <Paragraphs>0</Paragraphs>
  <TotalTime>1</TotalTime>
  <ScaleCrop>false</ScaleCrop>
  <LinksUpToDate>false</LinksUpToDate>
  <CharactersWithSpaces>5381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2025-07-07T18:47:00Z</dcterms:created>
  <dc:creator>黄佩琳</dc:creator>
  <cp:lastModifiedBy>吴佩庭</cp:lastModifiedBy>
  <cp:lastPrinted>2026-03-17T22:46:00Z</cp:lastPrinted>
  <dcterms:modified xsi:type="dcterms:W3CDTF">2026-06-23T10:12:41Z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1EB21C241E674BDB8B6E20A5ECAD8256_13</vt:lpwstr>
  </property>
  <property fmtid="{D5CDD505-2E9C-101B-9397-08002B2CF9AE}" pid="4" name="KSOTemplateDocerSaveRecord">
    <vt:lpwstr>eyJoZGlkIjoiY2NiNzc0ZWE4MzBjY2JmMGYyMmY4NjkxNmNhZGJlNDUiLCJ1c2VySWQiOiI4NzUyMjIyNTQifQ==</vt:lpwstr>
  </property>
</Properties>
</file>