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AEBD08">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val="en-US" w:eastAsia="zh-CN"/>
        </w:rPr>
      </w:pPr>
      <w:bookmarkStart w:id="0" w:name="_Toc125127182"/>
      <w:bookmarkStart w:id="1" w:name="_Toc5810"/>
      <w:bookmarkStart w:id="2" w:name="_Toc32562"/>
      <w:bookmarkStart w:id="3" w:name="_Toc13216"/>
      <w:r>
        <w:rPr>
          <w:rFonts w:hint="eastAsia" w:ascii="黑体" w:hAnsi="黑体" w:eastAsia="黑体" w:cs="黑体"/>
          <w:color w:val="auto"/>
          <w:sz w:val="32"/>
          <w:szCs w:val="32"/>
          <w:highlight w:val="none"/>
          <w:lang w:val="en-US" w:eastAsia="zh-CN"/>
        </w:rPr>
        <w:t>附件</w:t>
      </w:r>
      <w:r>
        <w:rPr>
          <w:rFonts w:hint="default" w:ascii="黑体" w:hAnsi="黑体" w:eastAsia="黑体" w:cs="黑体"/>
          <w:color w:val="auto"/>
          <w:sz w:val="32"/>
          <w:szCs w:val="32"/>
          <w:highlight w:val="none"/>
          <w:lang w:val="en-US" w:eastAsia="zh-CN"/>
        </w:rPr>
        <w:t>3</w:t>
      </w:r>
    </w:p>
    <w:p w14:paraId="317A4FF1">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黑体" w:hAnsi="黑体" w:eastAsia="黑体" w:cs="黑体"/>
          <w:color w:val="auto"/>
          <w:sz w:val="32"/>
          <w:szCs w:val="32"/>
          <w:highlight w:val="none"/>
          <w:lang w:val="en-US" w:eastAsia="zh-CN"/>
        </w:rPr>
      </w:pPr>
    </w:p>
    <w:bookmarkEnd w:id="0"/>
    <w:bookmarkEnd w:id="1"/>
    <w:bookmarkEnd w:id="2"/>
    <w:bookmarkEnd w:id="3"/>
    <w:p w14:paraId="7F037E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深圳市2026年中央资金消费新业态新模式新场景试点（支持创新多元化服务消费场景</w:t>
      </w:r>
      <w:r>
        <w:rPr>
          <w:rFonts w:hint="default" w:ascii="方正小标宋简体" w:hAnsi="Times New Roman" w:eastAsia="方正小标宋简体" w:cs="Times New Roman"/>
          <w:color w:val="auto"/>
          <w:kern w:val="2"/>
          <w:sz w:val="44"/>
          <w:szCs w:val="44"/>
          <w:highlight w:val="none"/>
          <w:lang w:val="en-US" w:eastAsia="zh-CN" w:bidi="ar-SA"/>
        </w:rPr>
        <w:t>—</w:t>
      </w:r>
      <w:r>
        <w:rPr>
          <w:rFonts w:hint="eastAsia" w:ascii="方正小标宋简体" w:hAnsi="Times New Roman" w:eastAsia="方正小标宋简体" w:cs="Times New Roman"/>
          <w:color w:val="auto"/>
          <w:kern w:val="2"/>
          <w:sz w:val="44"/>
          <w:szCs w:val="44"/>
          <w:highlight w:val="none"/>
          <w:lang w:val="en-US" w:eastAsia="zh-CN" w:bidi="ar-SA"/>
        </w:rPr>
        <w:t>商旅文体健多元融合载体资助</w:t>
      </w:r>
      <w:r>
        <w:rPr>
          <w:rFonts w:hint="default" w:ascii="方正小标宋简体" w:hAnsi="Times New Roman" w:eastAsia="方正小标宋简体" w:cs="Times New Roman"/>
          <w:color w:val="auto"/>
          <w:kern w:val="2"/>
          <w:sz w:val="44"/>
          <w:szCs w:val="44"/>
          <w:highlight w:val="none"/>
          <w:lang w:val="en-US" w:eastAsia="zh-CN" w:bidi="ar-SA"/>
        </w:rPr>
        <w:t>项目</w:t>
      </w:r>
      <w:r>
        <w:rPr>
          <w:rFonts w:hint="eastAsia" w:ascii="方正小标宋简体" w:hAnsi="Times New Roman" w:eastAsia="方正小标宋简体" w:cs="Times New Roman"/>
          <w:color w:val="auto"/>
          <w:kern w:val="2"/>
          <w:sz w:val="44"/>
          <w:szCs w:val="44"/>
          <w:highlight w:val="none"/>
          <w:lang w:val="en-US" w:eastAsia="zh-CN" w:bidi="ar-SA"/>
        </w:rPr>
        <w:t>）申报指南</w:t>
      </w:r>
    </w:p>
    <w:p w14:paraId="36D09334">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14:paraId="53C948AA">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14:paraId="2D3AB163">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0798"/>
      <w:bookmarkStart w:id="5" w:name="_Toc24194"/>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14:paraId="56AA1709">
      <w:pPr>
        <w:bidi w:val="0"/>
        <w:spacing w:before="0" w:after="0" w:line="560" w:lineRule="exact"/>
        <w:ind w:firstLine="640"/>
        <w:rPr>
          <w:rFonts w:hint="eastAsia"/>
          <w:color w:val="auto"/>
          <w:highlight w:val="none"/>
          <w:lang w:val="en-US" w:eastAsia="zh-CN"/>
        </w:rPr>
      </w:pPr>
      <w:r>
        <w:rPr>
          <w:rFonts w:hint="eastAsia" w:ascii="仿宋_GB2312" w:eastAsia="仿宋_GB2312"/>
          <w:color w:val="auto"/>
          <w:highlight w:val="none"/>
          <w:lang w:val="en-US" w:eastAsia="zh-CN"/>
        </w:rPr>
        <w:t>支持商圈、商业综合体等开展业态创新、模式升级，在文娱、旅游、健康、体育等领域，深化人工智能、元宇宙等数字技术应用，打造商旅文体健融合消费新场景。</w:t>
      </w:r>
      <w:r>
        <w:rPr>
          <w:rFonts w:hint="eastAsia"/>
          <w:color w:val="auto"/>
          <w:highlight w:val="none"/>
          <w:lang w:val="en-US" w:eastAsia="zh-CN"/>
        </w:rPr>
        <w:t>鼓励</w:t>
      </w:r>
      <w:r>
        <w:rPr>
          <w:rFonts w:hint="eastAsia" w:ascii="仿宋_GB2312" w:eastAsia="仿宋_GB2312"/>
          <w:color w:val="auto"/>
          <w:highlight w:val="none"/>
          <w:lang w:val="en-US" w:eastAsia="zh-CN"/>
        </w:rPr>
        <w:t>对市内商圈、商业综合体通过创新升级融合商、旅、文、体、健等业态，</w:t>
      </w:r>
      <w:r>
        <w:rPr>
          <w:rFonts w:hint="eastAsia"/>
          <w:color w:val="auto"/>
          <w:highlight w:val="none"/>
          <w:lang w:val="en-US" w:eastAsia="zh-CN"/>
        </w:rPr>
        <w:t>有效拉动消费</w:t>
      </w:r>
      <w:r>
        <w:rPr>
          <w:rFonts w:hint="eastAsia" w:ascii="仿宋_GB2312" w:eastAsia="仿宋_GB2312"/>
          <w:color w:val="auto"/>
          <w:highlight w:val="none"/>
          <w:lang w:val="en-US" w:eastAsia="zh-CN"/>
        </w:rPr>
        <w:t>。</w:t>
      </w:r>
    </w:p>
    <w:p w14:paraId="608E68A9">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8852"/>
      <w:bookmarkStart w:id="7" w:name="_Toc15437"/>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14:paraId="018F8C6A">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14:paraId="02F436E8">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p>
    <w:p w14:paraId="690D8E57">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14:paraId="4B387B9D">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14:paraId="730A9341">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14:paraId="4573EEC5">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14:paraId="32404273">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14:paraId="4936EF6E">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补贴</w:t>
      </w:r>
      <w:r>
        <w:rPr>
          <w:rFonts w:hint="eastAsia" w:ascii="仿宋_GB2312" w:eastAsia="仿宋_GB2312"/>
          <w:color w:val="auto"/>
          <w:highlight w:val="none"/>
          <w:lang w:val="en-US" w:eastAsia="zh-CN"/>
        </w:rPr>
        <w:t>金额和拨付进度等进行统一调整，申报单位应无条件同意调整结果。</w:t>
      </w:r>
    </w:p>
    <w:p w14:paraId="744235AD">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14:paraId="5E9844D8">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14:paraId="7D797512">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15307"/>
      <w:bookmarkStart w:id="11" w:name="_Toc431"/>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14:paraId="78A8B01B">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14:paraId="27D9AB28">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1.申报单位为在深圳市实际从事经营活动的企业、事业单位。</w:t>
      </w:r>
    </w:p>
    <w:p w14:paraId="2CF826C1">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2.申报单位应为消费新业态新模式新场景试点项目（即申报项目）的实际建设或运营主体，项目所在地应在深圳市（含深汕特别合作区，下同）。</w:t>
      </w:r>
    </w:p>
    <w:p w14:paraId="52019149">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14:paraId="231C9011">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14:paraId="1FA81BFB">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14:paraId="05918B27">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w:t>
      </w:r>
      <w:r>
        <w:rPr>
          <w:rFonts w:hint="default"/>
          <w:color w:val="auto"/>
          <w:highlight w:val="none"/>
          <w:lang w:eastAsia="zh-CN"/>
        </w:rPr>
        <w:t>内容</w:t>
      </w:r>
      <w:r>
        <w:rPr>
          <w:rFonts w:hint="eastAsia"/>
          <w:color w:val="auto"/>
          <w:highlight w:val="none"/>
          <w:lang w:val="en-US" w:eastAsia="zh-CN"/>
        </w:rPr>
        <w:t>。</w:t>
      </w:r>
    </w:p>
    <w:p w14:paraId="01FC5167">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14:paraId="7DCA2D66">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14:paraId="6CFD43DD">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14:paraId="4A519586">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14:paraId="5F44F326">
      <w:pPr>
        <w:keepNext w:val="0"/>
        <w:keepLines w:val="0"/>
        <w:pageBreakBefore w:val="0"/>
        <w:widowControl/>
        <w:kinsoku/>
        <w:wordWrap/>
        <w:overflowPunct/>
        <w:topLinePunct w:val="0"/>
        <w:autoSpaceDE/>
        <w:autoSpaceDN/>
        <w:bidi w:val="0"/>
        <w:adjustRightInd/>
        <w:snapToGrid/>
        <w:spacing w:before="0" w:after="0"/>
        <w:ind w:firstLine="0"/>
        <w:textAlignment w:val="auto"/>
        <w:rPr>
          <w:rFonts w:hint="eastAsia"/>
          <w:color w:val="auto"/>
          <w:highlight w:val="none"/>
          <w:lang w:val="en-US" w:eastAsia="zh-CN"/>
        </w:rPr>
      </w:pPr>
      <w:r>
        <w:rPr>
          <w:rFonts w:hint="eastAsia"/>
          <w:color w:val="auto"/>
          <w:highlight w:val="none"/>
          <w:lang w:val="en-US" w:eastAsia="zh-CN"/>
        </w:rPr>
        <w:t>1.申报项目须已融合商业、旅游、文化、体育、健康等多业态；</w:t>
      </w:r>
    </w:p>
    <w:p w14:paraId="0819D8BE">
      <w:pPr>
        <w:keepNext w:val="0"/>
        <w:keepLines w:val="0"/>
        <w:pageBreakBefore w:val="0"/>
        <w:widowControl/>
        <w:kinsoku/>
        <w:wordWrap/>
        <w:overflowPunct/>
        <w:topLinePunct w:val="0"/>
        <w:autoSpaceDE/>
        <w:autoSpaceDN/>
        <w:bidi w:val="0"/>
        <w:adjustRightInd/>
        <w:snapToGrid/>
        <w:spacing w:before="0" w:after="0"/>
        <w:ind w:firstLine="0"/>
        <w:textAlignment w:val="auto"/>
        <w:rPr>
          <w:rFonts w:hint="eastAsia"/>
          <w:color w:val="auto"/>
          <w:highlight w:val="none"/>
          <w:lang w:val="en-US" w:eastAsia="zh-CN"/>
        </w:rPr>
      </w:pPr>
      <w:r>
        <w:rPr>
          <w:rFonts w:hint="eastAsia"/>
          <w:color w:val="auto"/>
          <w:highlight w:val="none"/>
          <w:lang w:val="en-US" w:eastAsia="zh-CN"/>
        </w:rPr>
        <w:t>2.评分达到60分及以上（评分表详见附录）。</w:t>
      </w:r>
    </w:p>
    <w:p w14:paraId="5D2C036D">
      <w:pPr>
        <w:pStyle w:val="35"/>
        <w:bidi w:val="0"/>
        <w:spacing w:line="560" w:lineRule="exact"/>
        <w:ind w:firstLine="640" w:firstLineChars="200"/>
        <w:rPr>
          <w:rStyle w:val="19"/>
          <w:rFonts w:hint="eastAsia" w:ascii="仿宋_GB2312" w:hAnsi="仿宋" w:eastAsia="仿宋_GB2312" w:cs="宋体"/>
          <w:bCs/>
          <w:color w:val="auto"/>
          <w:kern w:val="36"/>
          <w:sz w:val="32"/>
          <w:szCs w:val="32"/>
          <w:highlight w:val="none"/>
          <w:lang w:eastAsia="zh-CN"/>
        </w:rPr>
      </w:pP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14:paraId="2881208B">
      <w:pPr>
        <w:keepNext w:val="0"/>
        <w:keepLines w:val="0"/>
        <w:pageBreakBefore w:val="0"/>
        <w:widowControl/>
        <w:kinsoku/>
        <w:wordWrap/>
        <w:overflowPunct/>
        <w:topLinePunct w:val="0"/>
        <w:autoSpaceDE/>
        <w:autoSpaceDN/>
        <w:bidi w:val="0"/>
        <w:adjustRightInd/>
        <w:snapToGrid/>
        <w:spacing w:before="0" w:after="0"/>
        <w:ind w:firstLine="0"/>
        <w:textAlignment w:val="auto"/>
        <w:rPr>
          <w:rFonts w:hint="eastAsia" w:ascii="仿宋_GB2312" w:hAnsi="仿宋_GB2312" w:eastAsia="仿宋_GB2312" w:cs="仿宋"/>
          <w:bCs w:val="0"/>
          <w:color w:val="auto"/>
          <w:kern w:val="2"/>
          <w:szCs w:val="22"/>
          <w:highlight w:val="none"/>
          <w:lang w:val="en-US" w:eastAsia="zh-CN"/>
        </w:rPr>
      </w:pPr>
      <w:r>
        <w:rPr>
          <w:rStyle w:val="19"/>
          <w:rFonts w:hint="default" w:ascii="仿宋_GB2312" w:hAnsi="仿宋_GB2312" w:eastAsia="仿宋_GB2312" w:cs="仿宋_GB2312"/>
          <w:color w:val="auto"/>
          <w:sz w:val="32"/>
          <w:szCs w:val="32"/>
          <w:highlight w:val="none"/>
          <w:lang w:val="en-US" w:eastAsia="zh-CN"/>
        </w:rPr>
        <w:t>不支持发放消费券、优惠补贴、宣传推广等</w:t>
      </w:r>
      <w:r>
        <w:rPr>
          <w:rStyle w:val="19"/>
          <w:rFonts w:hint="eastAsia" w:ascii="仿宋_GB2312" w:hAnsi="仿宋_GB2312" w:eastAsia="仿宋_GB2312" w:cs="仿宋_GB2312"/>
          <w:color w:val="auto"/>
          <w:sz w:val="32"/>
          <w:szCs w:val="32"/>
          <w:highlight w:val="none"/>
          <w:lang w:val="en-US" w:eastAsia="zh-CN"/>
        </w:rPr>
        <w:t>投入</w:t>
      </w:r>
      <w:r>
        <w:rPr>
          <w:rStyle w:val="19"/>
          <w:rFonts w:hint="default" w:ascii="仿宋_GB2312" w:hAnsi="仿宋_GB2312" w:eastAsia="仿宋_GB2312" w:cs="仿宋_GB2312"/>
          <w:color w:val="auto"/>
          <w:sz w:val="32"/>
          <w:szCs w:val="32"/>
          <w:highlight w:val="none"/>
          <w:lang w:val="en-US" w:eastAsia="zh-CN"/>
        </w:rPr>
        <w:t>；不支持政府举办的促消费活动，不支持企业举办的促销推广活动；不支持短期开展的活动或临时搭建的消费场景，不支持存续时间少于一个月的消费场景；不支持单纯的商品消费、单一传统业态的消费场景、以及无消费内容的项目。</w:t>
      </w:r>
    </w:p>
    <w:p w14:paraId="761AC21D">
      <w:pPr>
        <w:bidi w:val="0"/>
        <w:ind w:firstLine="801"/>
        <w:rPr>
          <w:rFonts w:hint="eastAsia" w:ascii="仿宋_GB2312" w:eastAsia="仿宋_GB2312"/>
          <w:color w:val="auto"/>
          <w:highlight w:val="none"/>
          <w:lang w:val="en-US" w:eastAsia="zh-CN"/>
        </w:rPr>
      </w:pPr>
      <w:r>
        <w:rPr>
          <w:rFonts w:hint="eastAsia" w:eastAsia="黑体" w:cs="Times New Roman"/>
          <w:bCs/>
          <w:color w:val="auto"/>
          <w:kern w:val="36"/>
          <w:szCs w:val="48"/>
          <w:highlight w:val="none"/>
          <w:lang w:val="en-US" w:eastAsia="zh-CN"/>
        </w:rPr>
        <w:t>五、</w:t>
      </w:r>
      <w:bookmarkStart w:id="12" w:name="_Toc7095"/>
      <w:bookmarkStart w:id="13" w:name="_Toc31102"/>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14:paraId="39699BEC">
      <w:pPr>
        <w:bidi w:val="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对</w:t>
      </w:r>
      <w:r>
        <w:rPr>
          <w:rFonts w:hint="eastAsia"/>
          <w:color w:val="auto"/>
          <w:highlight w:val="none"/>
          <w:lang w:val="en-US" w:eastAsia="zh-CN"/>
        </w:rPr>
        <w:t>符合条件的</w:t>
      </w:r>
      <w:r>
        <w:rPr>
          <w:rFonts w:hint="eastAsia" w:ascii="仿宋_GB2312" w:eastAsia="仿宋_GB2312"/>
          <w:color w:val="auto"/>
          <w:highlight w:val="none"/>
          <w:lang w:val="en-US" w:eastAsia="zh-CN"/>
        </w:rPr>
        <w:t>项目按相关实际</w:t>
      </w:r>
      <w:r>
        <w:rPr>
          <w:rFonts w:hint="eastAsia"/>
          <w:color w:val="auto"/>
          <w:highlight w:val="none"/>
          <w:lang w:val="en-US" w:eastAsia="zh-CN"/>
        </w:rPr>
        <w:t>有效</w:t>
      </w:r>
      <w:r>
        <w:rPr>
          <w:rFonts w:hint="eastAsia" w:ascii="仿宋_GB2312" w:eastAsia="仿宋_GB2312"/>
          <w:color w:val="auto"/>
          <w:highlight w:val="none"/>
          <w:lang w:val="en-US" w:eastAsia="zh-CN"/>
        </w:rPr>
        <w:t>投入（不含各级财政投资部分）15%给予资助，试点期间最高不超过500万元。</w:t>
      </w:r>
    </w:p>
    <w:p w14:paraId="2547ED0C">
      <w:pPr>
        <w:bidi w:val="0"/>
        <w:rPr>
          <w:rFonts w:hint="eastAsia" w:ascii="仿宋_GB2312" w:eastAsia="仿宋_GB2312"/>
          <w:color w:val="auto"/>
          <w:highlight w:val="none"/>
          <w:lang w:val="en-US" w:eastAsia="zh-CN"/>
        </w:rPr>
      </w:pPr>
      <w:r>
        <w:rPr>
          <w:rFonts w:hint="eastAsia"/>
          <w:color w:val="auto"/>
          <w:highlight w:val="none"/>
          <w:lang w:val="en-US" w:eastAsia="zh-CN"/>
        </w:rPr>
        <w:t>实际有效投入是指</w:t>
      </w:r>
      <w:r>
        <w:rPr>
          <w:rStyle w:val="19"/>
          <w:rFonts w:hint="eastAsia"/>
          <w:color w:val="auto"/>
          <w:sz w:val="32"/>
          <w:szCs w:val="32"/>
          <w:highlight w:val="none"/>
          <w:lang w:eastAsia="zh-CN"/>
        </w:rPr>
        <w:t>2025年9月30日以来至申报日，</w:t>
      </w:r>
      <w:r>
        <w:rPr>
          <w:rFonts w:hint="eastAsia"/>
          <w:color w:val="auto"/>
          <w:highlight w:val="none"/>
          <w:lang w:val="en-US" w:eastAsia="zh-CN"/>
        </w:rPr>
        <w:t>申报主体在打造商旅文体健融合时，</w:t>
      </w:r>
      <w:r>
        <w:rPr>
          <w:rFonts w:hint="eastAsia"/>
          <w:color w:val="000000" w:themeColor="text1"/>
          <w:highlight w:val="none"/>
          <w:lang w:val="en-US" w:eastAsia="zh-CN"/>
          <w14:textFill>
            <w14:solidFill>
              <w14:schemeClr w14:val="tx1"/>
            </w14:solidFill>
          </w14:textFill>
        </w:rPr>
        <w:t>已完成或阶段性完成部分</w:t>
      </w:r>
      <w:r>
        <w:rPr>
          <w:rFonts w:hint="eastAsia"/>
          <w:color w:val="auto"/>
          <w:highlight w:val="none"/>
          <w:lang w:val="en-US" w:eastAsia="zh-CN"/>
        </w:rPr>
        <w:t>相应投入，不包括第四条专项条件中明确不予支持的投入部分。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14:paraId="10DD03B2">
      <w:pPr>
        <w:pStyle w:val="35"/>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7147"/>
      <w:bookmarkStart w:id="15" w:name="_Toc27028"/>
      <w:r>
        <w:rPr>
          <w:rFonts w:hint="eastAsia" w:ascii="黑体" w:hAnsi="黑体" w:eastAsia="黑体" w:cs="仿宋"/>
          <w:color w:val="auto"/>
          <w:kern w:val="2"/>
          <w:sz w:val="32"/>
          <w:szCs w:val="22"/>
          <w:highlight w:val="none"/>
          <w:lang w:val="en-US" w:eastAsia="zh-CN" w:bidi="ar-SA"/>
        </w:rPr>
        <w:t>六、申报材料</w:t>
      </w:r>
      <w:bookmarkEnd w:id="14"/>
      <w:bookmarkEnd w:id="15"/>
    </w:p>
    <w:p w14:paraId="351B562F">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pPr>
      <w:r>
        <w:rPr>
          <w:rFonts w:hint="default"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（一）</w:t>
      </w:r>
      <w:r>
        <w:rPr>
          <w:rFonts w:hint="eastAsia" w:ascii="楷体" w:hAnsi="楷体" w:eastAsia="楷体_GB2312" w:cstheme="majorBidi"/>
          <w:bCs/>
          <w:color w:val="000000" w:themeColor="text1"/>
          <w:kern w:val="2"/>
          <w:sz w:val="32"/>
          <w:szCs w:val="32"/>
          <w:highlight w:val="none"/>
          <w:lang w:val="en-US" w:eastAsia="zh-CN" w:bidi="ar-SA"/>
          <w14:textFill>
            <w14:solidFill>
              <w14:schemeClr w14:val="tx1"/>
            </w14:solidFill>
          </w14:textFill>
        </w:rPr>
        <w:t>基本材料清单</w:t>
      </w:r>
    </w:p>
    <w:p w14:paraId="2825647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请各项目申报单位于线上填写并提交《项目申报书》，网址：https://www.gdzwfw.gov.cn/（广东政务服务网），搜索“深圳市消费新业态新模式新场景试点项目（支持创新多元化服务消费场景—商旅文体健多元融合载体资助项目）”——选择深圳市-南山区后，按照相关事项提示流程和要求进行线上申报（特别提醒该事项办理需申报主体以法人账号登录提交，不接受个人账号提交），并按办理指南提交相关材料（包括并不限于）如下：</w:t>
      </w:r>
    </w:p>
    <w:p w14:paraId="2E7D43F3">
      <w:pPr>
        <w:bidi w:val="0"/>
        <w:rPr>
          <w:rFonts w:hint="eastAsia" w:eastAsia="仿宋_GB2312"/>
          <w:color w:val="000000" w:themeColor="text1"/>
          <w:highlight w:val="none"/>
          <w:lang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w:t>
      </w:r>
      <w:r>
        <w:rPr>
          <w:rFonts w:hint="default"/>
          <w:highlight w:val="none"/>
        </w:rPr>
        <w:t>资金项目申请书</w:t>
      </w:r>
      <w:r>
        <w:rPr>
          <w:rFonts w:hint="eastAsia"/>
          <w:highlight w:val="none"/>
          <w:lang w:eastAsia="zh-CN"/>
        </w:rPr>
        <w:t>：</w:t>
      </w:r>
      <w:r>
        <w:rPr>
          <w:rFonts w:hint="default"/>
          <w:highlight w:val="none"/>
        </w:rPr>
        <w:t>申报单位按照申报材料要求编写项目申请书并提供相关证明材料</w:t>
      </w:r>
      <w:r>
        <w:rPr>
          <w:rFonts w:hint="eastAsia"/>
          <w:color w:val="auto"/>
          <w:highlight w:val="none"/>
          <w:lang w:val="en-US" w:eastAsia="zh-CN"/>
        </w:rPr>
        <w:t>（温馨提示：材料要求齐备，缺漏无法受理，请务必认真研读相关指南，切实准备资料，确认符合申请条件和材料齐备后再行提交，避免资料补缺导致办理时间过长或条件不符合退回）</w:t>
      </w:r>
      <w:r>
        <w:rPr>
          <w:rFonts w:hint="default"/>
          <w:highlight w:val="none"/>
        </w:rPr>
        <w:t>，初审通过后提供申请书纸质文件原件</w:t>
      </w:r>
      <w:r>
        <w:rPr>
          <w:rFonts w:hint="eastAsia"/>
          <w:highlight w:val="none"/>
          <w:lang w:eastAsia="zh-CN"/>
        </w:rPr>
        <w:t>，并按照</w:t>
      </w:r>
      <w:r>
        <w:rPr>
          <w:rFonts w:hint="default"/>
          <w:highlight w:val="none"/>
        </w:rPr>
        <w:t>本指南第六条要求的项目申报材料</w:t>
      </w:r>
      <w:r>
        <w:rPr>
          <w:rFonts w:hint="eastAsia"/>
          <w:highlight w:val="none"/>
          <w:lang w:eastAsia="zh-CN"/>
        </w:rPr>
        <w:t>（一式四份）</w:t>
      </w:r>
      <w:r>
        <w:rPr>
          <w:rFonts w:hint="default"/>
          <w:highlight w:val="none"/>
        </w:rPr>
        <w:t>一并线下或通过邮寄方式</w:t>
      </w:r>
      <w:r>
        <w:rPr>
          <w:rFonts w:hint="default"/>
          <w:highlight w:val="none"/>
          <w:lang w:val="en-US"/>
        </w:rPr>
        <w:t>将材料递交至政务服务大厅</w:t>
      </w:r>
      <w:r>
        <w:rPr>
          <w:rFonts w:hint="default"/>
          <w:highlight w:val="none"/>
        </w:rPr>
        <w:t>，线下受理地址</w:t>
      </w:r>
      <w:r>
        <w:rPr>
          <w:rFonts w:hint="default"/>
          <w:highlight w:val="none"/>
          <w:lang w:val="en-US"/>
        </w:rPr>
        <w:t>可通过</w:t>
      </w:r>
      <w:r>
        <w:rPr>
          <w:rFonts w:hint="default"/>
          <w:highlight w:val="none"/>
        </w:rPr>
        <w:t>线上申报系统申请页面查询</w:t>
      </w:r>
      <w:r>
        <w:rPr>
          <w:rFonts w:hint="default"/>
          <w:highlight w:val="none"/>
          <w:lang w:val="en-US"/>
        </w:rPr>
        <w:t>，</w:t>
      </w:r>
      <w:r>
        <w:rPr>
          <w:rFonts w:hint="eastAsia"/>
          <w:highlight w:val="none"/>
          <w:lang w:val="en-US" w:eastAsia="zh-CN"/>
        </w:rPr>
        <w:t>或见本指南第八条（三）受理地址。</w:t>
      </w:r>
    </w:p>
    <w:p w14:paraId="3606A693">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14:paraId="6B822189">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p>
    <w:p w14:paraId="3E21C3BD">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14:paraId="5E71229C">
      <w:pPr>
        <w:bidi w:val="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w:t>
      </w:r>
      <w:r>
        <w:rPr>
          <w:rFonts w:hint="default"/>
          <w:color w:val="auto"/>
          <w:highlight w:val="none"/>
          <w:lang w:val="en-US" w:eastAsia="zh-CN"/>
        </w:rPr>
        <w:t>.</w:t>
      </w:r>
      <w:r>
        <w:rPr>
          <w:rFonts w:hint="eastAsia" w:ascii="仿宋_GB2312" w:eastAsia="仿宋_GB2312"/>
          <w:color w:val="auto"/>
          <w:highlight w:val="none"/>
          <w:lang w:val="en-US" w:eastAsia="zh-CN"/>
        </w:rPr>
        <w:t>评分表佐证材料</w:t>
      </w:r>
      <w:r>
        <w:rPr>
          <w:rFonts w:hint="eastAsia"/>
          <w:color w:val="auto"/>
          <w:highlight w:val="none"/>
          <w:lang w:val="en-US" w:eastAsia="zh-CN"/>
        </w:rPr>
        <w:t>：</w:t>
      </w:r>
      <w:r>
        <w:rPr>
          <w:rFonts w:hint="eastAsia" w:ascii="仿宋_GB2312" w:eastAsia="仿宋_GB2312"/>
          <w:color w:val="auto"/>
          <w:highlight w:val="none"/>
          <w:lang w:val="en-US" w:eastAsia="zh-CN"/>
        </w:rPr>
        <w:t>各申报单位应按照本指南附件《评分表》中所列指标及要求，完整提交对应佐证材料。</w:t>
      </w:r>
    </w:p>
    <w:p w14:paraId="1839FC1A">
      <w:pPr>
        <w:bidi w:val="0"/>
        <w:rPr>
          <w:rFonts w:hint="eastAsia"/>
          <w:color w:val="auto"/>
          <w:highlight w:val="none"/>
          <w:lang w:val="en-US" w:eastAsia="zh-CN"/>
        </w:rPr>
      </w:pPr>
      <w:r>
        <w:rPr>
          <w:rFonts w:hint="eastAsia"/>
          <w:color w:val="auto"/>
          <w:highlight w:val="none"/>
          <w:lang w:val="en-US" w:eastAsia="zh-CN"/>
        </w:rPr>
        <w:t>2.项目成效总结（模板详见项目申报书）。</w:t>
      </w:r>
    </w:p>
    <w:p w14:paraId="59EE1524">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专项资金项目投入明细表</w:t>
      </w:r>
      <w:r>
        <w:rPr>
          <w:rFonts w:hint="eastAsia"/>
          <w:color w:val="auto"/>
          <w:highlight w:val="none"/>
          <w:lang w:val="en-US" w:eastAsia="zh-CN"/>
        </w:rPr>
        <w:t>及佐证材料（详见项目申报书）。</w:t>
      </w:r>
    </w:p>
    <w:p w14:paraId="0A4614E7">
      <w:pPr>
        <w:bidi w:val="0"/>
        <w:rPr>
          <w:rFonts w:hint="eastAsia"/>
          <w:color w:val="auto"/>
          <w:highlight w:val="none"/>
          <w:lang w:val="en-US" w:eastAsia="zh-CN"/>
        </w:rPr>
      </w:pPr>
      <w:r>
        <w:rPr>
          <w:rFonts w:hint="default"/>
          <w:color w:val="auto"/>
          <w:highlight w:val="none"/>
          <w:lang w:val="en-US" w:eastAsia="zh-CN"/>
        </w:rPr>
        <w:t>以上申报材料按顺序一式四份（附可编辑电子版和PDF扫描件）连续编写页码装订成册，在封面加盖单位公章并加盖骑缝章（其中，申报指引及附件有明确要求加盖公章的资料需按要求执行）；规格为A4纸正反面打印/复印。</w:t>
      </w:r>
    </w:p>
    <w:p w14:paraId="34DE4E78">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19526"/>
      <w:bookmarkStart w:id="17" w:name="_Toc5711"/>
      <w:r>
        <w:rPr>
          <w:rFonts w:hint="eastAsia" w:ascii="黑体" w:hAnsi="黑体" w:eastAsia="黑体" w:cs="仿宋"/>
          <w:color w:val="auto"/>
          <w:kern w:val="2"/>
          <w:sz w:val="32"/>
          <w:szCs w:val="22"/>
          <w:highlight w:val="none"/>
          <w:lang w:val="en-US" w:eastAsia="zh-CN" w:bidi="ar-SA"/>
        </w:rPr>
        <w:t>七、申请表格</w:t>
      </w:r>
      <w:bookmarkEnd w:id="16"/>
      <w:bookmarkEnd w:id="17"/>
    </w:p>
    <w:p w14:paraId="7164D896">
      <w:pPr>
        <w:keepNext/>
        <w:keepLines/>
        <w:widowControl w:val="0"/>
        <w:bidi w:val="0"/>
        <w:spacing w:before="0" w:beforeLines="0" w:beforeAutospacing="0" w:after="0" w:afterLines="0" w:afterAutospacing="0" w:line="560" w:lineRule="exact"/>
        <w:ind w:firstLine="640" w:firstLineChars="200"/>
        <w:jc w:val="both"/>
        <w:outlineLvl w:val="0"/>
        <w:rPr>
          <w:rFonts w:hint="eastAsia" w:hAnsi="Calibri" w:cs="Times New Roman"/>
          <w:color w:val="auto"/>
          <w:sz w:val="32"/>
          <w:szCs w:val="32"/>
          <w:highlight w:val="none"/>
          <w:lang w:eastAsia="zh-CN"/>
        </w:rPr>
      </w:pPr>
      <w:bookmarkStart w:id="18" w:name="_Toc13760"/>
      <w:bookmarkStart w:id="19" w:name="_Toc20121"/>
      <w:r>
        <w:rPr>
          <w:rFonts w:hint="eastAsia" w:hAnsi="Calibri" w:cs="Times New Roman"/>
          <w:color w:val="auto"/>
          <w:sz w:val="32"/>
          <w:szCs w:val="32"/>
          <w:highlight w:val="none"/>
          <w:lang w:eastAsia="zh-CN"/>
        </w:rPr>
        <w:t>按照本指南第六条（一）规定登录广东政务服务网在线填报申请书，网址：https://www.gdzwfw.gov.cn/。请在线上下载并填写《深圳市2026年中央资金消费新业态新模式新场景试点项目申报书》。</w:t>
      </w:r>
    </w:p>
    <w:p w14:paraId="45B83816">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八、受理机关</w:t>
      </w:r>
      <w:bookmarkEnd w:id="18"/>
      <w:bookmarkEnd w:id="19"/>
    </w:p>
    <w:p w14:paraId="619C0522">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14:paraId="14E5932B">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深圳市南山区商务局。</w:t>
      </w:r>
    </w:p>
    <w:p w14:paraId="3EDBCDF4">
      <w:pPr>
        <w:keepNext w:val="0"/>
        <w:keepLines w:val="0"/>
        <w:widowControl/>
        <w:bidi w:val="0"/>
        <w:spacing w:before="0" w:after="0" w:line="240" w:lineRule="auto"/>
        <w:ind w:firstLine="640" w:firstLineChars="200"/>
        <w:jc w:val="left"/>
        <w:outlineLvl w:val="9"/>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14:paraId="647F4135">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1.网络填报时间：202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r>
        <w:rPr>
          <w:rFonts w:hint="eastAsia" w:hAnsi="宋体" w:cs="宋体"/>
          <w:color w:val="000000" w:themeColor="text1"/>
          <w:kern w:val="0"/>
          <w:sz w:val="32"/>
          <w:szCs w:val="32"/>
          <w:highlight w:val="none"/>
          <w:lang w:val="en-US" w:eastAsia="zh-CN"/>
          <w14:textFill>
            <w14:solidFill>
              <w14:schemeClr w14:val="tx1"/>
            </w14:solidFill>
          </w14:textFill>
        </w:rPr>
        <w:t>。</w:t>
      </w:r>
    </w:p>
    <w:p w14:paraId="4E5211B2">
      <w:pPr>
        <w:bidi w:val="0"/>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2.材料提交时间：2026年</w:t>
      </w:r>
      <w:r>
        <w:rPr>
          <w:rFonts w:hint="eastAsia" w:hAnsi="宋体" w:cs="宋体"/>
          <w:color w:val="000000" w:themeColor="text1"/>
          <w:kern w:val="0"/>
          <w:sz w:val="32"/>
          <w:szCs w:val="32"/>
          <w:highlight w:val="none"/>
          <w:lang w:val="en-US" w:eastAsia="zh-CN"/>
          <w14:textFill>
            <w14:solidFill>
              <w14:schemeClr w14:val="tx1"/>
            </w14:solidFill>
          </w14:textFill>
        </w:rPr>
        <w:t>6</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日-2026年</w:t>
      </w:r>
      <w:r>
        <w:rPr>
          <w:rFonts w:hint="eastAsia" w:hAnsi="宋体" w:cs="宋体"/>
          <w:color w:val="000000" w:themeColor="text1"/>
          <w:kern w:val="0"/>
          <w:sz w:val="32"/>
          <w:szCs w:val="32"/>
          <w:highlight w:val="none"/>
          <w:lang w:val="en-US" w:eastAsia="zh-CN"/>
          <w14:textFill>
            <w14:solidFill>
              <w14:schemeClr w14:val="tx1"/>
            </w14:solidFill>
          </w14:textFill>
        </w:rPr>
        <w:t>7</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月</w:t>
      </w:r>
      <w:r>
        <w:rPr>
          <w:rFonts w:hint="eastAsia" w:hAnsi="宋体" w:cs="宋体"/>
          <w:color w:val="000000" w:themeColor="text1"/>
          <w:kern w:val="0"/>
          <w:sz w:val="32"/>
          <w:szCs w:val="32"/>
          <w:highlight w:val="none"/>
          <w:lang w:val="en-US" w:eastAsia="zh-CN"/>
          <w14:textFill>
            <w14:solidFill>
              <w14:schemeClr w14:val="tx1"/>
            </w14:solidFill>
          </w14:textFill>
        </w:rPr>
        <w:t>24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日。</w:t>
      </w:r>
    </w:p>
    <w:p w14:paraId="0A8BC665">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14:paraId="4652C4C2">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（三）受理地点</w:t>
      </w:r>
    </w:p>
    <w:p w14:paraId="01706AEC">
      <w:pPr>
        <w:keepNext w:val="0"/>
        <w:keepLines w:val="0"/>
        <w:widowControl/>
        <w:suppressLineNumbers w:val="0"/>
        <w:jc w:val="left"/>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pPr>
      <w:r>
        <w:rPr>
          <w:rFonts w:hint="eastAsia" w:cs="仿宋_GB2312"/>
          <w:color w:val="auto"/>
          <w:sz w:val="32"/>
          <w:szCs w:val="32"/>
          <w:highlight w:val="none"/>
          <w:lang w:eastAsia="zh-CN"/>
        </w:rPr>
        <w:t>线上受理：</w:t>
      </w:r>
      <w:r>
        <w:rPr>
          <w:rFonts w:hint="eastAsia"/>
          <w:color w:val="auto"/>
          <w:highlight w:val="none"/>
          <w:lang w:val="en-US" w:eastAsia="zh-CN"/>
        </w:rPr>
        <w:t>https://www.gdzwfw.gov.cn/（广东政务服务网）。</w:t>
      </w:r>
    </w:p>
    <w:p w14:paraId="756A1CF0">
      <w:pPr>
        <w:bidi w:val="0"/>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线下材料递交地址：</w:t>
      </w:r>
    </w:p>
    <w:p w14:paraId="76F1BEEF">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（1）深圳市南山区政务服务中心</w:t>
      </w:r>
    </w:p>
    <w:p w14:paraId="47612FE9">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地址：深圳市南山区滨海大道辅路3001号深圳湾体育中心南山区政务服务中心一楼综合窗口（深圳湾体育中心东南侧独栋楼房）；办公电话：0755-86975095。</w:t>
      </w:r>
    </w:p>
    <w:p w14:paraId="76D84B0A">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w:t>
      </w:r>
      <w:r>
        <w:rPr>
          <w:rFonts w:hint="default"/>
          <w:color w:val="000000" w:themeColor="text1"/>
          <w:highlight w:val="none"/>
          <w:lang w:val="en-US" w:eastAsia="zh-CN"/>
          <w14:textFill>
            <w14:solidFill>
              <w14:schemeClr w14:val="tx1"/>
            </w14:solidFill>
          </w14:textFill>
        </w:rPr>
        <w:t>时间：周一至周五：9:00－12:00</w:t>
      </w:r>
      <w:r>
        <w:rPr>
          <w:rFonts w:hint="eastAsia"/>
          <w:color w:val="000000" w:themeColor="text1"/>
          <w:highlight w:val="none"/>
          <w:lang w:val="en-US" w:eastAsia="zh-CN"/>
          <w14:textFill>
            <w14:solidFill>
              <w14:schemeClr w14:val="tx1"/>
            </w14:solidFill>
          </w14:textFill>
        </w:rPr>
        <w:t>，</w:t>
      </w:r>
      <w:r>
        <w:rPr>
          <w:rFonts w:hint="default"/>
          <w:color w:val="000000" w:themeColor="text1"/>
          <w:highlight w:val="none"/>
          <w:lang w:val="en-US" w:eastAsia="zh-CN"/>
          <w14:textFill>
            <w14:solidFill>
              <w14:schemeClr w14:val="tx1"/>
            </w14:solidFill>
          </w14:textFill>
        </w:rPr>
        <w:t>14:00-17:45（午间服务时间12:00-14:00。法定节假日休息，不对外办公</w:t>
      </w:r>
      <w:r>
        <w:rPr>
          <w:rFonts w:hint="eastAsia"/>
          <w:color w:val="000000" w:themeColor="text1"/>
          <w:highlight w:val="none"/>
          <w:lang w:val="en-US" w:eastAsia="zh-CN"/>
          <w14:textFill>
            <w14:solidFill>
              <w14:schemeClr w14:val="tx1"/>
            </w14:solidFill>
          </w14:textFill>
        </w:rPr>
        <w:t>）。</w:t>
      </w:r>
    </w:p>
    <w:p w14:paraId="1961B22E">
      <w:pPr>
        <w:bidi w:val="0"/>
        <w:rPr>
          <w:rFonts w:hint="default"/>
          <w:color w:val="000000" w:themeColor="text1"/>
          <w:highlight w:val="none"/>
          <w:lang w:val="en-US" w:eastAsia="zh-CN"/>
          <w14:textFill>
            <w14:solidFill>
              <w14:schemeClr w14:val="tx1"/>
            </w14:solidFill>
          </w14:textFill>
        </w:rPr>
      </w:pPr>
      <w:r>
        <w:rPr>
          <w:rFonts w:hint="default"/>
          <w:color w:val="000000" w:themeColor="text1"/>
          <w:highlight w:val="none"/>
          <w:lang w:val="en-US" w:eastAsia="zh-CN"/>
          <w14:textFill>
            <w14:solidFill>
              <w14:schemeClr w14:val="tx1"/>
            </w14:solidFill>
          </w14:textFill>
        </w:rPr>
        <w:t>（2）深圳市南山区政务服务中心创智云城服务厅</w:t>
      </w:r>
    </w:p>
    <w:p w14:paraId="5F42962F">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详细地址：深圳市南山区创科路260号创智云城A3栋3楼综合窗口；办公电话：0755-86965234。</w:t>
      </w:r>
    </w:p>
    <w:p w14:paraId="2D6A3532">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办理时间：周一至周五：9</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00－12:00，14:00-17</w:t>
      </w:r>
      <w:r>
        <w:rPr>
          <w:rFonts w:hint="default"/>
          <w:color w:val="000000" w:themeColor="text1"/>
          <w:highlight w:val="none"/>
          <w:lang w:val="en-US"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45（法定节假日休息，不对外办公）</w:t>
      </w:r>
    </w:p>
    <w:p w14:paraId="57ADBE5C">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（3）深圳市南山区政务服务中心创新广场服务厅</w:t>
      </w:r>
    </w:p>
    <w:p w14:paraId="1FBFEF0E">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详细地址：深圳市南山区白石路3069号深圳湾科技生态园9栋A座B3层南山区政务服务中心创新广场服务厅综合窗口；办公电话：0755-26923005。</w:t>
      </w:r>
    </w:p>
    <w:p w14:paraId="5ABDEFB7">
      <w:pPr>
        <w:bidi w:val="0"/>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办理时间：周一至周五上午9:00—12:00；14:00—17:45（法定节假日及调休除外）</w:t>
      </w:r>
    </w:p>
    <w:p w14:paraId="3691D816">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14:paraId="1112CF47">
      <w:pPr>
        <w:bidi w:val="0"/>
        <w:rPr>
          <w:rFonts w:hint="default" w:ascii="仿宋_GB2312" w:hAnsi="宋体" w:eastAsia="仿宋_GB2312" w:cs="宋体"/>
          <w:color w:val="000000" w:themeColor="text1"/>
          <w:kern w:val="0"/>
          <w:sz w:val="32"/>
          <w:szCs w:val="32"/>
          <w:highlight w:val="none"/>
          <w:lang w:val="en-US" w:eastAsia="zh-CN"/>
          <w14:textFill>
            <w14:solidFill>
              <w14:schemeClr w14:val="tx1"/>
            </w14:solidFill>
          </w14:textFill>
        </w:rPr>
      </w:pPr>
      <w:bookmarkStart w:id="20" w:name="_Toc9722"/>
      <w:bookmarkStart w:id="21" w:name="_Toc1376"/>
      <w:r>
        <w:rPr>
          <w:rFonts w:hint="eastAsia" w:hAnsi="宋体" w:cs="宋体"/>
          <w:color w:val="000000" w:themeColor="text1"/>
          <w:kern w:val="0"/>
          <w:sz w:val="32"/>
          <w:szCs w:val="32"/>
          <w:highlight w:val="none"/>
          <w:lang w:val="en-US" w:eastAsia="zh-CN"/>
          <w14:textFill>
            <w14:solidFill>
              <w14:schemeClr w14:val="tx1"/>
            </w14:solidFill>
          </w14:textFill>
        </w:rPr>
        <w:t>0755-88167804、</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0755-88167811</w:t>
      </w:r>
    </w:p>
    <w:p w14:paraId="4F9ADDD1">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九、申请决定机关</w:t>
      </w:r>
      <w:bookmarkEnd w:id="20"/>
      <w:bookmarkEnd w:id="21"/>
    </w:p>
    <w:p w14:paraId="45145673">
      <w:pPr>
        <w:keepNext/>
        <w:keepLines/>
        <w:widowControl w:val="0"/>
        <w:bidi w:val="0"/>
        <w:spacing w:before="0" w:beforeLines="0" w:beforeAutospacing="0" w:after="0" w:afterLines="0" w:afterAutospacing="0" w:line="560" w:lineRule="exact"/>
        <w:ind w:firstLine="640" w:firstLineChars="200"/>
        <w:jc w:val="both"/>
        <w:outlineLvl w:val="0"/>
        <w:rPr>
          <w:rFonts w:hint="eastAsia" w:hAnsi="宋体" w:cs="宋体"/>
          <w:color w:val="000000" w:themeColor="text1"/>
          <w:kern w:val="0"/>
          <w:sz w:val="32"/>
          <w:szCs w:val="32"/>
          <w:highlight w:val="none"/>
          <w:lang w:val="en-US" w:eastAsia="zh-CN"/>
          <w14:textFill>
            <w14:solidFill>
              <w14:schemeClr w14:val="tx1"/>
            </w14:solidFill>
          </w14:textFill>
        </w:rPr>
      </w:pPr>
      <w:bookmarkStart w:id="22" w:name="_Toc16198"/>
      <w:bookmarkStart w:id="23" w:name="_Toc11274"/>
      <w:bookmarkStart w:id="24" w:name="_Toc2137"/>
      <w:bookmarkStart w:id="25" w:name="_Toc10305"/>
      <w:bookmarkStart w:id="26" w:name="_Toc161850809"/>
      <w:bookmarkStart w:id="27" w:name="_Toc125127183"/>
      <w:r>
        <w:rPr>
          <w:rFonts w:hint="eastAsia" w:hAnsi="宋体" w:cs="宋体"/>
          <w:color w:val="000000" w:themeColor="text1"/>
          <w:kern w:val="0"/>
          <w:sz w:val="32"/>
          <w:szCs w:val="32"/>
          <w:highlight w:val="none"/>
          <w:lang w:val="en-US" w:eastAsia="zh-CN"/>
          <w14:textFill>
            <w14:solidFill>
              <w14:schemeClr w14:val="tx1"/>
            </w14:solidFill>
          </w14:textFill>
        </w:rPr>
        <w:t>深圳市南山区商务局</w:t>
      </w:r>
    </w:p>
    <w:p w14:paraId="203B035E">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十、办理流程</w:t>
      </w:r>
      <w:bookmarkEnd w:id="22"/>
      <w:bookmarkEnd w:id="23"/>
    </w:p>
    <w:p w14:paraId="1BFE44A0">
      <w:pPr>
        <w:bidi w:val="0"/>
        <w:rPr>
          <w:rFonts w:hint="eastAsia" w:ascii="仿宋_GB2312" w:hAnsi="仿宋_GB2312" w:eastAsia="仿宋_GB2312" w:cs="Times New Roman"/>
          <w:color w:val="auto"/>
          <w:sz w:val="32"/>
          <w:szCs w:val="32"/>
          <w:highlight w:val="none"/>
          <w:lang w:bidi="ar"/>
        </w:rPr>
      </w:pPr>
      <w:r>
        <w:rPr>
          <w:rFonts w:hint="eastAsia" w:ascii="仿宋_GB2312" w:hAnsi="仿宋_GB2312" w:eastAsia="仿宋_GB2312" w:cs="Times New Roman"/>
          <w:color w:val="auto"/>
          <w:sz w:val="32"/>
          <w:szCs w:val="32"/>
          <w:highlight w:val="none"/>
          <w:lang w:val="en-US" w:eastAsia="zh-CN" w:bidi="ar"/>
        </w:rPr>
        <w:t>区级商务主管部门发布申报指南——申报单位网上申报——区级商务主管部门网上初审——申报单位向辖区政务服务中心收文窗口提交申请材料——区级商务部门开展形式审查——区级商务主管部门开展资质审查——区级商务主管部门组织专项审计——征求意见与综合核查——拟定资助计划——社会公示——下达资助计划——通知申报单位提交拨付资料——拨付资金</w:t>
      </w:r>
      <w:r>
        <w:rPr>
          <w:rFonts w:hint="eastAsia" w:ascii="仿宋_GB2312" w:hAnsi="仿宋_GB2312" w:eastAsia="仿宋_GB2312" w:cs="Times New Roman"/>
          <w:color w:val="auto"/>
          <w:sz w:val="32"/>
          <w:szCs w:val="32"/>
          <w:highlight w:val="none"/>
          <w:lang w:bidi="ar"/>
        </w:rPr>
        <w:t>。</w:t>
      </w:r>
    </w:p>
    <w:p w14:paraId="018017BC">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8" w:name="_Toc3693"/>
      <w:bookmarkStart w:id="29" w:name="_Toc28790"/>
      <w:r>
        <w:rPr>
          <w:rFonts w:hint="eastAsia" w:ascii="黑体" w:hAnsi="黑体" w:eastAsia="黑体" w:cs="仿宋"/>
          <w:color w:val="auto"/>
          <w:kern w:val="2"/>
          <w:sz w:val="32"/>
          <w:szCs w:val="22"/>
          <w:highlight w:val="none"/>
          <w:lang w:val="en-US" w:eastAsia="zh-CN" w:bidi="ar-SA"/>
        </w:rPr>
        <w:t>十一、办理时限</w:t>
      </w:r>
      <w:bookmarkEnd w:id="28"/>
      <w:bookmarkEnd w:id="29"/>
    </w:p>
    <w:p w14:paraId="1A72A2BD">
      <w:pPr>
        <w:bidi w:val="0"/>
        <w:rPr>
          <w:rFonts w:hint="default" w:eastAsia="仿宋_GB2312"/>
          <w:color w:val="auto"/>
          <w:highlight w:val="none"/>
          <w:lang w:val="en-US" w:eastAsia="zh-CN"/>
        </w:rPr>
      </w:pPr>
      <w:r>
        <w:rPr>
          <w:rFonts w:hint="eastAsia"/>
          <w:color w:val="auto"/>
          <w:highlight w:val="none"/>
          <w:lang w:val="en-US" w:eastAsia="zh-CN"/>
        </w:rPr>
        <w:t>180个工作日，不含特别程序。</w:t>
      </w:r>
    </w:p>
    <w:p w14:paraId="40107123">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29872"/>
      <w:bookmarkStart w:id="31" w:name="_Toc32254"/>
      <w:r>
        <w:rPr>
          <w:rFonts w:hint="eastAsia" w:ascii="黑体" w:hAnsi="黑体" w:eastAsia="黑体" w:cs="仿宋"/>
          <w:color w:val="auto"/>
          <w:kern w:val="2"/>
          <w:sz w:val="32"/>
          <w:szCs w:val="22"/>
          <w:highlight w:val="none"/>
          <w:lang w:val="en-US" w:eastAsia="zh-CN" w:bidi="ar-SA"/>
        </w:rPr>
        <w:t>十二、证件及有效期</w:t>
      </w:r>
      <w:bookmarkEnd w:id="30"/>
      <w:bookmarkEnd w:id="31"/>
    </w:p>
    <w:p w14:paraId="5C66D9C8">
      <w:pPr>
        <w:bidi w:val="0"/>
        <w:rPr>
          <w:rFonts w:hint="eastAsia"/>
          <w:color w:val="auto"/>
          <w:highlight w:val="none"/>
        </w:rPr>
      </w:pPr>
      <w:r>
        <w:rPr>
          <w:rFonts w:hint="eastAsia"/>
          <w:color w:val="auto"/>
          <w:highlight w:val="none"/>
        </w:rPr>
        <w:t>证件：无</w:t>
      </w:r>
    </w:p>
    <w:p w14:paraId="44838D28">
      <w:pPr>
        <w:bidi w:val="0"/>
        <w:rPr>
          <w:rFonts w:hint="eastAsia"/>
          <w:color w:val="auto"/>
          <w:highlight w:val="none"/>
        </w:rPr>
      </w:pPr>
      <w:r>
        <w:rPr>
          <w:rFonts w:hint="eastAsia"/>
          <w:color w:val="auto"/>
          <w:highlight w:val="none"/>
        </w:rPr>
        <w:t>有效期限：无</w:t>
      </w:r>
    </w:p>
    <w:p w14:paraId="73FE7661">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9920"/>
      <w:bookmarkStart w:id="33" w:name="_Toc17239"/>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14:paraId="0C406942">
      <w:pPr>
        <w:bidi w:val="0"/>
        <w:rPr>
          <w:rFonts w:hint="eastAsia"/>
          <w:color w:val="auto"/>
          <w:highlight w:val="none"/>
        </w:rPr>
      </w:pPr>
      <w:r>
        <w:rPr>
          <w:rFonts w:hint="eastAsia"/>
          <w:color w:val="auto"/>
          <w:highlight w:val="none"/>
        </w:rPr>
        <w:t>无</w:t>
      </w:r>
    </w:p>
    <w:p w14:paraId="73EDBCDF">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6842"/>
      <w:bookmarkStart w:id="35" w:name="_Toc7505"/>
      <w:r>
        <w:rPr>
          <w:rFonts w:hint="eastAsia" w:ascii="黑体" w:hAnsi="黑体" w:eastAsia="黑体" w:cs="Times New Roman"/>
          <w:color w:val="auto"/>
          <w:kern w:val="2"/>
          <w:sz w:val="32"/>
          <w:szCs w:val="32"/>
          <w:highlight w:val="none"/>
          <w:lang w:val="en-US" w:eastAsia="zh-CN" w:bidi="ar-SA"/>
        </w:rPr>
        <w:t>十四、收费</w:t>
      </w:r>
      <w:bookmarkEnd w:id="34"/>
      <w:bookmarkEnd w:id="35"/>
    </w:p>
    <w:p w14:paraId="43CBCD20">
      <w:pPr>
        <w:bidi w:val="0"/>
        <w:rPr>
          <w:rFonts w:hint="eastAsia"/>
          <w:color w:val="auto"/>
          <w:highlight w:val="none"/>
        </w:rPr>
      </w:pPr>
      <w:r>
        <w:rPr>
          <w:rFonts w:hint="eastAsia"/>
          <w:color w:val="auto"/>
          <w:highlight w:val="none"/>
        </w:rPr>
        <w:t>无</w:t>
      </w:r>
    </w:p>
    <w:p w14:paraId="0BD243FD">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475"/>
      <w:bookmarkStart w:id="37" w:name="_Toc3014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14:paraId="386A15CE">
      <w:pPr>
        <w:bidi w:val="0"/>
        <w:rPr>
          <w:rFonts w:hint="eastAsia"/>
          <w:color w:val="auto"/>
          <w:highlight w:val="none"/>
        </w:rPr>
      </w:pPr>
      <w:r>
        <w:rPr>
          <w:rFonts w:hint="eastAsia"/>
          <w:color w:val="auto"/>
          <w:highlight w:val="none"/>
        </w:rPr>
        <w:t>无</w:t>
      </w:r>
      <w:bookmarkStart w:id="38" w:name="_Toc28762"/>
      <w:bookmarkStart w:id="39" w:name="_Toc20677"/>
    </w:p>
    <w:p w14:paraId="4FEFE148">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14:paraId="10C4DEC2">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14:paraId="31D706CB">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w:t>
      </w:r>
      <w:r>
        <w:rPr>
          <w:rFonts w:hint="default"/>
          <w:color w:val="auto"/>
          <w:highlight w:val="none"/>
          <w:lang w:val="en-US" w:eastAsia="zh-CN"/>
        </w:rPr>
        <w:t>，</w:t>
      </w:r>
      <w:r>
        <w:rPr>
          <w:rFonts w:hint="eastAsia"/>
          <w:color w:val="auto"/>
          <w:highlight w:val="none"/>
          <w:lang w:val="en-US" w:eastAsia="zh-CN"/>
        </w:rPr>
        <w:t>并按照有关规定处理；涉嫌犯罪的，依法移送有关机关处理：</w:t>
      </w:r>
    </w:p>
    <w:p w14:paraId="60463A80">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14:paraId="7224CC9C">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14:paraId="72E781C6">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14:paraId="264D364A">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14:paraId="01475C2C">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14:paraId="52A5CE3A">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14:paraId="7EE85745">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14:paraId="0ED66A4C">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r>
        <w:rPr>
          <w:rFonts w:hint="eastAsia" w:ascii="仿宋_GB2312" w:hAnsi="宋体" w:eastAsia="仿宋_GB2312" w:cs="宋体"/>
          <w:color w:val="000000" w:themeColor="text1"/>
          <w:kern w:val="0"/>
          <w:sz w:val="32"/>
          <w:szCs w:val="32"/>
          <w:highlight w:val="none"/>
          <w:lang w:val="en-US" w:eastAsia="zh-CN"/>
          <w14:textFill>
            <w14:solidFill>
              <w14:schemeClr w14:val="tx1"/>
            </w14:solidFill>
          </w14:textFill>
        </w:rPr>
        <w:t>0755-88167811</w:t>
      </w:r>
      <w:r>
        <w:rPr>
          <w:rFonts w:hint="eastAsia"/>
          <w:color w:val="auto"/>
          <w:highlight w:val="none"/>
          <w:lang w:val="en-US" w:eastAsia="zh-CN"/>
        </w:rPr>
        <w:t>）</w:t>
      </w:r>
    </w:p>
    <w:p w14:paraId="450EA8D4">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14:paraId="63125E3F">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color w:val="auto"/>
          <w:highlight w:val="none"/>
          <w:lang w:val="en-US"/>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14:paraId="587B4354">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Fonts w:hint="eastAsia"/>
          <w:color w:val="auto"/>
          <w:highlight w:val="none"/>
          <w:lang w:eastAsia="zh-CN"/>
        </w:rPr>
        <w:t>（八）</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14:paraId="3F448CBA">
      <w:pPr>
        <w:bidi w:val="0"/>
        <w:rPr>
          <w:rFonts w:hint="eastAsia"/>
          <w:color w:val="auto"/>
          <w:highlight w:val="none"/>
        </w:rPr>
      </w:pPr>
    </w:p>
    <w:p w14:paraId="1D8F2A63">
      <w:pPr>
        <w:bidi w:val="0"/>
        <w:rPr>
          <w:rFonts w:hint="eastAsia"/>
          <w:color w:val="auto"/>
          <w:highlight w:val="none"/>
          <w:lang w:eastAsia="zh-CN"/>
        </w:rPr>
      </w:pPr>
      <w:r>
        <w:rPr>
          <w:rFonts w:hint="eastAsia"/>
          <w:color w:val="auto"/>
          <w:highlight w:val="none"/>
          <w:lang w:eastAsia="zh-CN"/>
        </w:rPr>
        <w:t>附录：深圳市消费新业态新模式新场景试点商旅文体健多元融合载体项目评分表</w:t>
      </w:r>
    </w:p>
    <w:bookmarkEnd w:id="24"/>
    <w:bookmarkEnd w:id="25"/>
    <w:bookmarkEnd w:id="26"/>
    <w:bookmarkEnd w:id="27"/>
    <w:p w14:paraId="380BFDB3">
      <w:pPr>
        <w:keepNext w:val="0"/>
        <w:keepLines w:val="0"/>
        <w:pageBreakBefore w:val="0"/>
        <w:widowControl w:val="0"/>
        <w:kinsoku/>
        <w:wordWrap/>
        <w:overflowPunct/>
        <w:topLinePunct w:val="0"/>
        <w:autoSpaceDE/>
        <w:autoSpaceDN/>
        <w:bidi w:val="0"/>
        <w:adjustRightInd/>
        <w:snapToGrid/>
        <w:spacing w:before="0" w:after="0"/>
        <w:ind w:firstLine="0" w:firstLineChars="0"/>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pPr>
    </w:p>
    <w:p w14:paraId="2A86831F">
      <w:pPr>
        <w:pStyle w:val="17"/>
        <w:spacing w:line="560" w:lineRule="exact"/>
        <w:rPr>
          <w:rFonts w:ascii="仿宋_GB2312" w:hAnsi="仿宋_GB2312"/>
          <w:color w:val="auto"/>
          <w:highlight w:val="none"/>
        </w:rPr>
        <w:sectPr>
          <w:headerReference r:id="rId5" w:type="default"/>
          <w:footerReference r:id="rId6" w:type="default"/>
          <w:pgSz w:w="11906" w:h="16838"/>
          <w:pgMar w:top="1814" w:right="1474" w:bottom="1814" w:left="1474" w:header="851" w:footer="992" w:gutter="0"/>
          <w:pgNumType w:fmt="decimal" w:start="1"/>
          <w:cols w:space="425" w:num="1"/>
          <w:docGrid w:type="lines" w:linePitch="312" w:charSpace="0"/>
        </w:sectPr>
      </w:pPr>
    </w:p>
    <w:p w14:paraId="06E85B9A">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b w:val="0"/>
          <w:bCs w:val="0"/>
          <w:i w:val="0"/>
          <w:iCs w:val="0"/>
          <w:caps w:val="0"/>
          <w:color w:val="auto"/>
          <w:spacing w:val="0"/>
          <w:kern w:val="0"/>
          <w:sz w:val="32"/>
          <w:szCs w:val="32"/>
          <w:highlight w:val="none"/>
          <w:shd w:val="clear" w:color="auto" w:fill="FFFFFF"/>
          <w:lang w:val="en-US" w:eastAsia="zh-CN" w:bidi="ar"/>
        </w:rPr>
      </w:pPr>
      <w:r>
        <w:rPr>
          <w:rFonts w:hint="eastAsia" w:ascii="黑体" w:hAnsi="黑体" w:eastAsia="黑体" w:cs="黑体"/>
          <w:b w:val="0"/>
          <w:bCs w:val="0"/>
          <w:i w:val="0"/>
          <w:iCs w:val="0"/>
          <w:caps w:val="0"/>
          <w:color w:val="auto"/>
          <w:spacing w:val="0"/>
          <w:kern w:val="0"/>
          <w:sz w:val="32"/>
          <w:szCs w:val="32"/>
          <w:highlight w:val="none"/>
          <w:shd w:val="clear" w:color="auto" w:fill="FFFFFF"/>
          <w:lang w:val="en-US" w:eastAsia="zh-CN" w:bidi="ar"/>
        </w:rPr>
        <w:t>附  录</w:t>
      </w:r>
    </w:p>
    <w:p w14:paraId="31340130">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黑体" w:hAnsi="黑体" w:eastAsia="黑体" w:cs="黑体"/>
          <w:b w:val="0"/>
          <w:bCs w:val="0"/>
          <w:i w:val="0"/>
          <w:iCs w:val="0"/>
          <w:caps w:val="0"/>
          <w:color w:val="auto"/>
          <w:spacing w:val="0"/>
          <w:kern w:val="0"/>
          <w:sz w:val="32"/>
          <w:szCs w:val="32"/>
          <w:highlight w:val="none"/>
          <w:shd w:val="clear" w:color="auto" w:fill="FFFFFF"/>
          <w:lang w:val="en-US" w:eastAsia="zh-CN" w:bidi="ar"/>
        </w:rPr>
      </w:pPr>
    </w:p>
    <w:p w14:paraId="4CA6AEDF">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center"/>
        <w:textAlignment w:val="auto"/>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pPr>
      <w:r>
        <w:rPr>
          <w:rFonts w:hint="default" w:ascii="方正小标宋简体" w:hAnsi="方正小标宋简体" w:eastAsia="方正小标宋简体" w:cs="方正小标宋简体"/>
          <w:b w:val="0"/>
          <w:bCs w:val="0"/>
          <w:i w:val="0"/>
          <w:iCs w:val="0"/>
          <w:caps w:val="0"/>
          <w:color w:val="auto"/>
          <w:spacing w:val="0"/>
          <w:kern w:val="0"/>
          <w:sz w:val="44"/>
          <w:szCs w:val="44"/>
          <w:highlight w:val="none"/>
          <w:shd w:val="clear" w:color="auto" w:fill="FFFFFF"/>
          <w:lang w:val="en-US" w:eastAsia="zh-CN" w:bidi="ar"/>
        </w:rPr>
        <w:t>商旅文体健多元融合载体项目评分表</w:t>
      </w:r>
    </w:p>
    <w:p w14:paraId="18EFC01A">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default" w:ascii="Calibri" w:hAnsi="等线" w:eastAsia="宋体" w:cs="仿宋_GB2312"/>
          <w:i w:val="0"/>
          <w:iCs w:val="0"/>
          <w:color w:val="auto"/>
          <w:kern w:val="0"/>
          <w:sz w:val="24"/>
          <w:szCs w:val="24"/>
          <w:highlight w:val="none"/>
          <w:u w:val="none"/>
          <w:lang w:val="en-US" w:eastAsia="zh-CN" w:bidi="ar"/>
        </w:rPr>
      </w:pPr>
    </w:p>
    <w:tbl>
      <w:tblPr>
        <w:tblStyle w:val="18"/>
        <w:tblW w:w="135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4"/>
        <w:gridCol w:w="1997"/>
        <w:gridCol w:w="1206"/>
        <w:gridCol w:w="1657"/>
        <w:gridCol w:w="2836"/>
        <w:gridCol w:w="1310"/>
        <w:gridCol w:w="2603"/>
        <w:gridCol w:w="1004"/>
      </w:tblGrid>
      <w:tr w14:paraId="03B9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blHeader/>
          <w:jc w:val="center"/>
        </w:trPr>
        <w:tc>
          <w:tcPr>
            <w:tcW w:w="904" w:type="dxa"/>
            <w:tcBorders>
              <w:top w:val="single" w:color="auto" w:sz="4" w:space="0"/>
              <w:left w:val="single" w:color="auto" w:sz="4" w:space="0"/>
              <w:bottom w:val="single" w:color="auto" w:sz="4" w:space="0"/>
              <w:right w:val="single" w:color="auto" w:sz="4" w:space="0"/>
            </w:tcBorders>
            <w:noWrap w:val="0"/>
            <w:vAlign w:val="center"/>
          </w:tcPr>
          <w:p w14:paraId="216376C3">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一级指标</w:t>
            </w:r>
          </w:p>
        </w:tc>
        <w:tc>
          <w:tcPr>
            <w:tcW w:w="1997" w:type="dxa"/>
            <w:tcBorders>
              <w:top w:val="single" w:color="auto" w:sz="4" w:space="0"/>
              <w:left w:val="single" w:color="auto" w:sz="4" w:space="0"/>
              <w:bottom w:val="single" w:color="auto" w:sz="4" w:space="0"/>
              <w:right w:val="single" w:color="auto" w:sz="4" w:space="0"/>
            </w:tcBorders>
            <w:noWrap w:val="0"/>
            <w:vAlign w:val="center"/>
          </w:tcPr>
          <w:p w14:paraId="1249B41C">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二级指标</w:t>
            </w:r>
          </w:p>
        </w:tc>
        <w:tc>
          <w:tcPr>
            <w:tcW w:w="5699" w:type="dxa"/>
            <w:gridSpan w:val="3"/>
            <w:tcBorders>
              <w:top w:val="single" w:color="auto" w:sz="4" w:space="0"/>
              <w:left w:val="single" w:color="auto" w:sz="4" w:space="0"/>
              <w:bottom w:val="single" w:color="auto" w:sz="4" w:space="0"/>
              <w:right w:val="single" w:color="auto" w:sz="4" w:space="0"/>
            </w:tcBorders>
            <w:noWrap w:val="0"/>
            <w:vAlign w:val="center"/>
          </w:tcPr>
          <w:p w14:paraId="4970D98A">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评分标准</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FD7B9EE">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分值（分）</w:t>
            </w:r>
          </w:p>
        </w:tc>
        <w:tc>
          <w:tcPr>
            <w:tcW w:w="2603" w:type="dxa"/>
            <w:tcBorders>
              <w:top w:val="single" w:color="auto" w:sz="4" w:space="0"/>
              <w:left w:val="single" w:color="auto" w:sz="4" w:space="0"/>
              <w:bottom w:val="single" w:color="auto" w:sz="4" w:space="0"/>
              <w:right w:val="single" w:color="auto" w:sz="4" w:space="0"/>
            </w:tcBorders>
            <w:noWrap w:val="0"/>
            <w:vAlign w:val="center"/>
          </w:tcPr>
          <w:p w14:paraId="43A8B207">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b/>
                <w:bCs/>
                <w:i w:val="0"/>
                <w:iCs w:val="0"/>
                <w:color w:val="auto"/>
                <w:sz w:val="24"/>
                <w:szCs w:val="24"/>
                <w:highlight w:val="none"/>
                <w:u w:val="none"/>
                <w:lang w:val="en-US"/>
              </w:rPr>
            </w:pPr>
            <w:r>
              <w:rPr>
                <w:rFonts w:hint="eastAsia" w:ascii="仿宋_GB2312" w:hAnsi="仿宋_GB2312" w:eastAsia="仿宋_GB2312" w:cs="仿宋_GB2312"/>
                <w:b/>
                <w:bCs/>
                <w:i w:val="0"/>
                <w:iCs w:val="0"/>
                <w:color w:val="auto"/>
                <w:kern w:val="0"/>
                <w:sz w:val="24"/>
                <w:szCs w:val="24"/>
                <w:highlight w:val="none"/>
                <w:u w:val="none"/>
                <w:lang w:val="en-US" w:eastAsia="zh-CN" w:bidi="ar"/>
              </w:rPr>
              <w:t>佐证材料参考</w:t>
            </w:r>
          </w:p>
        </w:tc>
        <w:tc>
          <w:tcPr>
            <w:tcW w:w="1004" w:type="dxa"/>
            <w:tcBorders>
              <w:top w:val="single" w:color="auto" w:sz="4" w:space="0"/>
              <w:left w:val="single" w:color="auto" w:sz="4" w:space="0"/>
              <w:bottom w:val="single" w:color="auto" w:sz="4" w:space="0"/>
              <w:right w:val="single" w:color="auto" w:sz="4" w:space="0"/>
            </w:tcBorders>
            <w:noWrap w:val="0"/>
            <w:vAlign w:val="center"/>
          </w:tcPr>
          <w:p w14:paraId="3E113CA4">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区评分</w:t>
            </w:r>
          </w:p>
        </w:tc>
      </w:tr>
      <w:tr w14:paraId="4646D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single" w:color="000000" w:sz="4" w:space="0"/>
              <w:left w:val="single" w:color="000000" w:sz="4" w:space="0"/>
              <w:right w:val="single" w:color="000000" w:sz="4" w:space="0"/>
            </w:tcBorders>
            <w:noWrap w:val="0"/>
            <w:vAlign w:val="center"/>
          </w:tcPr>
          <w:p w14:paraId="29CADA81">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项目规模与投入</w:t>
            </w: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BD98B15">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商业面积</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1B03892C">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总面积≥100,000㎡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7A006142">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7BADBBFD">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租赁合同或房产证（需载明面积）等材料</w:t>
            </w:r>
          </w:p>
        </w:tc>
        <w:tc>
          <w:tcPr>
            <w:tcW w:w="1004" w:type="dxa"/>
            <w:vMerge w:val="restart"/>
            <w:tcBorders>
              <w:top w:val="single" w:color="000000" w:sz="4" w:space="0"/>
              <w:left w:val="single" w:color="000000" w:sz="4" w:space="0"/>
              <w:bottom w:val="single" w:color="000000" w:sz="4" w:space="0"/>
              <w:right w:val="single" w:color="000000" w:sz="4" w:space="0"/>
            </w:tcBorders>
            <w:noWrap w:val="0"/>
            <w:vAlign w:val="center"/>
          </w:tcPr>
          <w:p w14:paraId="7435CD22">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2C6F3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5D6DD82B">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A2F150">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5EB04267">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50,000㎡≤总面积&lt;100,000㎡​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78AFDC2C">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20E6F2">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18712A">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78977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6441CFCB">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53FD74">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0CAC1A7D">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20,000㎡≤总面积&lt;50,000㎡​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1F6293A3">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12600">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EF39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1795B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4727B31A">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F050E">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55A4ADF8">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总面积&lt;20,000㎡​</w:t>
            </w:r>
          </w:p>
        </w:tc>
        <w:tc>
          <w:tcPr>
            <w:tcW w:w="1310" w:type="dxa"/>
            <w:tcBorders>
              <w:top w:val="single" w:color="000000" w:sz="4" w:space="0"/>
              <w:left w:val="single" w:color="000000" w:sz="4" w:space="0"/>
              <w:bottom w:val="single" w:color="000000" w:sz="4" w:space="0"/>
              <w:right w:val="single" w:color="000000" w:sz="4" w:space="0"/>
            </w:tcBorders>
            <w:noWrap/>
            <w:vAlign w:val="center"/>
          </w:tcPr>
          <w:p w14:paraId="1EDBF87F">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7E4388">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64A11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6DC9B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015FA5B4">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DB6541">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商业管理团队就业带动（2025年9月30日以来）</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4C9950F8">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新增就业人数≥50个</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250B9B5">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6</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A525F0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cs="仿宋_GB2312"/>
                <w:i w:val="0"/>
                <w:iCs w:val="0"/>
                <w:color w:val="auto"/>
                <w:kern w:val="0"/>
                <w:sz w:val="24"/>
                <w:szCs w:val="24"/>
                <w:highlight w:val="none"/>
                <w:u w:val="none"/>
                <w:lang w:val="en-US" w:eastAsia="zh-CN" w:bidi="ar"/>
              </w:rPr>
              <w:t>新增就业人数说明、</w:t>
            </w:r>
            <w:r>
              <w:rPr>
                <w:rFonts w:hint="eastAsia" w:ascii="仿宋_GB2312" w:hAnsi="仿宋_GB2312" w:eastAsia="仿宋_GB2312" w:cs="仿宋_GB2312"/>
                <w:i w:val="0"/>
                <w:iCs w:val="0"/>
                <w:color w:val="auto"/>
                <w:kern w:val="0"/>
                <w:sz w:val="24"/>
                <w:szCs w:val="24"/>
                <w:highlight w:val="none"/>
                <w:u w:val="none"/>
                <w:lang w:val="en-US" w:eastAsia="zh-CN" w:bidi="ar"/>
              </w:rPr>
              <w:t>社保缴纳记录等材料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28EB70B">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454E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0C9CBAB5">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C770B8">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37D72B82">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30个≤新增就业人数&lt;50个</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5DD9A8A">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3</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2F1E6">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1C6427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77370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1B0C95D3">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16EF40">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2D56389B">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新增就业人数&lt;30个</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CCEEB84">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363A5E">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D9342E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6B09A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094AAC23">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right w:val="single" w:color="000000" w:sz="4" w:space="0"/>
            </w:tcBorders>
            <w:noWrap w:val="0"/>
            <w:vAlign w:val="center"/>
          </w:tcPr>
          <w:p w14:paraId="34459018">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非传统零售功能情况（文化、旅游、体育、健康等）</w:t>
            </w:r>
          </w:p>
        </w:tc>
        <w:tc>
          <w:tcPr>
            <w:tcW w:w="1206" w:type="dxa"/>
            <w:tcBorders>
              <w:top w:val="single" w:color="000000" w:sz="4" w:space="0"/>
              <w:left w:val="single" w:color="000000" w:sz="4" w:space="0"/>
              <w:bottom w:val="single" w:color="000000" w:sz="4" w:space="0"/>
              <w:right w:val="single" w:color="auto" w:sz="4" w:space="0"/>
            </w:tcBorders>
            <w:noWrap w:val="0"/>
            <w:vAlign w:val="center"/>
          </w:tcPr>
          <w:p w14:paraId="57B723C1">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细分业态</w:t>
            </w:r>
          </w:p>
        </w:tc>
        <w:tc>
          <w:tcPr>
            <w:tcW w:w="1657" w:type="dxa"/>
            <w:tcBorders>
              <w:top w:val="single" w:color="000000" w:sz="4" w:space="0"/>
              <w:left w:val="single" w:color="auto" w:sz="4" w:space="0"/>
              <w:bottom w:val="single" w:color="000000" w:sz="4" w:space="0"/>
              <w:right w:val="single" w:color="auto" w:sz="4" w:space="0"/>
            </w:tcBorders>
            <w:noWrap w:val="0"/>
            <w:vAlign w:val="center"/>
          </w:tcPr>
          <w:p w14:paraId="2DCAB39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业态面积占总体的百分比</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55544A0E">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偏离度判定</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4DF14B8">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right"/>
              <w:textAlignment w:val="center"/>
              <w:rPr>
                <w:rFonts w:hint="eastAsia"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分值（分）</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14:paraId="219C0567">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b/>
                <w:bCs/>
                <w:i w:val="0"/>
                <w:iCs w:val="0"/>
                <w:color w:val="auto"/>
                <w:kern w:val="0"/>
                <w:sz w:val="24"/>
                <w:szCs w:val="24"/>
                <w:highlight w:val="none"/>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佐证材料参考</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5A5E9C9">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4400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7DF0EEE4">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57607422">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top w:val="single" w:color="000000" w:sz="4" w:space="0"/>
              <w:left w:val="single" w:color="000000" w:sz="4" w:space="0"/>
              <w:right w:val="single" w:color="auto" w:sz="4" w:space="0"/>
            </w:tcBorders>
            <w:noWrap w:val="0"/>
            <w:vAlign w:val="center"/>
          </w:tcPr>
          <w:p w14:paraId="1FBE93C4">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文化类</w:t>
            </w:r>
          </w:p>
        </w:tc>
        <w:tc>
          <w:tcPr>
            <w:tcW w:w="1657" w:type="dxa"/>
            <w:vMerge w:val="restart"/>
            <w:tcBorders>
              <w:top w:val="single" w:color="000000" w:sz="4" w:space="0"/>
              <w:left w:val="single" w:color="auto" w:sz="4" w:space="0"/>
              <w:right w:val="single" w:color="auto" w:sz="4" w:space="0"/>
            </w:tcBorders>
            <w:noWrap w:val="0"/>
            <w:vAlign w:val="center"/>
          </w:tcPr>
          <w:p w14:paraId="299CEA29">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163CCB4D">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F766404">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restart"/>
            <w:tcBorders>
              <w:top w:val="single" w:color="000000" w:sz="4" w:space="0"/>
              <w:left w:val="single" w:color="000000" w:sz="4" w:space="0"/>
              <w:right w:val="single" w:color="000000" w:sz="4" w:space="0"/>
            </w:tcBorders>
            <w:noWrap w:val="0"/>
            <w:vAlign w:val="center"/>
          </w:tcPr>
          <w:p w14:paraId="4C481AC7">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项目业态租赁合同等材料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DB4F852">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75CB6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4193423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0CFE63CF">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14:paraId="365D6F0D">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right w:val="single" w:color="auto" w:sz="4" w:space="0"/>
            </w:tcBorders>
            <w:noWrap w:val="0"/>
            <w:vAlign w:val="center"/>
          </w:tcPr>
          <w:p w14:paraId="29780CE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17DB62E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ADE6DAD">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14:paraId="1CB0AA9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5A88417">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1B95E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106DBBA2">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641A0611">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14:paraId="4A00CAF0">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bottom w:val="single" w:color="000000" w:sz="4" w:space="0"/>
              <w:right w:val="single" w:color="auto" w:sz="4" w:space="0"/>
            </w:tcBorders>
            <w:noWrap w:val="0"/>
            <w:vAlign w:val="center"/>
          </w:tcPr>
          <w:p w14:paraId="0DB450F7">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67C1BD84">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B930CBB">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14:paraId="0E966E86">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22E06C2">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2817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506E2805">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1B976941">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left w:val="single" w:color="000000" w:sz="4" w:space="0"/>
              <w:right w:val="single" w:color="auto" w:sz="4" w:space="0"/>
            </w:tcBorders>
            <w:noWrap w:val="0"/>
            <w:vAlign w:val="center"/>
          </w:tcPr>
          <w:p w14:paraId="13F5C6E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rPr>
              <w:t>旅游类</w:t>
            </w:r>
          </w:p>
        </w:tc>
        <w:tc>
          <w:tcPr>
            <w:tcW w:w="1657" w:type="dxa"/>
            <w:vMerge w:val="restart"/>
            <w:tcBorders>
              <w:left w:val="single" w:color="auto" w:sz="4" w:space="0"/>
              <w:right w:val="single" w:color="auto" w:sz="4" w:space="0"/>
            </w:tcBorders>
            <w:noWrap w:val="0"/>
            <w:vAlign w:val="center"/>
          </w:tcPr>
          <w:p w14:paraId="5D7CD399">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7CC216E4">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B3B55E7">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continue"/>
            <w:tcBorders>
              <w:left w:val="single" w:color="000000" w:sz="4" w:space="0"/>
              <w:right w:val="single" w:color="000000" w:sz="4" w:space="0"/>
            </w:tcBorders>
            <w:noWrap w:val="0"/>
            <w:vAlign w:val="center"/>
          </w:tcPr>
          <w:p w14:paraId="4F0D89F1">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8DDA03E">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599F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0B0B0EF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3B130D32">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14:paraId="7EFB4CF4">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right w:val="single" w:color="auto" w:sz="4" w:space="0"/>
            </w:tcBorders>
            <w:noWrap w:val="0"/>
            <w:vAlign w:val="center"/>
          </w:tcPr>
          <w:p w14:paraId="2121C6C8">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204ABBAA">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1C3844C">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14:paraId="5BF3F897">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AA4A9AA">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461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56EAF0A1">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156DA786">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14:paraId="29DA33B8">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bottom w:val="single" w:color="000000" w:sz="4" w:space="0"/>
              <w:right w:val="single" w:color="auto" w:sz="4" w:space="0"/>
            </w:tcBorders>
            <w:noWrap w:val="0"/>
            <w:vAlign w:val="center"/>
          </w:tcPr>
          <w:p w14:paraId="59CB2A09">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5477D29F">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44A7C25">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14:paraId="70FE1DB1">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0A67D36">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1D5A3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77AA48EA">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7CD964A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left w:val="single" w:color="000000" w:sz="4" w:space="0"/>
              <w:right w:val="single" w:color="auto" w:sz="4" w:space="0"/>
            </w:tcBorders>
            <w:noWrap w:val="0"/>
            <w:vAlign w:val="center"/>
          </w:tcPr>
          <w:p w14:paraId="7884173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体育类</w:t>
            </w:r>
          </w:p>
        </w:tc>
        <w:tc>
          <w:tcPr>
            <w:tcW w:w="1657" w:type="dxa"/>
            <w:vMerge w:val="restart"/>
            <w:tcBorders>
              <w:left w:val="single" w:color="auto" w:sz="4" w:space="0"/>
              <w:right w:val="single" w:color="auto" w:sz="4" w:space="0"/>
            </w:tcBorders>
            <w:noWrap w:val="0"/>
            <w:vAlign w:val="center"/>
          </w:tcPr>
          <w:p w14:paraId="44D0C9A9">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77352BDC">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2F6A6AA">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continue"/>
            <w:tcBorders>
              <w:left w:val="single" w:color="000000" w:sz="4" w:space="0"/>
              <w:right w:val="single" w:color="000000" w:sz="4" w:space="0"/>
            </w:tcBorders>
            <w:noWrap w:val="0"/>
            <w:vAlign w:val="center"/>
          </w:tcPr>
          <w:p w14:paraId="5138BC58">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FB6D89B">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11DAF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5AAE88EE">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44141431">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14:paraId="5C2B4CAE">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right w:val="single" w:color="auto" w:sz="4" w:space="0"/>
            </w:tcBorders>
            <w:noWrap w:val="0"/>
            <w:vAlign w:val="center"/>
          </w:tcPr>
          <w:p w14:paraId="5EFC7C7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0F84F679">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37F8CED">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14:paraId="3BFC10B4">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39E6654">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14C0A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2625CCCF">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4ED39A2B">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14:paraId="27095C19">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1657" w:type="dxa"/>
            <w:vMerge w:val="continue"/>
            <w:tcBorders>
              <w:left w:val="single" w:color="auto" w:sz="4" w:space="0"/>
              <w:bottom w:val="single" w:color="000000" w:sz="4" w:space="0"/>
              <w:right w:val="single" w:color="auto" w:sz="4" w:space="0"/>
            </w:tcBorders>
            <w:noWrap w:val="0"/>
            <w:vAlign w:val="center"/>
          </w:tcPr>
          <w:p w14:paraId="1A003A61">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07E0BA91">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3AC7933">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14:paraId="2F605AD7">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146225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7CAF1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02B5FFD9">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085C5D0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restart"/>
            <w:tcBorders>
              <w:left w:val="single" w:color="000000" w:sz="4" w:space="0"/>
              <w:right w:val="single" w:color="auto" w:sz="4" w:space="0"/>
            </w:tcBorders>
            <w:noWrap w:val="0"/>
            <w:vAlign w:val="center"/>
          </w:tcPr>
          <w:p w14:paraId="6C75E75B">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健康类</w:t>
            </w:r>
          </w:p>
        </w:tc>
        <w:tc>
          <w:tcPr>
            <w:tcW w:w="1657" w:type="dxa"/>
            <w:vMerge w:val="restart"/>
            <w:tcBorders>
              <w:left w:val="single" w:color="auto" w:sz="4" w:space="0"/>
              <w:right w:val="single" w:color="auto" w:sz="4" w:space="0"/>
            </w:tcBorders>
            <w:noWrap w:val="0"/>
            <w:vAlign w:val="center"/>
          </w:tcPr>
          <w:p w14:paraId="15DA2703">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r>
              <w:rPr>
                <w:rFonts w:hint="eastAsia" w:ascii="仿宋_GB2312" w:hAnsi="仿宋_GB2312" w:eastAsia="仿宋_GB2312" w:cs="仿宋_GB2312"/>
                <w:i w:val="0"/>
                <w:iCs w:val="0"/>
                <w:color w:val="auto"/>
                <w:sz w:val="24"/>
                <w:szCs w:val="24"/>
                <w:highlight w:val="none"/>
                <w:u w:val="none"/>
                <w:lang w:val="en-US" w:eastAsia="zh-CN"/>
              </w:rPr>
              <w:t>5%</w:t>
            </w: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52636367">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150721F">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b/>
                <w:bCs/>
                <w:i w:val="0"/>
                <w:iCs w:val="0"/>
                <w:color w:val="auto"/>
                <w:sz w:val="24"/>
                <w:szCs w:val="24"/>
                <w:highlight w:val="none"/>
                <w:u w:val="none"/>
                <w:lang w:val="en-US" w:eastAsia="zh-CN"/>
              </w:rPr>
              <w:t>6</w:t>
            </w:r>
          </w:p>
        </w:tc>
        <w:tc>
          <w:tcPr>
            <w:tcW w:w="2603" w:type="dxa"/>
            <w:vMerge w:val="continue"/>
            <w:tcBorders>
              <w:left w:val="single" w:color="000000" w:sz="4" w:space="0"/>
              <w:right w:val="single" w:color="000000" w:sz="4" w:space="0"/>
            </w:tcBorders>
            <w:noWrap w:val="0"/>
            <w:vAlign w:val="center"/>
          </w:tcPr>
          <w:p w14:paraId="2F05ABCF">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BA1F89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2F2E5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4557E853">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07522E2B">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right w:val="single" w:color="auto" w:sz="4" w:space="0"/>
            </w:tcBorders>
            <w:noWrap w:val="0"/>
            <w:vAlign w:val="center"/>
          </w:tcPr>
          <w:p w14:paraId="763F4D75">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1657" w:type="dxa"/>
            <w:vMerge w:val="continue"/>
            <w:tcBorders>
              <w:left w:val="single" w:color="auto" w:sz="4" w:space="0"/>
              <w:right w:val="single" w:color="auto" w:sz="4" w:space="0"/>
            </w:tcBorders>
            <w:noWrap w:val="0"/>
            <w:vAlign w:val="center"/>
          </w:tcPr>
          <w:p w14:paraId="6DEDF40D">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6400683D">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1</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w:t>
            </w: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2</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FF7CF63">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3</w:t>
            </w:r>
          </w:p>
        </w:tc>
        <w:tc>
          <w:tcPr>
            <w:tcW w:w="2603" w:type="dxa"/>
            <w:vMerge w:val="continue"/>
            <w:tcBorders>
              <w:left w:val="single" w:color="000000" w:sz="4" w:space="0"/>
              <w:right w:val="single" w:color="000000" w:sz="4" w:space="0"/>
            </w:tcBorders>
            <w:noWrap w:val="0"/>
            <w:vAlign w:val="center"/>
          </w:tcPr>
          <w:p w14:paraId="3FC2ED4F">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E356176">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161C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left w:val="single" w:color="000000" w:sz="4" w:space="0"/>
              <w:right w:val="single" w:color="000000" w:sz="4" w:space="0"/>
            </w:tcBorders>
            <w:noWrap w:val="0"/>
            <w:vAlign w:val="center"/>
          </w:tcPr>
          <w:p w14:paraId="3D7EA2D0">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left w:val="single" w:color="000000" w:sz="4" w:space="0"/>
              <w:right w:val="single" w:color="000000" w:sz="4" w:space="0"/>
            </w:tcBorders>
            <w:noWrap w:val="0"/>
            <w:vAlign w:val="center"/>
          </w:tcPr>
          <w:p w14:paraId="27E5BDBB">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206" w:type="dxa"/>
            <w:vMerge w:val="continue"/>
            <w:tcBorders>
              <w:left w:val="single" w:color="000000" w:sz="4" w:space="0"/>
              <w:bottom w:val="single" w:color="000000" w:sz="4" w:space="0"/>
              <w:right w:val="single" w:color="auto" w:sz="4" w:space="0"/>
            </w:tcBorders>
            <w:noWrap w:val="0"/>
            <w:vAlign w:val="center"/>
          </w:tcPr>
          <w:p w14:paraId="73AA6D99">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1657" w:type="dxa"/>
            <w:vMerge w:val="continue"/>
            <w:tcBorders>
              <w:left w:val="single" w:color="auto" w:sz="4" w:space="0"/>
              <w:bottom w:val="single" w:color="000000" w:sz="4" w:space="0"/>
              <w:right w:val="single" w:color="auto" w:sz="4" w:space="0"/>
            </w:tcBorders>
            <w:noWrap w:val="0"/>
            <w:vAlign w:val="center"/>
          </w:tcPr>
          <w:p w14:paraId="3A11BD13">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lang w:val="en-US" w:eastAsia="zh-CN"/>
              </w:rPr>
            </w:pPr>
          </w:p>
        </w:tc>
        <w:tc>
          <w:tcPr>
            <w:tcW w:w="2836" w:type="dxa"/>
            <w:tcBorders>
              <w:top w:val="single" w:color="000000" w:sz="4" w:space="0"/>
              <w:left w:val="single" w:color="auto" w:sz="4" w:space="0"/>
              <w:bottom w:val="single" w:color="000000" w:sz="4" w:space="0"/>
              <w:right w:val="single" w:color="000000" w:sz="4" w:space="0"/>
            </w:tcBorders>
            <w:noWrap w:val="0"/>
            <w:vAlign w:val="center"/>
          </w:tcPr>
          <w:p w14:paraId="1D6C3BE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rPr>
              <w:t>＞±</w:t>
            </w:r>
            <w:r>
              <w:rPr>
                <w:rFonts w:hint="eastAsia" w:ascii="仿宋_GB2312" w:hAnsi="仿宋_GB2312" w:eastAsia="仿宋_GB2312" w:cs="仿宋_GB2312"/>
                <w:i w:val="0"/>
                <w:iCs w:val="0"/>
                <w:color w:val="auto"/>
                <w:sz w:val="24"/>
                <w:szCs w:val="24"/>
                <w:highlight w:val="none"/>
                <w:u w:val="none"/>
                <w:lang w:val="en-US" w:eastAsia="zh-CN"/>
              </w:rPr>
              <w:t>3</w:t>
            </w:r>
            <w:r>
              <w:rPr>
                <w:rFonts w:hint="eastAsia" w:ascii="仿宋_GB2312" w:hAnsi="仿宋_GB2312" w:eastAsia="仿宋_GB2312" w:cs="仿宋_GB2312"/>
                <w:i w:val="0"/>
                <w:iCs w:val="0"/>
                <w:color w:val="auto"/>
                <w:sz w:val="24"/>
                <w:szCs w:val="24"/>
                <w:highlight w:val="none"/>
                <w:u w:val="none"/>
              </w:rPr>
              <w:t>%</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9014265">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kern w:val="2"/>
                <w:sz w:val="24"/>
                <w:szCs w:val="24"/>
                <w:highlight w:val="none"/>
                <w:u w:val="none"/>
                <w:lang w:val="en-US" w:eastAsia="zh-CN" w:bidi="ar-SA"/>
              </w:rPr>
            </w:pPr>
            <w:r>
              <w:rPr>
                <w:rFonts w:hint="eastAsia" w:ascii="仿宋_GB2312" w:hAnsi="仿宋_GB2312" w:eastAsia="仿宋_GB2312" w:cs="仿宋_GB2312"/>
                <w:i w:val="0"/>
                <w:iCs w:val="0"/>
                <w:color w:val="auto"/>
                <w:sz w:val="24"/>
                <w:szCs w:val="24"/>
                <w:highlight w:val="none"/>
                <w:u w:val="none"/>
                <w:lang w:val="en-US" w:eastAsia="zh-CN"/>
              </w:rPr>
              <w:t>1</w:t>
            </w:r>
          </w:p>
        </w:tc>
        <w:tc>
          <w:tcPr>
            <w:tcW w:w="2603" w:type="dxa"/>
            <w:vMerge w:val="continue"/>
            <w:tcBorders>
              <w:left w:val="single" w:color="000000" w:sz="4" w:space="0"/>
              <w:right w:val="single" w:color="000000" w:sz="4" w:space="0"/>
            </w:tcBorders>
            <w:noWrap w:val="0"/>
            <w:vAlign w:val="center"/>
          </w:tcPr>
          <w:p w14:paraId="4FDF029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6922D77">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39300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single" w:color="000000" w:sz="4" w:space="0"/>
              <w:left w:val="single" w:color="000000" w:sz="4" w:space="0"/>
              <w:bottom w:val="nil"/>
              <w:right w:val="single" w:color="000000" w:sz="4" w:space="0"/>
            </w:tcBorders>
            <w:noWrap w:val="0"/>
            <w:vAlign w:val="center"/>
          </w:tcPr>
          <w:p w14:paraId="780D0935">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预期效益与运营能力</w:t>
            </w: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9D6E4FD">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月均租金坪效（元/㎡/月）</w:t>
            </w:r>
          </w:p>
        </w:tc>
        <w:tc>
          <w:tcPr>
            <w:tcW w:w="5699" w:type="dxa"/>
            <w:gridSpan w:val="3"/>
            <w:tcBorders>
              <w:top w:val="single" w:color="000000" w:sz="4" w:space="0"/>
              <w:left w:val="single" w:color="000000" w:sz="4" w:space="0"/>
              <w:bottom w:val="nil"/>
              <w:right w:val="single" w:color="000000" w:sz="4" w:space="0"/>
            </w:tcBorders>
            <w:noWrap w:val="0"/>
            <w:vAlign w:val="center"/>
          </w:tcPr>
          <w:p w14:paraId="7D1ECADA">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月均租金坪效</w:t>
            </w:r>
            <w:r>
              <w:rPr>
                <w:rStyle w:val="30"/>
                <w:rFonts w:hAnsi="仿宋_GB2312"/>
                <w:color w:val="auto"/>
                <w:sz w:val="24"/>
                <w:szCs w:val="24"/>
                <w:highlight w:val="none"/>
                <w:lang w:val="en-US" w:eastAsia="zh-CN" w:bidi="ar"/>
              </w:rPr>
              <w:t>＞</w:t>
            </w:r>
            <w:r>
              <w:rPr>
                <w:rStyle w:val="30"/>
                <w:rFonts w:hint="eastAsia" w:hAnsi="仿宋_GB2312"/>
                <w:color w:val="auto"/>
                <w:sz w:val="24"/>
                <w:szCs w:val="24"/>
                <w:highlight w:val="none"/>
                <w:lang w:val="en-US" w:eastAsia="zh-CN" w:bidi="ar"/>
              </w:rPr>
              <w:t>700</w:t>
            </w:r>
            <w:r>
              <w:rPr>
                <w:rStyle w:val="30"/>
                <w:rFonts w:hAnsi="仿宋_GB2312"/>
                <w:color w:val="auto"/>
                <w:sz w:val="24"/>
                <w:szCs w:val="24"/>
                <w:highlight w:val="none"/>
                <w:lang w:val="en-US" w:eastAsia="zh-CN" w:bidi="ar"/>
              </w:rPr>
              <w:t>元</w:t>
            </w:r>
            <w:r>
              <w:rPr>
                <w:rStyle w:val="31"/>
                <w:rFonts w:hint="eastAsia" w:ascii="仿宋_GB2312" w:hAnsi="仿宋_GB2312" w:eastAsia="仿宋_GB2312" w:cs="仿宋_GB2312"/>
                <w:color w:val="auto"/>
                <w:sz w:val="24"/>
                <w:szCs w:val="24"/>
                <w:highlight w:val="none"/>
                <w:lang w:val="en-US" w:eastAsia="zh-CN" w:bidi="ar"/>
              </w:rPr>
              <w:t>/</w:t>
            </w:r>
            <w:r>
              <w:rPr>
                <w:rFonts w:hint="eastAsia" w:ascii="仿宋_GB2312" w:hAnsi="仿宋_GB2312" w:eastAsia="仿宋_GB2312" w:cs="仿宋_GB2312"/>
                <w:color w:val="auto"/>
                <w:sz w:val="24"/>
                <w:szCs w:val="24"/>
                <w:highlight w:val="none"/>
                <w:u w:val="none"/>
                <w:lang w:val="en-US" w:eastAsia="zh-CN" w:bidi="ar"/>
              </w:rPr>
              <w:t>㎡</w:t>
            </w:r>
            <w:r>
              <w:rPr>
                <w:rStyle w:val="31"/>
                <w:rFonts w:hint="eastAsia" w:ascii="仿宋_GB2312" w:hAnsi="仿宋_GB2312" w:eastAsia="仿宋_GB2312" w:cs="仿宋_GB2312"/>
                <w:color w:val="auto"/>
                <w:sz w:val="24"/>
                <w:szCs w:val="24"/>
                <w:highlight w:val="none"/>
                <w:lang w:val="en-US" w:eastAsia="zh-CN" w:bidi="ar"/>
              </w:rPr>
              <w:t>/</w:t>
            </w:r>
            <w:r>
              <w:rPr>
                <w:rStyle w:val="30"/>
                <w:rFonts w:hAnsi="仿宋_GB2312"/>
                <w:color w:val="auto"/>
                <w:sz w:val="24"/>
                <w:szCs w:val="24"/>
                <w:highlight w:val="none"/>
                <w:lang w:val="en-US" w:eastAsia="zh-CN" w:bidi="ar"/>
              </w:rPr>
              <w:t>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C90FD79">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20</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131AE473">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租金及面积相关材料（如租赁合同、租金流水等）</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6862D9B9">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413BC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14:paraId="295CB6FE">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8CCBC83">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14:paraId="3914EDD1">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600≤月均租金坪效＜700元/㎡/月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76669B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555CB4">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4DE39D39">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4792D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14:paraId="1286499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EBE65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14:paraId="2975A131">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500≤月均租金坪效&lt;600元/㎡/月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387714A">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15</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CFD8A">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E61CAAA">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45EE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14:paraId="16550785">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B4BA34">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14:paraId="3DA80B70">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400≤月均租金坪效&lt;500元/㎡/月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65B12B3">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10</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C1AEC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1A131D29">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5606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14:paraId="54F3C16F">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65199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14:paraId="51774C45">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200≤月均租金坪效&lt;400元/㎡/月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1A4E44F">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8</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C2323D">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0A17CBC0">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3262F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14:paraId="0AC68726">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9D63EA">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nil"/>
              <w:right w:val="single" w:color="000000" w:sz="4" w:space="0"/>
            </w:tcBorders>
            <w:noWrap w:val="0"/>
            <w:vAlign w:val="center"/>
          </w:tcPr>
          <w:p w14:paraId="4357F56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月均租金坪效&lt;200元/㎡/月</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B63703A">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6</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AC29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27A50F6B">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4DB22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jc w:val="center"/>
        </w:trPr>
        <w:tc>
          <w:tcPr>
            <w:tcW w:w="904" w:type="dxa"/>
            <w:vMerge w:val="continue"/>
            <w:tcBorders>
              <w:top w:val="single" w:color="000000" w:sz="4" w:space="0"/>
              <w:left w:val="single" w:color="000000" w:sz="4" w:space="0"/>
              <w:bottom w:val="nil"/>
              <w:right w:val="single" w:color="000000" w:sz="4" w:space="0"/>
            </w:tcBorders>
            <w:noWrap w:val="0"/>
            <w:vAlign w:val="center"/>
          </w:tcPr>
          <w:p w14:paraId="3FC00568">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4743E2EF">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运营活动计划</w:t>
            </w:r>
          </w:p>
        </w:tc>
        <w:tc>
          <w:tcPr>
            <w:tcW w:w="5699" w:type="dxa"/>
            <w:gridSpan w:val="3"/>
            <w:tcBorders>
              <w:top w:val="single" w:color="000000" w:sz="4" w:space="0"/>
              <w:left w:val="single" w:color="000000" w:sz="4" w:space="0"/>
              <w:bottom w:val="nil"/>
              <w:right w:val="single" w:color="000000" w:sz="4" w:space="0"/>
            </w:tcBorders>
            <w:noWrap w:val="0"/>
            <w:vAlign w:val="center"/>
          </w:tcPr>
          <w:p w14:paraId="525DE227">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有详尽、系统的年度活动计划，且活动类型多样、频次高（如每月有主题）</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4C278B53">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6</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14:paraId="43508549">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详细的年度“商旅文体健”主题融合活动计划表，包含活动主题、时间、内容、预期规模等</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3FA1E356">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65251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nil"/>
              <w:left w:val="single" w:color="000000" w:sz="4" w:space="0"/>
              <w:bottom w:val="nil"/>
              <w:right w:val="single" w:color="000000" w:sz="4" w:space="0"/>
            </w:tcBorders>
            <w:noWrap w:val="0"/>
            <w:vAlign w:val="center"/>
          </w:tcPr>
          <w:p w14:paraId="7E47EF7E">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多元化场景融合能力</w:t>
            </w: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AA0F20E">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旅游（可多项得分）</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23A2919B">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旅游服务设施种类（如导览、寄存、票务、多语种服务等）≥3类</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1A2ED4B">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105ADA">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空间规划图、现场图片等材料</w:t>
            </w:r>
          </w:p>
        </w:tc>
        <w:tc>
          <w:tcPr>
            <w:tcW w:w="1004" w:type="dxa"/>
            <w:vMerge w:val="restart"/>
            <w:tcBorders>
              <w:top w:val="nil"/>
              <w:left w:val="single" w:color="000000" w:sz="4" w:space="0"/>
              <w:bottom w:val="single" w:color="000000" w:sz="4" w:space="0"/>
              <w:right w:val="single" w:color="000000" w:sz="4" w:space="0"/>
            </w:tcBorders>
            <w:noWrap w:val="0"/>
            <w:vAlign w:val="center"/>
          </w:tcPr>
          <w:p w14:paraId="6F2BC3A6">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38E6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14:paraId="7527DE48">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4167AE">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21681D4B">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设置离境退税点或离境退税商铺</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E443201">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8F4F45">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nil"/>
              <w:left w:val="single" w:color="000000" w:sz="4" w:space="0"/>
              <w:bottom w:val="single" w:color="000000" w:sz="4" w:space="0"/>
              <w:right w:val="single" w:color="000000" w:sz="4" w:space="0"/>
            </w:tcBorders>
            <w:noWrap w:val="0"/>
            <w:vAlign w:val="center"/>
          </w:tcPr>
          <w:p w14:paraId="7FDD554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7E7D6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14:paraId="1DCF6E18">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BBFF6">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7BA60FA0">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设有旅游商品/手信销售区区域或商店/文创旅游商店</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0650367D">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811F21">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1004" w:type="dxa"/>
            <w:vMerge w:val="continue"/>
            <w:tcBorders>
              <w:top w:val="nil"/>
              <w:left w:val="single" w:color="000000" w:sz="4" w:space="0"/>
              <w:bottom w:val="single" w:color="000000" w:sz="4" w:space="0"/>
              <w:right w:val="single" w:color="000000" w:sz="4" w:space="0"/>
            </w:tcBorders>
            <w:noWrap w:val="0"/>
            <w:vAlign w:val="center"/>
          </w:tcPr>
          <w:p w14:paraId="1A094C52">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2F16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14:paraId="3D00BD0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14:paraId="7F863A8A">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文化（可多项得分）</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6F373306">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引入国际顶级文化IP（如迪士尼、环球等）或引入国家级文化IP/非遗项目≥3项</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1DC631D1">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14:paraId="26357CEC">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IP授权协议或合作协议等材料</w:t>
            </w:r>
          </w:p>
        </w:tc>
        <w:tc>
          <w:tcPr>
            <w:tcW w:w="1004" w:type="dxa"/>
            <w:tcBorders>
              <w:top w:val="single" w:color="000000" w:sz="4" w:space="0"/>
              <w:left w:val="nil"/>
              <w:bottom w:val="single" w:color="000000" w:sz="4" w:space="0"/>
              <w:right w:val="single" w:color="000000" w:sz="4" w:space="0"/>
            </w:tcBorders>
            <w:noWrap w:val="0"/>
            <w:vAlign w:val="center"/>
          </w:tcPr>
          <w:p w14:paraId="6C35F430">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7FEEE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14:paraId="1FF080D9">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3366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24480EC9">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举办文化活动年均≥15场，或预计年度覆盖的观众、参与者或学员人次≥3000人次</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71434B42">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14:paraId="49E8292F">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文化活动排期表、场地使用记录、现场图片、新闻稿等材料</w:t>
            </w:r>
          </w:p>
        </w:tc>
        <w:tc>
          <w:tcPr>
            <w:tcW w:w="1004" w:type="dxa"/>
            <w:tcBorders>
              <w:top w:val="single" w:color="000000" w:sz="4" w:space="0"/>
              <w:left w:val="nil"/>
              <w:bottom w:val="single" w:color="000000" w:sz="4" w:space="0"/>
              <w:right w:val="single" w:color="000000" w:sz="4" w:space="0"/>
            </w:tcBorders>
            <w:noWrap w:val="0"/>
            <w:vAlign w:val="center"/>
          </w:tcPr>
          <w:p w14:paraId="03D80671">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03F93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14:paraId="46A9D799">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6CA2C">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2AD7BBDF">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与市级及以上（含国际）博物/美术馆、艺术家、文化机构等有正式合作，并举办过联名活动或设立常设展区</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11DA08C">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14:paraId="41AE8D58">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合作协议、新闻稿等材料</w:t>
            </w:r>
          </w:p>
        </w:tc>
        <w:tc>
          <w:tcPr>
            <w:tcW w:w="1004" w:type="dxa"/>
            <w:tcBorders>
              <w:top w:val="single" w:color="000000" w:sz="4" w:space="0"/>
              <w:left w:val="nil"/>
              <w:bottom w:val="single" w:color="000000" w:sz="4" w:space="0"/>
              <w:right w:val="single" w:color="000000" w:sz="4" w:space="0"/>
            </w:tcBorders>
            <w:noWrap w:val="0"/>
            <w:vAlign w:val="center"/>
          </w:tcPr>
          <w:p w14:paraId="75F1FFAE">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01FAB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14:paraId="5A0FE34A">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09024A5">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体育（可多项得分）</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711A9E98">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hAnsi="仿宋_GB2312" w:cs="仿宋_GB2312"/>
                <w:color w:val="auto"/>
                <w:sz w:val="24"/>
                <w:szCs w:val="24"/>
                <w:highlight w:val="none"/>
                <w:u w:val="none"/>
                <w:lang w:val="en-US" w:eastAsia="zh-CN" w:bidi="ar"/>
              </w:rPr>
              <w:t>拥有专业级运动场馆或赛事运营能力（如球场、马术中心、室内滑雪场、攀岩馆等）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9D0ABF1">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14:paraId="6E5DFD7C">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场地功能图、现场图片，及赛事承办合同/政府批文等材料</w:t>
            </w:r>
          </w:p>
        </w:tc>
        <w:tc>
          <w:tcPr>
            <w:tcW w:w="1004" w:type="dxa"/>
            <w:tcBorders>
              <w:top w:val="single" w:color="000000" w:sz="4" w:space="0"/>
              <w:left w:val="nil"/>
              <w:bottom w:val="single" w:color="000000" w:sz="4" w:space="0"/>
              <w:right w:val="single" w:color="000000" w:sz="4" w:space="0"/>
            </w:tcBorders>
            <w:noWrap w:val="0"/>
            <w:vAlign w:val="center"/>
          </w:tcPr>
          <w:p w14:paraId="6B009511">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253D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14:paraId="108B3D28">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61EF5">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2D599626">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自主举办或承办体育赛事、联赛、趣味挑战赛年均≥15场，或预计可容纳活动人数、参与者或学员人次≥3000人次</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66F938C">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14:paraId="0BB7181E">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default" w:ascii="仿宋_GB2312" w:hAnsi="仿宋_GB2312" w:eastAsia="仿宋_GB2312" w:cs="仿宋_GB2312"/>
                <w:i w:val="0"/>
                <w:iCs w:val="0"/>
                <w:color w:val="auto"/>
                <w:sz w:val="24"/>
                <w:szCs w:val="24"/>
                <w:highlight w:val="none"/>
                <w:u w:val="none"/>
                <w:lang w:val="en-US"/>
              </w:rPr>
            </w:pPr>
            <w:r>
              <w:rPr>
                <w:rFonts w:hint="eastAsia" w:ascii="仿宋_GB2312" w:hAnsi="仿宋_GB2312" w:eastAsia="仿宋_GB2312" w:cs="仿宋_GB2312"/>
                <w:i w:val="0"/>
                <w:iCs w:val="0"/>
                <w:color w:val="auto"/>
                <w:kern w:val="0"/>
                <w:sz w:val="24"/>
                <w:szCs w:val="24"/>
                <w:highlight w:val="none"/>
                <w:u w:val="none"/>
                <w:lang w:val="en-US" w:eastAsia="zh-CN" w:bidi="ar"/>
              </w:rPr>
              <w:t>现场图片、体育活动排期表、项目说明书、承诺函等材料</w:t>
            </w:r>
          </w:p>
        </w:tc>
        <w:tc>
          <w:tcPr>
            <w:tcW w:w="1004" w:type="dxa"/>
            <w:tcBorders>
              <w:top w:val="single" w:color="000000" w:sz="4" w:space="0"/>
              <w:left w:val="nil"/>
              <w:bottom w:val="single" w:color="000000" w:sz="4" w:space="0"/>
              <w:right w:val="single" w:color="000000" w:sz="4" w:space="0"/>
            </w:tcBorders>
            <w:noWrap w:val="0"/>
            <w:vAlign w:val="center"/>
          </w:tcPr>
          <w:p w14:paraId="1461C887">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553B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nil"/>
              <w:left w:val="single" w:color="000000" w:sz="4" w:space="0"/>
              <w:bottom w:val="nil"/>
              <w:right w:val="single" w:color="000000" w:sz="4" w:space="0"/>
            </w:tcBorders>
            <w:noWrap w:val="0"/>
            <w:vAlign w:val="center"/>
          </w:tcPr>
          <w:p w14:paraId="6F30FFA4">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tcBorders>
              <w:top w:val="single" w:color="000000" w:sz="4" w:space="0"/>
              <w:left w:val="single" w:color="000000" w:sz="4" w:space="0"/>
              <w:bottom w:val="nil"/>
              <w:right w:val="single" w:color="000000" w:sz="4" w:space="0"/>
            </w:tcBorders>
            <w:noWrap w:val="0"/>
            <w:vAlign w:val="center"/>
          </w:tcPr>
          <w:p w14:paraId="00011C4F">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健康服务</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1F4C589F">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健康服务业态覆盖“医疗服务（如医美、齿科、体检）+养生保健（如中医、SPA）+健康餐饮”等3类及以上</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5848D8ED">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2</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14:paraId="1A68C280">
            <w:pPr>
              <w:keepNext w:val="0"/>
              <w:keepLines w:val="0"/>
              <w:pageBreakBefore w:val="0"/>
              <w:widowControl/>
              <w:suppressLineNumbers w:val="0"/>
              <w:kinsoku/>
              <w:wordWrap/>
              <w:overflowPunct/>
              <w:topLinePunct w:val="0"/>
              <w:autoSpaceDE/>
              <w:autoSpaceDN/>
              <w:bidi w:val="0"/>
              <w:adjustRightInd/>
              <w:snapToGrid/>
              <w:spacing w:before="0" w:after="0" w:line="560" w:lineRule="exact"/>
              <w:ind w:firstLine="0" w:firstLineChars="0"/>
              <w:jc w:val="left"/>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资质文件、合作协议、场地图片、现场图片、商户清单等材料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23D70BA">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5034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restart"/>
            <w:tcBorders>
              <w:top w:val="single" w:color="000000" w:sz="4" w:space="0"/>
              <w:left w:val="single" w:color="000000" w:sz="4" w:space="0"/>
              <w:bottom w:val="single" w:color="000000" w:sz="4" w:space="0"/>
              <w:right w:val="single" w:color="000000" w:sz="4" w:space="0"/>
            </w:tcBorders>
            <w:noWrap w:val="0"/>
            <w:vAlign w:val="center"/>
          </w:tcPr>
          <w:p w14:paraId="0AC69FE3">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创新与引领能力</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53EF5A94">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融合模式创新性</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3CDE6C36">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具有区域首创性或显著标杆意义</w:t>
            </w:r>
            <w:r>
              <w:rPr>
                <w:rStyle w:val="34"/>
                <w:rFonts w:hAnsi="仿宋_GB2312"/>
                <w:color w:val="auto"/>
                <w:sz w:val="24"/>
                <w:szCs w:val="24"/>
                <w:highlight w:val="none"/>
                <w:lang w:val="en-US" w:eastAsia="zh-CN" w:bidi="ar"/>
              </w:rPr>
              <w:t>的融合模式（如“工业遗存+旅游”、</w:t>
            </w:r>
            <w:r>
              <w:rPr>
                <w:rStyle w:val="34"/>
                <w:color w:val="auto"/>
                <w:sz w:val="24"/>
                <w:szCs w:val="24"/>
                <w:highlight w:val="none"/>
                <w:lang w:val="en-US" w:eastAsia="zh-CN" w:bidi="ar"/>
              </w:rPr>
              <w:t>“</w:t>
            </w:r>
            <w:r>
              <w:rPr>
                <w:rStyle w:val="34"/>
                <w:rFonts w:hAnsi="仿宋_GB2312"/>
                <w:color w:val="auto"/>
                <w:sz w:val="24"/>
                <w:szCs w:val="24"/>
                <w:highlight w:val="none"/>
                <w:lang w:val="en-US" w:eastAsia="zh-CN" w:bidi="ar"/>
              </w:rPr>
              <w:t>文化艺术+商业综合体</w:t>
            </w:r>
            <w:r>
              <w:rPr>
                <w:rStyle w:val="34"/>
                <w:color w:val="auto"/>
                <w:sz w:val="24"/>
                <w:szCs w:val="24"/>
                <w:highlight w:val="none"/>
                <w:lang w:val="en-US" w:eastAsia="zh-CN" w:bidi="ar"/>
              </w:rPr>
              <w:t>”</w:t>
            </w:r>
            <w:r>
              <w:rPr>
                <w:rStyle w:val="34"/>
                <w:rFonts w:hAnsi="仿宋_GB2312"/>
                <w:color w:val="auto"/>
                <w:sz w:val="24"/>
                <w:szCs w:val="24"/>
                <w:highlight w:val="none"/>
                <w:lang w:val="en-US" w:eastAsia="zh-CN" w:bidi="ar"/>
              </w:rPr>
              <w:t>、“体育健康+商业综合体”等）</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208354E4">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3</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14:paraId="2F79C477">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首创性项目需附有官方媒体新闻稿截图</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7FB21177">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r w14:paraId="62C51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0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B8EF4">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b/>
                <w:bCs/>
                <w:i w:val="0"/>
                <w:iCs w:val="0"/>
                <w:color w:val="auto"/>
                <w:sz w:val="24"/>
                <w:szCs w:val="24"/>
                <w:highlight w:val="none"/>
                <w:u w:val="none"/>
              </w:rPr>
            </w:pPr>
          </w:p>
        </w:tc>
        <w:tc>
          <w:tcPr>
            <w:tcW w:w="1997" w:type="dxa"/>
            <w:tcBorders>
              <w:top w:val="single" w:color="000000" w:sz="4" w:space="0"/>
              <w:left w:val="single" w:color="000000" w:sz="4" w:space="0"/>
              <w:bottom w:val="single" w:color="000000" w:sz="4" w:space="0"/>
              <w:right w:val="single" w:color="000000" w:sz="4" w:space="0"/>
            </w:tcBorders>
            <w:noWrap w:val="0"/>
            <w:vAlign w:val="center"/>
          </w:tcPr>
          <w:p w14:paraId="6EC76CF8">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绿色低碳实践</w:t>
            </w:r>
          </w:p>
        </w:tc>
        <w:tc>
          <w:tcPr>
            <w:tcW w:w="5699" w:type="dxa"/>
            <w:gridSpan w:val="3"/>
            <w:tcBorders>
              <w:top w:val="single" w:color="000000" w:sz="4" w:space="0"/>
              <w:left w:val="single" w:color="000000" w:sz="4" w:space="0"/>
              <w:bottom w:val="single" w:color="000000" w:sz="4" w:space="0"/>
              <w:right w:val="single" w:color="000000" w:sz="4" w:space="0"/>
            </w:tcBorders>
            <w:noWrap w:val="0"/>
            <w:vAlign w:val="center"/>
          </w:tcPr>
          <w:p w14:paraId="2B0CAC47">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在节能改造、绿色建筑、废弃物管理等方面有突出实践，获得国家级或省级绿色商场、节能标杆等认证。</w:t>
            </w:r>
          </w:p>
        </w:tc>
        <w:tc>
          <w:tcPr>
            <w:tcW w:w="1310" w:type="dxa"/>
            <w:tcBorders>
              <w:top w:val="single" w:color="000000" w:sz="4" w:space="0"/>
              <w:left w:val="single" w:color="000000" w:sz="4" w:space="0"/>
              <w:bottom w:val="single" w:color="000000" w:sz="4" w:space="0"/>
              <w:right w:val="single" w:color="000000" w:sz="4" w:space="0"/>
            </w:tcBorders>
            <w:noWrap w:val="0"/>
            <w:vAlign w:val="center"/>
          </w:tcPr>
          <w:p w14:paraId="687896FE">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3</w:t>
            </w:r>
          </w:p>
        </w:tc>
        <w:tc>
          <w:tcPr>
            <w:tcW w:w="2603" w:type="dxa"/>
            <w:tcBorders>
              <w:top w:val="single" w:color="000000" w:sz="4" w:space="0"/>
              <w:left w:val="single" w:color="000000" w:sz="4" w:space="0"/>
              <w:bottom w:val="single" w:color="000000" w:sz="4" w:space="0"/>
              <w:right w:val="single" w:color="000000" w:sz="4" w:space="0"/>
            </w:tcBorders>
            <w:noWrap w:val="0"/>
            <w:vAlign w:val="center"/>
          </w:tcPr>
          <w:p w14:paraId="76954F8F">
            <w:pPr>
              <w:keepNext w:val="0"/>
              <w:keepLines w:val="0"/>
              <w:pageBreakBefore w:val="0"/>
              <w:widowControl/>
              <w:suppressLineNumbers w:val="0"/>
              <w:kinsoku/>
              <w:wordWrap/>
              <w:overflowPunct/>
              <w:topLinePunct w:val="0"/>
              <w:autoSpaceDE/>
              <w:autoSpaceDN/>
              <w:bidi w:val="0"/>
              <w:adjustRightInd/>
              <w:snapToGrid w:val="0"/>
              <w:spacing w:before="0" w:after="0" w:line="560" w:lineRule="exact"/>
              <w:ind w:left="0" w:leftChars="0" w:right="0" w:rightChars="0" w:firstLine="0" w:firstLineChars="0"/>
              <w:jc w:val="center"/>
              <w:textAlignment w:val="center"/>
              <w:rPr>
                <w:rFonts w:hint="eastAsia" w:ascii="仿宋_GB2312" w:hAnsi="仿宋_GB2312" w:eastAsia="仿宋_GB2312" w:cs="仿宋_GB2312"/>
                <w:i w:val="0"/>
                <w:iCs w:val="0"/>
                <w:color w:val="auto"/>
                <w:sz w:val="24"/>
                <w:szCs w:val="24"/>
                <w:highlight w:val="none"/>
                <w:u w:val="none"/>
              </w:rPr>
            </w:pPr>
            <w:r>
              <w:rPr>
                <w:rFonts w:hint="eastAsia" w:ascii="仿宋_GB2312" w:hAnsi="仿宋_GB2312" w:eastAsia="仿宋_GB2312" w:cs="仿宋_GB2312"/>
                <w:i w:val="0"/>
                <w:iCs w:val="0"/>
                <w:color w:val="auto"/>
                <w:kern w:val="0"/>
                <w:sz w:val="24"/>
                <w:szCs w:val="24"/>
                <w:highlight w:val="none"/>
                <w:u w:val="none"/>
                <w:lang w:val="en-US" w:eastAsia="zh-CN" w:bidi="ar"/>
              </w:rPr>
              <w:t>相关认证材料</w:t>
            </w:r>
          </w:p>
        </w:tc>
        <w:tc>
          <w:tcPr>
            <w:tcW w:w="1004" w:type="dxa"/>
            <w:tcBorders>
              <w:top w:val="single" w:color="000000" w:sz="4" w:space="0"/>
              <w:left w:val="single" w:color="000000" w:sz="4" w:space="0"/>
              <w:bottom w:val="single" w:color="000000" w:sz="4" w:space="0"/>
              <w:right w:val="single" w:color="000000" w:sz="4" w:space="0"/>
            </w:tcBorders>
            <w:noWrap w:val="0"/>
            <w:vAlign w:val="center"/>
          </w:tcPr>
          <w:p w14:paraId="568C2837">
            <w:pPr>
              <w:keepNext w:val="0"/>
              <w:keepLines w:val="0"/>
              <w:pageBreakBefore w:val="0"/>
              <w:widowControl/>
              <w:kinsoku/>
              <w:wordWrap/>
              <w:overflowPunct/>
              <w:topLinePunct w:val="0"/>
              <w:autoSpaceDE/>
              <w:autoSpaceDN/>
              <w:bidi w:val="0"/>
              <w:adjustRightInd/>
              <w:snapToGrid w:val="0"/>
              <w:spacing w:before="0" w:after="0" w:line="560" w:lineRule="exact"/>
              <w:ind w:left="0" w:leftChars="0" w:right="0" w:rightChars="0" w:firstLine="0" w:firstLineChars="0"/>
              <w:jc w:val="center"/>
              <w:rPr>
                <w:rFonts w:hint="eastAsia" w:ascii="仿宋_GB2312" w:hAnsi="仿宋_GB2312" w:eastAsia="仿宋_GB2312" w:cs="仿宋_GB2312"/>
                <w:i w:val="0"/>
                <w:iCs w:val="0"/>
                <w:color w:val="auto"/>
                <w:sz w:val="24"/>
                <w:szCs w:val="24"/>
                <w:highlight w:val="none"/>
                <w:u w:val="none"/>
              </w:rPr>
            </w:pPr>
          </w:p>
        </w:tc>
      </w:tr>
    </w:tbl>
    <w:p w14:paraId="4A42E212">
      <w:pPr>
        <w:keepNext w:val="0"/>
        <w:keepLines w:val="0"/>
        <w:pageBreakBefore w:val="0"/>
        <w:widowControl w:val="0"/>
        <w:kinsoku/>
        <w:wordWrap/>
        <w:overflowPunct/>
        <w:topLinePunct w:val="0"/>
        <w:autoSpaceDE/>
        <w:autoSpaceDN/>
        <w:bidi w:val="0"/>
        <w:adjustRightInd/>
        <w:snapToGrid/>
        <w:spacing w:before="0" w:after="0" w:line="560" w:lineRule="exact"/>
        <w:ind w:firstLine="0" w:firstLineChars="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注：1、</w:t>
      </w:r>
      <w:r>
        <w:rPr>
          <w:rFonts w:hint="default" w:ascii="仿宋_GB2312" w:hAnsi="仿宋_GB2312" w:eastAsia="仿宋_GB2312" w:cs="仿宋_GB2312"/>
          <w:i w:val="0"/>
          <w:iCs w:val="0"/>
          <w:color w:val="auto"/>
          <w:kern w:val="0"/>
          <w:sz w:val="24"/>
          <w:szCs w:val="24"/>
          <w:highlight w:val="none"/>
          <w:u w:val="none"/>
          <w:lang w:val="en-US" w:eastAsia="zh-CN" w:bidi="ar"/>
        </w:rPr>
        <w:t>文化类</w:t>
      </w:r>
      <w:r>
        <w:rPr>
          <w:rFonts w:hint="eastAsia" w:ascii="仿宋_GB2312" w:hAnsi="仿宋_GB2312" w:eastAsia="仿宋_GB2312" w:cs="仿宋_GB2312"/>
          <w:i w:val="0"/>
          <w:iCs w:val="0"/>
          <w:color w:val="auto"/>
          <w:kern w:val="0"/>
          <w:sz w:val="24"/>
          <w:szCs w:val="24"/>
          <w:highlight w:val="none"/>
          <w:u w:val="none"/>
          <w:lang w:val="en-US" w:eastAsia="zh-CN" w:bidi="ar"/>
        </w:rPr>
        <w:t>：文化策展、书店、画廊、剧场、影院、艺术展厅、非遗工坊、文创集合、艺术培训、数字娱乐体验</w:t>
      </w:r>
      <w:r>
        <w:rPr>
          <w:rFonts w:hint="default" w:ascii="仿宋_GB2312" w:hAnsi="仿宋_GB2312" w:eastAsia="仿宋_GB2312" w:cs="仿宋_GB2312"/>
          <w:i w:val="0"/>
          <w:iCs w:val="0"/>
          <w:color w:val="auto"/>
          <w:kern w:val="0"/>
          <w:sz w:val="24"/>
          <w:szCs w:val="24"/>
          <w:highlight w:val="none"/>
          <w:u w:val="none"/>
          <w:lang w:val="en-US" w:eastAsia="zh-CN" w:bidi="ar"/>
        </w:rPr>
        <w:t>；</w:t>
      </w:r>
    </w:p>
    <w:p w14:paraId="67066EF8">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bookmarkStart w:id="40" w:name="_GoBack"/>
      <w:r>
        <w:rPr>
          <w:rFonts w:hint="eastAsia" w:ascii="仿宋_GB2312" w:hAnsi="仿宋_GB2312" w:eastAsia="仿宋_GB2312" w:cs="仿宋_GB2312"/>
          <w:i w:val="0"/>
          <w:iCs w:val="0"/>
          <w:color w:val="auto"/>
          <w:kern w:val="0"/>
          <w:sz w:val="24"/>
          <w:szCs w:val="24"/>
          <w:highlight w:val="none"/>
          <w:u w:val="none"/>
          <w:lang w:val="en-US" w:eastAsia="zh-CN" w:bidi="ar"/>
        </w:rPr>
        <w:t>2、</w:t>
      </w:r>
      <w:bookmarkEnd w:id="40"/>
      <w:r>
        <w:rPr>
          <w:rFonts w:hint="default" w:ascii="仿宋_GB2312" w:hAnsi="仿宋_GB2312" w:eastAsia="仿宋_GB2312" w:cs="仿宋_GB2312"/>
          <w:i w:val="0"/>
          <w:iCs w:val="0"/>
          <w:color w:val="auto"/>
          <w:kern w:val="0"/>
          <w:sz w:val="24"/>
          <w:szCs w:val="24"/>
          <w:highlight w:val="none"/>
          <w:u w:val="none"/>
          <w:lang w:val="en-US" w:eastAsia="zh-CN" w:bidi="ar"/>
        </w:rPr>
        <w:t>旅游类</w:t>
      </w:r>
      <w:r>
        <w:rPr>
          <w:rFonts w:hint="eastAsia" w:ascii="仿宋_GB2312" w:hAnsi="仿宋_GB2312" w:eastAsia="仿宋_GB2312" w:cs="仿宋_GB2312"/>
          <w:i w:val="0"/>
          <w:iCs w:val="0"/>
          <w:color w:val="auto"/>
          <w:kern w:val="0"/>
          <w:sz w:val="24"/>
          <w:szCs w:val="24"/>
          <w:highlight w:val="none"/>
          <w:u w:val="none"/>
          <w:lang w:val="en-US" w:eastAsia="zh-CN" w:bidi="ar"/>
        </w:rPr>
        <w:t>：旅行社及体验中心、主题酒店、文创旅游商品店</w:t>
      </w:r>
      <w:r>
        <w:rPr>
          <w:rFonts w:hint="default" w:ascii="仿宋_GB2312" w:hAnsi="仿宋_GB2312" w:eastAsia="仿宋_GB2312" w:cs="仿宋_GB2312"/>
          <w:i w:val="0"/>
          <w:iCs w:val="0"/>
          <w:color w:val="auto"/>
          <w:kern w:val="0"/>
          <w:sz w:val="24"/>
          <w:szCs w:val="24"/>
          <w:highlight w:val="none"/>
          <w:u w:val="none"/>
          <w:lang w:val="en-US" w:eastAsia="zh-CN" w:bidi="ar"/>
        </w:rPr>
        <w:t>；</w:t>
      </w:r>
    </w:p>
    <w:p w14:paraId="2BE73539">
      <w:pPr>
        <w:keepNext w:val="0"/>
        <w:keepLines w:val="0"/>
        <w:pageBreakBefore w:val="0"/>
        <w:widowControl w:val="0"/>
        <w:kinsoku/>
        <w:wordWrap/>
        <w:overflowPunct/>
        <w:topLinePunct w:val="0"/>
        <w:autoSpaceDE/>
        <w:autoSpaceDN/>
        <w:bidi w:val="0"/>
        <w:adjustRightInd/>
        <w:snapToGrid/>
        <w:spacing w:before="0" w:after="0" w:line="560" w:lineRule="exact"/>
        <w:ind w:firstLine="480" w:firstLineChars="200"/>
        <w:jc w:val="both"/>
        <w:textAlignment w:val="auto"/>
        <w:rPr>
          <w:rFonts w:hint="eastAsia" w:ascii="仿宋_GB2312" w:hAnsi="仿宋_GB2312" w:eastAsia="仿宋_GB2312" w:cs="仿宋_GB2312"/>
          <w:i w:val="0"/>
          <w:iCs w:val="0"/>
          <w:color w:val="auto"/>
          <w:kern w:val="0"/>
          <w:sz w:val="24"/>
          <w:szCs w:val="24"/>
          <w:highlight w:val="none"/>
          <w:u w:val="none"/>
          <w:lang w:val="en-US" w:eastAsia="zh-CN" w:bidi="ar"/>
        </w:rPr>
      </w:pPr>
      <w:r>
        <w:rPr>
          <w:rFonts w:hint="eastAsia" w:ascii="仿宋_GB2312" w:hAnsi="仿宋_GB2312" w:eastAsia="仿宋_GB2312" w:cs="仿宋_GB2312"/>
          <w:i w:val="0"/>
          <w:iCs w:val="0"/>
          <w:color w:val="auto"/>
          <w:kern w:val="0"/>
          <w:sz w:val="24"/>
          <w:szCs w:val="24"/>
          <w:highlight w:val="none"/>
          <w:u w:val="none"/>
          <w:lang w:val="en-US" w:eastAsia="zh-CN" w:bidi="ar"/>
        </w:rPr>
        <w:t>3、</w:t>
      </w:r>
      <w:r>
        <w:rPr>
          <w:rFonts w:hint="default" w:ascii="仿宋_GB2312" w:hAnsi="仿宋_GB2312" w:eastAsia="仿宋_GB2312" w:cs="仿宋_GB2312"/>
          <w:i w:val="0"/>
          <w:iCs w:val="0"/>
          <w:color w:val="auto"/>
          <w:kern w:val="0"/>
          <w:sz w:val="24"/>
          <w:szCs w:val="24"/>
          <w:highlight w:val="none"/>
          <w:u w:val="none"/>
          <w:lang w:val="en-US" w:eastAsia="zh-CN" w:bidi="ar"/>
        </w:rPr>
        <w:t>体育类</w:t>
      </w:r>
      <w:r>
        <w:rPr>
          <w:rFonts w:hint="eastAsia" w:ascii="仿宋_GB2312" w:hAnsi="仿宋_GB2312" w:eastAsia="仿宋_GB2312" w:cs="仿宋_GB2312"/>
          <w:i w:val="0"/>
          <w:iCs w:val="0"/>
          <w:color w:val="auto"/>
          <w:kern w:val="0"/>
          <w:sz w:val="24"/>
          <w:szCs w:val="24"/>
          <w:highlight w:val="none"/>
          <w:u w:val="none"/>
          <w:lang w:val="en-US" w:eastAsia="zh-CN" w:bidi="ar"/>
        </w:rPr>
        <w:t>：健身房、瑜伽馆、滑雪冲浪模拟、滑冰场、室内棒球馆、攀岩馆、户外装备、体育用品、击剑馆、骑行装备店、体感游戏、VR运动</w:t>
      </w:r>
      <w:r>
        <w:rPr>
          <w:rFonts w:hint="default" w:ascii="仿宋_GB2312" w:hAnsi="仿宋_GB2312" w:eastAsia="仿宋_GB2312" w:cs="仿宋_GB2312"/>
          <w:i w:val="0"/>
          <w:iCs w:val="0"/>
          <w:color w:val="auto"/>
          <w:kern w:val="0"/>
          <w:sz w:val="24"/>
          <w:szCs w:val="24"/>
          <w:highlight w:val="none"/>
          <w:u w:val="none"/>
          <w:lang w:val="en-US" w:eastAsia="zh-CN" w:bidi="ar"/>
        </w:rPr>
        <w:t>；</w:t>
      </w:r>
    </w:p>
    <w:p w14:paraId="66CC2D7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default" w:ascii="仿宋_GB2312" w:hAnsi="仿宋_GB2312" w:eastAsia="仿宋_GB2312" w:cs="仿宋_GB2312"/>
          <w:i w:val="0"/>
          <w:iCs w:val="0"/>
          <w:color w:val="auto"/>
          <w:kern w:val="0"/>
          <w:sz w:val="24"/>
          <w:szCs w:val="24"/>
          <w:highlight w:val="none"/>
          <w:u w:val="none"/>
          <w:lang w:val="en-US" w:eastAsia="zh-CN" w:bidi="ar"/>
        </w:rPr>
        <w:sectPr>
          <w:pgSz w:w="16838" w:h="11906" w:orient="landscape"/>
          <w:pgMar w:top="1474" w:right="1814" w:bottom="1474" w:left="1814" w:header="851" w:footer="992" w:gutter="0"/>
          <w:pgNumType w:fmt="decimal"/>
          <w:cols w:space="720" w:num="1"/>
          <w:docGrid w:type="lines" w:linePitch="312" w:charSpace="0"/>
        </w:sectPr>
      </w:pPr>
      <w:r>
        <w:rPr>
          <w:rFonts w:hint="eastAsia" w:ascii="仿宋_GB2312" w:hAnsi="仿宋_GB2312" w:eastAsia="仿宋_GB2312" w:cs="仿宋_GB2312"/>
          <w:i w:val="0"/>
          <w:iCs w:val="0"/>
          <w:color w:val="auto"/>
          <w:kern w:val="0"/>
          <w:sz w:val="24"/>
          <w:szCs w:val="24"/>
          <w:highlight w:val="none"/>
          <w:u w:val="none"/>
          <w:lang w:val="en-US" w:eastAsia="zh-CN" w:bidi="ar"/>
        </w:rPr>
        <w:t>4、健康</w:t>
      </w:r>
      <w:r>
        <w:rPr>
          <w:rFonts w:hint="default" w:ascii="仿宋_GB2312" w:hAnsi="仿宋_GB2312" w:eastAsia="仿宋_GB2312" w:cs="仿宋_GB2312"/>
          <w:i w:val="0"/>
          <w:iCs w:val="0"/>
          <w:color w:val="auto"/>
          <w:kern w:val="0"/>
          <w:sz w:val="24"/>
          <w:szCs w:val="24"/>
          <w:highlight w:val="none"/>
          <w:u w:val="none"/>
          <w:lang w:val="en-US" w:eastAsia="zh-CN" w:bidi="ar"/>
        </w:rPr>
        <w:t>类</w:t>
      </w:r>
      <w:r>
        <w:rPr>
          <w:rFonts w:hint="eastAsia" w:ascii="仿宋_GB2312" w:hAnsi="仿宋_GB2312" w:eastAsia="仿宋_GB2312" w:cs="仿宋_GB2312"/>
          <w:i w:val="0"/>
          <w:iCs w:val="0"/>
          <w:color w:val="auto"/>
          <w:kern w:val="0"/>
          <w:sz w:val="24"/>
          <w:szCs w:val="24"/>
          <w:highlight w:val="none"/>
          <w:u w:val="none"/>
          <w:lang w:val="en-US" w:eastAsia="zh-CN" w:bidi="ar"/>
        </w:rPr>
        <w:t>：养生保健机构、健康管理中心、口腔医疗服务机构、医疗美容机构、身心疗愈中心、专业药房。</w:t>
      </w:r>
    </w:p>
    <w:p w14:paraId="60E010E5">
      <w:pPr>
        <w:pStyle w:val="17"/>
        <w:rPr>
          <w:rFonts w:ascii="仿宋_GB2312" w:hAnsi="仿宋_GB2312"/>
          <w:color w:val="auto"/>
          <w:highlight w:val="none"/>
        </w:rPr>
      </w:pPr>
    </w:p>
    <w:sectPr>
      <w:headerReference r:id="rId7" w:type="default"/>
      <w:footerReference r:id="rId8" w:type="default"/>
      <w:pgSz w:w="16838" w:h="11906" w:orient="landscape"/>
      <w:pgMar w:top="1474" w:right="1814" w:bottom="1474" w:left="181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DejaVu Sans">
    <w:panose1 w:val="020B0606030804020204"/>
    <w:charset w:val="00"/>
    <w:family w:val="auto"/>
    <w:pitch w:val="default"/>
    <w:sig w:usb0="E7006EFF" w:usb1="D200FDFF" w:usb2="0A246029" w:usb3="0400200C" w:csb0="600001FF" w:csb1="DFFF0000"/>
  </w:font>
  <w:font w:name="Cantarell">
    <w:panose1 w:val="00000000000000000000"/>
    <w:charset w:val="00"/>
    <w:family w:val="auto"/>
    <w:pitch w:val="default"/>
    <w:sig w:usb0="A00002FF" w:usb1="4000217B" w:usb2="00000000" w:usb3="00000000" w:csb0="20000197"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noto sans thai">
    <w:panose1 w:val="020B0502040504020204"/>
    <w:charset w:val="00"/>
    <w:family w:val="auto"/>
    <w:pitch w:val="default"/>
    <w:sig w:usb0="81000063" w:usb1="00002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D631C">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224989">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A224989">
                    <w:pPr>
                      <w:pStyle w:val="10"/>
                      <w:spacing w:before="0" w:after="0"/>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0E6B8">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5E031FE">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5E031FE">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E4D42">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88F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2803A46"/>
    <w:rsid w:val="02CB1CF7"/>
    <w:rsid w:val="02DA63DE"/>
    <w:rsid w:val="02E93786"/>
    <w:rsid w:val="032C6A46"/>
    <w:rsid w:val="04F91149"/>
    <w:rsid w:val="061A09F3"/>
    <w:rsid w:val="070F7027"/>
    <w:rsid w:val="0A2D6324"/>
    <w:rsid w:val="0A6C5760"/>
    <w:rsid w:val="0B35692F"/>
    <w:rsid w:val="0B4456D1"/>
    <w:rsid w:val="0BE1742C"/>
    <w:rsid w:val="0CB05EFD"/>
    <w:rsid w:val="0D1F0CED"/>
    <w:rsid w:val="0F95719B"/>
    <w:rsid w:val="0FE131A1"/>
    <w:rsid w:val="0FF989E8"/>
    <w:rsid w:val="105D1256"/>
    <w:rsid w:val="10BF0BFF"/>
    <w:rsid w:val="11A73770"/>
    <w:rsid w:val="124226AB"/>
    <w:rsid w:val="126D73E5"/>
    <w:rsid w:val="13A40095"/>
    <w:rsid w:val="14053C83"/>
    <w:rsid w:val="142C55F2"/>
    <w:rsid w:val="144621E7"/>
    <w:rsid w:val="163D2AB4"/>
    <w:rsid w:val="172A2DF8"/>
    <w:rsid w:val="17A666D5"/>
    <w:rsid w:val="17B005EC"/>
    <w:rsid w:val="17ED420C"/>
    <w:rsid w:val="185533C0"/>
    <w:rsid w:val="187E0EC3"/>
    <w:rsid w:val="18AB1F57"/>
    <w:rsid w:val="190653E0"/>
    <w:rsid w:val="197B53D3"/>
    <w:rsid w:val="1BDEB523"/>
    <w:rsid w:val="1C210334"/>
    <w:rsid w:val="1C964CCC"/>
    <w:rsid w:val="1CEFF87F"/>
    <w:rsid w:val="1CFC17D2"/>
    <w:rsid w:val="1DFC18D3"/>
    <w:rsid w:val="1EE33534"/>
    <w:rsid w:val="1F933745"/>
    <w:rsid w:val="1FB82EA7"/>
    <w:rsid w:val="205A510F"/>
    <w:rsid w:val="21127D99"/>
    <w:rsid w:val="222E1CB4"/>
    <w:rsid w:val="22C22819"/>
    <w:rsid w:val="246A3FA3"/>
    <w:rsid w:val="2675F683"/>
    <w:rsid w:val="267C74E6"/>
    <w:rsid w:val="26E72CF4"/>
    <w:rsid w:val="28DE0163"/>
    <w:rsid w:val="2976170C"/>
    <w:rsid w:val="2A104310"/>
    <w:rsid w:val="2A371B1D"/>
    <w:rsid w:val="2A4121E9"/>
    <w:rsid w:val="2A4B3E74"/>
    <w:rsid w:val="2B7EB2BB"/>
    <w:rsid w:val="2BA068F1"/>
    <w:rsid w:val="2C2A1457"/>
    <w:rsid w:val="2CAE0A32"/>
    <w:rsid w:val="2FFC0AFB"/>
    <w:rsid w:val="302C0287"/>
    <w:rsid w:val="31A95387"/>
    <w:rsid w:val="31B31F93"/>
    <w:rsid w:val="321653A8"/>
    <w:rsid w:val="329C19A3"/>
    <w:rsid w:val="32F52701"/>
    <w:rsid w:val="332F2FFB"/>
    <w:rsid w:val="341A4C22"/>
    <w:rsid w:val="347B2CCE"/>
    <w:rsid w:val="358D7EB4"/>
    <w:rsid w:val="363C0287"/>
    <w:rsid w:val="3654545B"/>
    <w:rsid w:val="36565190"/>
    <w:rsid w:val="366C2500"/>
    <w:rsid w:val="36E8604E"/>
    <w:rsid w:val="37FFEB9C"/>
    <w:rsid w:val="3810644E"/>
    <w:rsid w:val="382C7B34"/>
    <w:rsid w:val="387303F9"/>
    <w:rsid w:val="3B0E3D0E"/>
    <w:rsid w:val="3BFC17F2"/>
    <w:rsid w:val="3BFD8340"/>
    <w:rsid w:val="3CFD6976"/>
    <w:rsid w:val="3D5D42F6"/>
    <w:rsid w:val="3DB808BA"/>
    <w:rsid w:val="3FD176EA"/>
    <w:rsid w:val="3FEDD157"/>
    <w:rsid w:val="417255D1"/>
    <w:rsid w:val="418D6C3A"/>
    <w:rsid w:val="423806ED"/>
    <w:rsid w:val="428230B1"/>
    <w:rsid w:val="437A5877"/>
    <w:rsid w:val="43BB3CEC"/>
    <w:rsid w:val="44A91A1A"/>
    <w:rsid w:val="44D052C5"/>
    <w:rsid w:val="46AE1F3D"/>
    <w:rsid w:val="473C23B2"/>
    <w:rsid w:val="47781E40"/>
    <w:rsid w:val="48541414"/>
    <w:rsid w:val="4900762E"/>
    <w:rsid w:val="4A6B0082"/>
    <w:rsid w:val="4AB56AE2"/>
    <w:rsid w:val="4B6E7935"/>
    <w:rsid w:val="4DDB7ECF"/>
    <w:rsid w:val="4E7E74BD"/>
    <w:rsid w:val="4FC2745B"/>
    <w:rsid w:val="509A0D5C"/>
    <w:rsid w:val="52252BFC"/>
    <w:rsid w:val="54E753F5"/>
    <w:rsid w:val="55AB3BAD"/>
    <w:rsid w:val="563F7F48"/>
    <w:rsid w:val="5779221D"/>
    <w:rsid w:val="589B5008"/>
    <w:rsid w:val="58A326D8"/>
    <w:rsid w:val="593C1A00"/>
    <w:rsid w:val="59466376"/>
    <w:rsid w:val="5BF48FFA"/>
    <w:rsid w:val="5BF51433"/>
    <w:rsid w:val="5D396C58"/>
    <w:rsid w:val="5FAFD430"/>
    <w:rsid w:val="5FFF8D5C"/>
    <w:rsid w:val="623151CA"/>
    <w:rsid w:val="64180107"/>
    <w:rsid w:val="64DB7056"/>
    <w:rsid w:val="64DDF491"/>
    <w:rsid w:val="66982F4F"/>
    <w:rsid w:val="685173D3"/>
    <w:rsid w:val="6888651F"/>
    <w:rsid w:val="6894168D"/>
    <w:rsid w:val="694A5FC1"/>
    <w:rsid w:val="69B52798"/>
    <w:rsid w:val="6A7451AD"/>
    <w:rsid w:val="6ABA5765"/>
    <w:rsid w:val="6AC14C27"/>
    <w:rsid w:val="6BC41409"/>
    <w:rsid w:val="6C030E4B"/>
    <w:rsid w:val="6C5C62E3"/>
    <w:rsid w:val="6CAB30BC"/>
    <w:rsid w:val="6CED51AD"/>
    <w:rsid w:val="6E8F8F93"/>
    <w:rsid w:val="6F5134BD"/>
    <w:rsid w:val="6FB5AFDF"/>
    <w:rsid w:val="6FCC3E6E"/>
    <w:rsid w:val="6FEFB7EB"/>
    <w:rsid w:val="7076A474"/>
    <w:rsid w:val="72694444"/>
    <w:rsid w:val="727F15E7"/>
    <w:rsid w:val="73A0155B"/>
    <w:rsid w:val="73C96237"/>
    <w:rsid w:val="74E2C83B"/>
    <w:rsid w:val="757F4967"/>
    <w:rsid w:val="7625601A"/>
    <w:rsid w:val="77BF249E"/>
    <w:rsid w:val="78D33F7B"/>
    <w:rsid w:val="7AFC6C59"/>
    <w:rsid w:val="7AFE0DED"/>
    <w:rsid w:val="7BFF5141"/>
    <w:rsid w:val="7C1A6A34"/>
    <w:rsid w:val="7CBE4AD3"/>
    <w:rsid w:val="7CDF3B41"/>
    <w:rsid w:val="7D1C7CE5"/>
    <w:rsid w:val="7E929CDC"/>
    <w:rsid w:val="7EECA5F2"/>
    <w:rsid w:val="7F363046"/>
    <w:rsid w:val="7F3F3896"/>
    <w:rsid w:val="7FDB43F7"/>
    <w:rsid w:val="7FFBD87A"/>
    <w:rsid w:val="7FFFB0E0"/>
    <w:rsid w:val="8EF7FBAC"/>
    <w:rsid w:val="8EFFBC18"/>
    <w:rsid w:val="AFAF6FDE"/>
    <w:rsid w:val="B5F71F4E"/>
    <w:rsid w:val="B6779C40"/>
    <w:rsid w:val="B7FFD38B"/>
    <w:rsid w:val="BB668962"/>
    <w:rsid w:val="BF3D7E33"/>
    <w:rsid w:val="BF7B8AA5"/>
    <w:rsid w:val="D978BEEC"/>
    <w:rsid w:val="DDEB1808"/>
    <w:rsid w:val="DFEF4E5C"/>
    <w:rsid w:val="DFFFB897"/>
    <w:rsid w:val="E5FA17DB"/>
    <w:rsid w:val="E7EA7FF5"/>
    <w:rsid w:val="EB7D8D7A"/>
    <w:rsid w:val="EBEE8A8D"/>
    <w:rsid w:val="ECE3E2D2"/>
    <w:rsid w:val="F3EFE548"/>
    <w:rsid w:val="F3F7B55B"/>
    <w:rsid w:val="F773774D"/>
    <w:rsid w:val="F8B7B1B1"/>
    <w:rsid w:val="F9F7BC80"/>
    <w:rsid w:val="FAEFA9E4"/>
    <w:rsid w:val="FB5F5F9C"/>
    <w:rsid w:val="FBBB4144"/>
    <w:rsid w:val="FBD4F80E"/>
    <w:rsid w:val="FCDBF164"/>
    <w:rsid w:val="FEFBF67E"/>
    <w:rsid w:val="FF6F7A24"/>
    <w:rsid w:val="FFDBD128"/>
    <w:rsid w:val="FFF5C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5303</Words>
  <Characters>5549</Characters>
  <Lines>0</Lines>
  <Paragraphs>0</Paragraphs>
  <TotalTime>2</TotalTime>
  <ScaleCrop>false</ScaleCrop>
  <LinksUpToDate>false</LinksUpToDate>
  <CharactersWithSpaces>5561</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2025-07-08T10:47:00Z</dcterms:created>
  <dc:creator>黄佩琳</dc:creator>
  <cp:lastModifiedBy>吴佩庭</cp:lastModifiedBy>
  <cp:lastPrinted>2026-03-18T14:46:00Z</cp:lastPrinted>
  <dcterms:modified xsi:type="dcterms:W3CDTF">2026-06-23T10:22:38Z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7D98975336AC4A87A80D38EB00C5BA6F_13</vt:lpwstr>
  </property>
  <property fmtid="{D5CDD505-2E9C-101B-9397-08002B2CF9AE}" pid="4" name="KSOTemplateDocerSaveRecord">
    <vt:lpwstr>eyJoZGlkIjoiY2NiNzc0ZWE4MzBjY2JmMGYyMmY4NjkxNmNhZGJlNDUiLCJ1c2VySWQiOiI4NzUyMjIyNTQifQ==</vt:lpwstr>
  </property>
</Properties>
</file>