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A7DA4A">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bookmarkStart w:id="0" w:name="_Toc13216"/>
      <w:bookmarkStart w:id="1" w:name="_Toc125127182"/>
      <w:bookmarkStart w:id="2" w:name="_Toc32562"/>
      <w:bookmarkStart w:id="3" w:name="_Toc5810"/>
      <w:r>
        <w:rPr>
          <w:rFonts w:hint="eastAsia" w:ascii="黑体" w:hAnsi="黑体" w:eastAsia="黑体" w:cs="黑体"/>
          <w:color w:val="auto"/>
          <w:sz w:val="32"/>
          <w:szCs w:val="32"/>
          <w:highlight w:val="none"/>
          <w:lang w:val="en-US" w:eastAsia="zh-CN"/>
        </w:rPr>
        <w:t>附件4</w:t>
      </w:r>
      <w:bookmarkStart w:id="40" w:name="_GoBack"/>
      <w:bookmarkEnd w:id="40"/>
    </w:p>
    <w:p w14:paraId="5FF5BFD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auto"/>
          <w:sz w:val="32"/>
          <w:szCs w:val="32"/>
          <w:highlight w:val="none"/>
          <w:lang w:val="en-US" w:eastAsia="zh-CN"/>
        </w:rPr>
      </w:pPr>
    </w:p>
    <w:bookmarkEnd w:id="0"/>
    <w:bookmarkEnd w:id="1"/>
    <w:bookmarkEnd w:id="2"/>
    <w:bookmarkEnd w:id="3"/>
    <w:p w14:paraId="6B56F1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深圳市2026年中央资金消费新业态新模式新场景试点（支持优质消费资源与知名IP跨界联名—“IP+”消费场景集聚区资助项目）申报指南</w:t>
      </w:r>
    </w:p>
    <w:p w14:paraId="14DB1AE9">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14:paraId="343844CA">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14:paraId="32FFF918">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鼓励商业综合体、商圈街区等，汇聚符合社会主义核心价值观、具有正确价值导向的全球知名IP、国潮IP、历史文化IP、本地特色IP，打造具有特色和吸引力的“IP+”综合消费场景。</w:t>
      </w:r>
    </w:p>
    <w:p w14:paraId="78687C5B">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14:paraId="72477FAF">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14:paraId="456B8E83">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14:paraId="6FA55409">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14:paraId="23A1DC27">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14:paraId="23ADD328">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14:paraId="407F94C3">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21755"/>
      <w:bookmarkStart w:id="9" w:name="_Toc18411"/>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14:paraId="43104739">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14:paraId="328A7AE0">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14:paraId="52C7A0E4">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14:paraId="6086B8F9">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14:paraId="6CC2E0B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14:paraId="5DE0433D">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14:paraId="311A9180">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14:paraId="6D03012D">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14:paraId="4B74C286">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14:paraId="49667CB0">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14:paraId="242657C7">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14:paraId="1259628B">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14:paraId="28EBA19A">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14:paraId="67AEF226">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14:paraId="19E01FE1">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14:paraId="51B7E6C2">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14:paraId="106B191A">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申报项目须同时满足以下条件：</w:t>
      </w:r>
    </w:p>
    <w:p w14:paraId="65E45170">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w:t>
      </w:r>
      <w:r>
        <w:rPr>
          <w:rFonts w:hint="default"/>
          <w:color w:val="auto"/>
          <w:highlight w:val="none"/>
          <w:lang w:val="en-US" w:eastAsia="zh-CN"/>
        </w:rPr>
        <w:t>项目</w:t>
      </w:r>
      <w:r>
        <w:rPr>
          <w:rFonts w:hint="eastAsia"/>
          <w:color w:val="auto"/>
          <w:highlight w:val="none"/>
          <w:lang w:val="en-US" w:eastAsia="zh-CN"/>
        </w:rPr>
        <w:t>须</w:t>
      </w:r>
      <w:r>
        <w:rPr>
          <w:rFonts w:hint="default"/>
          <w:color w:val="auto"/>
          <w:highlight w:val="none"/>
          <w:lang w:val="en-US" w:eastAsia="zh-CN"/>
        </w:rPr>
        <w:t>通过合法授权、整体规划、统一运营打造规模化IP消费场景集聚区</w:t>
      </w:r>
      <w:r>
        <w:rPr>
          <w:rFonts w:hint="eastAsia"/>
          <w:color w:val="auto"/>
          <w:highlight w:val="none"/>
          <w:lang w:val="en-US" w:eastAsia="zh-CN"/>
        </w:rPr>
        <w:t>；</w:t>
      </w:r>
    </w:p>
    <w:p w14:paraId="6719462A">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集聚区内</w:t>
      </w:r>
      <w:r>
        <w:rPr>
          <w:rFonts w:hint="eastAsia"/>
          <w:color w:val="auto"/>
          <w:highlight w:val="none"/>
          <w:lang w:val="en-US" w:eastAsia="zh-CN"/>
        </w:rPr>
        <w:t>须</w:t>
      </w:r>
      <w:r>
        <w:rPr>
          <w:rFonts w:hint="default"/>
          <w:color w:val="auto"/>
          <w:highlight w:val="none"/>
          <w:lang w:val="en-US" w:eastAsia="zh-CN"/>
        </w:rPr>
        <w:t>汇聚10家以上影视、游戏、动漫、国潮、历史文化等IP主题店铺</w:t>
      </w:r>
      <w:r>
        <w:rPr>
          <w:rFonts w:hint="eastAsia"/>
          <w:color w:val="auto"/>
          <w:highlight w:val="none"/>
          <w:lang w:val="en-US" w:eastAsia="zh-CN"/>
        </w:rPr>
        <w:t>，并具备覆盖</w:t>
      </w:r>
      <w:r>
        <w:rPr>
          <w:rFonts w:hint="default"/>
          <w:color w:val="auto"/>
          <w:highlight w:val="none"/>
          <w:lang w:val="en-US" w:eastAsia="zh-CN"/>
        </w:rPr>
        <w:t>零售、体验消费、数字内容消费、跨界联名消费、社交娱乐等2类以上IP衍生消费场景</w:t>
      </w:r>
      <w:r>
        <w:rPr>
          <w:rFonts w:hint="eastAsia"/>
          <w:color w:val="auto"/>
          <w:highlight w:val="none"/>
          <w:lang w:val="en-US" w:eastAsia="zh-CN"/>
        </w:rPr>
        <w:t>；</w:t>
      </w:r>
    </w:p>
    <w:p w14:paraId="2BB716F4">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集聚区内月均提供服务次数不低于3万次</w:t>
      </w:r>
      <w:r>
        <w:rPr>
          <w:rFonts w:hint="eastAsia"/>
          <w:color w:val="auto"/>
          <w:highlight w:val="none"/>
          <w:lang w:val="en-US" w:eastAsia="zh-CN"/>
        </w:rPr>
        <w:t>（统计周期为2025年9月30日至申报受理前一个月月末；月均值按该期间实际运营数据计算，不足一个月的部分，按日均值折算为月均值）。</w:t>
      </w:r>
    </w:p>
    <w:p w14:paraId="06CD0F86">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14:paraId="545D095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31102"/>
      <w:bookmarkStart w:id="13" w:name="_Toc7095"/>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14:paraId="5D787D2C">
      <w:pPr>
        <w:bidi w:val="0"/>
        <w:rPr>
          <w:rFonts w:hint="eastAsia" w:ascii="仿宋_GB2312" w:eastAsia="仿宋_GB2312"/>
          <w:color w:val="auto"/>
          <w:highlight w:val="none"/>
          <w:lang w:val="en-US" w:eastAsia="zh-CN"/>
        </w:rPr>
      </w:pPr>
      <w:r>
        <w:rPr>
          <w:rStyle w:val="19"/>
          <w:rFonts w:hint="eastAsia" w:ascii="仿宋_GB2312" w:hAnsi="仿宋_GB2312" w:eastAsia="仿宋_GB2312" w:cs="仿宋_GB2312"/>
          <w:color w:val="auto"/>
          <w:sz w:val="32"/>
          <w:szCs w:val="32"/>
          <w:highlight w:val="none"/>
          <w:lang w:val="en-US" w:eastAsia="zh-CN"/>
        </w:rPr>
        <w:t>支持商业综合体、商圈街区等载体，通过合法授权、整体规划、统一运营打造规模化IP消费场景集聚区</w:t>
      </w:r>
      <w:r>
        <w:rPr>
          <w:rStyle w:val="19"/>
          <w:rFonts w:hint="eastAsia" w:cs="仿宋_GB2312"/>
          <w:color w:val="auto"/>
          <w:sz w:val="32"/>
          <w:szCs w:val="32"/>
          <w:highlight w:val="none"/>
          <w:lang w:val="en-US" w:eastAsia="zh-CN"/>
        </w:rPr>
        <w:t>，</w:t>
      </w:r>
      <w:r>
        <w:rPr>
          <w:rFonts w:hint="eastAsia" w:ascii="仿宋_GB2312" w:eastAsia="仿宋_GB2312"/>
          <w:color w:val="auto"/>
          <w:highlight w:val="none"/>
          <w:lang w:val="en-US" w:eastAsia="zh-CN"/>
        </w:rPr>
        <w:t>按</w:t>
      </w:r>
      <w:r>
        <w:rPr>
          <w:rFonts w:hint="eastAsia"/>
          <w:color w:val="auto"/>
          <w:highlight w:val="none"/>
          <w:lang w:val="en-US" w:eastAsia="zh-CN"/>
        </w:rPr>
        <w:t>项目</w:t>
      </w:r>
      <w:r>
        <w:rPr>
          <w:rFonts w:hint="eastAsia" w:ascii="仿宋_GB2312" w:eastAsia="仿宋_GB2312"/>
          <w:color w:val="auto"/>
          <w:highlight w:val="none"/>
          <w:lang w:val="en-US" w:eastAsia="zh-CN"/>
        </w:rPr>
        <w:t>相关的实际</w:t>
      </w:r>
      <w:r>
        <w:rPr>
          <w:rFonts w:hint="eastAsia"/>
          <w:color w:val="auto"/>
          <w:highlight w:val="none"/>
          <w:lang w:val="en-US" w:eastAsia="zh-CN"/>
        </w:rPr>
        <w:t>有效</w:t>
      </w:r>
      <w:r>
        <w:rPr>
          <w:rFonts w:hint="eastAsia" w:ascii="仿宋_GB2312" w:eastAsia="仿宋_GB2312"/>
          <w:color w:val="auto"/>
          <w:highlight w:val="none"/>
          <w:lang w:val="en-US" w:eastAsia="zh-CN"/>
        </w:rPr>
        <w:t>投入</w:t>
      </w:r>
      <w:r>
        <w:rPr>
          <w:rFonts w:hint="eastAsia"/>
          <w:color w:val="auto"/>
          <w:highlight w:val="none"/>
          <w:lang w:val="en-US" w:eastAsia="zh-CN"/>
        </w:rPr>
        <w:t>的</w:t>
      </w:r>
      <w:r>
        <w:rPr>
          <w:rFonts w:hint="eastAsia" w:ascii="仿宋_GB2312" w:eastAsia="仿宋_GB2312"/>
          <w:color w:val="auto"/>
          <w:highlight w:val="none"/>
          <w:lang w:val="en-US" w:eastAsia="zh-CN"/>
        </w:rPr>
        <w:t>15%给予资助，试点期间最高不超过200万元。</w:t>
      </w:r>
    </w:p>
    <w:p w14:paraId="5446F398">
      <w:pPr>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2025年9月30日以来至申报日，申报主体打造规模化</w:t>
      </w:r>
      <w:r>
        <w:rPr>
          <w:rStyle w:val="19"/>
          <w:rFonts w:hint="eastAsia"/>
          <w:color w:val="auto"/>
          <w:sz w:val="32"/>
          <w:szCs w:val="32"/>
          <w:highlight w:val="none"/>
          <w:lang w:val="en-US" w:eastAsia="zh-CN"/>
        </w:rPr>
        <w:t>IP消费场景集聚区</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14:paraId="74AC32D5">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14:paraId="351B562F">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14:paraId="2825647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于线上填写并提交《项目申报书》，网址：https://www.gdzwfw.gov.cn/（广东政务服务网），搜索“深圳市消费新业态新模式新场景试点项目（支持优质消费资源与知名IP跨界联名—“IP+”消费场景集聚区资助项目）”——选择深圳市-南山区后，按照相关事项提示流程和要求进行线上申报（特别提醒该事项办理需申报主体以法人账号登录提交，不接受个人账号提交），并按办理指南提交相关材料（包括并不限于）如下：</w:t>
      </w:r>
    </w:p>
    <w:p w14:paraId="2E7D43F3">
      <w:pPr>
        <w:bidi w:val="0"/>
        <w:rPr>
          <w:rFonts w:hint="eastAsia" w:eastAsia="仿宋_GB2312"/>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w:t>
      </w:r>
      <w:r>
        <w:rPr>
          <w:rFonts w:hint="eastAsia"/>
          <w:color w:val="auto"/>
          <w:highlight w:val="none"/>
          <w:lang w:val="en-US" w:eastAsia="zh-CN"/>
        </w:rPr>
        <w:t>（温馨提示：材料要求齐备，缺漏无法受理，请务必认真研读相关指南，切实准备资料，确认符合申请条件和材料齐备后再行提交，避免资料补缺导致办理时间过长或条件不符合退回）</w:t>
      </w:r>
      <w:r>
        <w:rPr>
          <w:rFonts w:hint="default"/>
          <w:highlight w:val="none"/>
        </w:rPr>
        <w:t>，初审通过后提供申请书纸质文件原件</w:t>
      </w:r>
      <w:r>
        <w:rPr>
          <w:rFonts w:hint="eastAsia"/>
          <w:highlight w:val="none"/>
          <w:lang w:eastAsia="zh-CN"/>
        </w:rPr>
        <w:t>，并按照</w:t>
      </w:r>
      <w:r>
        <w:rPr>
          <w:rFonts w:hint="default"/>
          <w:highlight w:val="none"/>
        </w:rPr>
        <w:t>本指南第六条要求的项目申报材料</w:t>
      </w:r>
      <w:r>
        <w:rPr>
          <w:rFonts w:hint="eastAsia"/>
          <w:highlight w:val="none"/>
          <w:lang w:eastAsia="zh-CN"/>
        </w:rPr>
        <w:t>（一式四份）</w:t>
      </w:r>
      <w:r>
        <w:rPr>
          <w:rFonts w:hint="default"/>
          <w:highlight w:val="none"/>
        </w:rPr>
        <w:t>一并线下或通过邮寄方式</w:t>
      </w:r>
      <w:r>
        <w:rPr>
          <w:rFonts w:hint="default"/>
          <w:highlight w:val="none"/>
          <w:lang w:val="en-US"/>
        </w:rPr>
        <w:t>将材料递交至政务服务大厅</w:t>
      </w:r>
      <w:r>
        <w:rPr>
          <w:rFonts w:hint="default"/>
          <w:highlight w:val="none"/>
        </w:rPr>
        <w:t>，线下受理地址</w:t>
      </w:r>
      <w:r>
        <w:rPr>
          <w:rFonts w:hint="default"/>
          <w:highlight w:val="none"/>
          <w:lang w:val="en-US"/>
        </w:rPr>
        <w:t>可通过</w:t>
      </w:r>
      <w:r>
        <w:rPr>
          <w:rFonts w:hint="default"/>
          <w:highlight w:val="none"/>
        </w:rPr>
        <w:t>线上申报系统申请页面查询</w:t>
      </w:r>
      <w:r>
        <w:rPr>
          <w:rFonts w:hint="default"/>
          <w:highlight w:val="none"/>
          <w:lang w:val="en-US"/>
        </w:rPr>
        <w:t>，</w:t>
      </w:r>
      <w:r>
        <w:rPr>
          <w:rFonts w:hint="eastAsia"/>
          <w:highlight w:val="none"/>
          <w:lang w:val="en-US" w:eastAsia="zh-CN"/>
        </w:rPr>
        <w:t>或见本指南第八条（三）受理地址。</w:t>
      </w:r>
    </w:p>
    <w:p w14:paraId="3558F928">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14:paraId="57D806A4">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14:paraId="6967B5EC">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14:paraId="7BAE7B4A">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14:paraId="64BB3D4C">
      <w:pPr>
        <w:bidi w:val="0"/>
        <w:rPr>
          <w:rFonts w:hint="eastAsia"/>
          <w:color w:val="auto"/>
          <w:highlight w:val="none"/>
          <w:lang w:val="en-US" w:eastAsia="zh-CN"/>
        </w:rPr>
      </w:pPr>
      <w:r>
        <w:rPr>
          <w:rFonts w:hint="eastAsia"/>
          <w:color w:val="auto"/>
          <w:highlight w:val="none"/>
          <w:lang w:val="en-US" w:eastAsia="zh-CN"/>
        </w:rPr>
        <w:t>2.专项资金项目投入明细表及佐证材料（详见项目申报书）。</w:t>
      </w:r>
    </w:p>
    <w:p w14:paraId="4AEE02E8">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w:t>
      </w:r>
      <w:r>
        <w:rPr>
          <w:rFonts w:hint="eastAsia"/>
          <w:color w:val="auto"/>
          <w:highlight w:val="none"/>
          <w:lang w:val="en-US" w:eastAsia="zh-CN"/>
        </w:rPr>
        <w:t>授权与运营材料：相关IP授权协议或合作协议（须体现合法授权），整体规划及统一运营方案。</w:t>
      </w:r>
    </w:p>
    <w:p w14:paraId="54F1B913">
      <w:pPr>
        <w:bidi w:val="0"/>
        <w:rPr>
          <w:rFonts w:hint="default"/>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.集聚</w:t>
      </w:r>
      <w:r>
        <w:rPr>
          <w:rFonts w:hint="default"/>
          <w:color w:val="auto"/>
          <w:highlight w:val="none"/>
          <w:lang w:val="en-US" w:eastAsia="zh-CN"/>
        </w:rPr>
        <w:t>规模材料：IP主题店铺清单（含店铺名称、IP类型、合作方式），及店铺租赁合同或入驻协议（须体现不少于10家）。</w:t>
      </w:r>
    </w:p>
    <w:p w14:paraId="383D2285">
      <w:pPr>
        <w:bidi w:val="0"/>
        <w:rPr>
          <w:rFonts w:hint="default"/>
          <w:color w:val="auto"/>
          <w:highlight w:val="none"/>
          <w:lang w:val="en-US" w:eastAsia="zh-CN"/>
        </w:rPr>
      </w:pPr>
      <w:r>
        <w:rPr>
          <w:rFonts w:hint="default"/>
          <w:color w:val="auto"/>
          <w:highlight w:val="none"/>
          <w:lang w:val="en-US" w:eastAsia="zh-CN"/>
        </w:rPr>
        <w:t>5</w:t>
      </w:r>
      <w:r>
        <w:rPr>
          <w:rFonts w:hint="eastAsia"/>
          <w:color w:val="auto"/>
          <w:highlight w:val="none"/>
          <w:lang w:val="en-US" w:eastAsia="zh-CN"/>
        </w:rPr>
        <w:t>.业态场景材料：说明已具备的IP衍生消费场景（至少2类），并简要描述场景内容。</w:t>
      </w:r>
    </w:p>
    <w:p w14:paraId="6D34DE6D">
      <w:pPr>
        <w:bidi w:val="0"/>
        <w:rPr>
          <w:rFonts w:hint="eastAsia"/>
          <w:color w:val="auto"/>
          <w:highlight w:val="none"/>
          <w:lang w:val="en-US" w:eastAsia="zh-CN"/>
        </w:rPr>
      </w:pPr>
      <w:r>
        <w:rPr>
          <w:rFonts w:hint="default"/>
          <w:color w:val="auto"/>
          <w:highlight w:val="none"/>
          <w:lang w:val="en-US" w:eastAsia="zh-CN"/>
        </w:rPr>
        <w:t>6</w:t>
      </w:r>
      <w:r>
        <w:rPr>
          <w:rFonts w:hint="eastAsia"/>
          <w:color w:val="auto"/>
          <w:highlight w:val="none"/>
          <w:lang w:val="en-US" w:eastAsia="zh-CN"/>
        </w:rPr>
        <w:t>.服务次数材料：后台服务记录、消费订单数据等（须体现不低于3万次）。</w:t>
      </w:r>
    </w:p>
    <w:p w14:paraId="61FB9561">
      <w:pPr>
        <w:bidi w:val="0"/>
        <w:rPr>
          <w:rFonts w:hint="eastAsia"/>
          <w:color w:val="auto"/>
          <w:highlight w:val="none"/>
          <w:lang w:val="en-US" w:eastAsia="zh-CN"/>
        </w:rPr>
      </w:pPr>
      <w:r>
        <w:rPr>
          <w:rFonts w:hint="default"/>
          <w:color w:val="auto"/>
          <w:highlight w:val="none"/>
          <w:lang w:val="en-US" w:eastAsia="zh-CN"/>
        </w:rPr>
        <w:t>以上申报材料按顺序一式四份（附可编辑电子版和PDF扫描件）连续编写页码装订成册，在封面加盖单位公章并加盖骑缝章（其中，申报指引及附件有明确要求加盖公章的资料需按要求执行）；规格为A4纸正反面打印/复印。</w:t>
      </w:r>
    </w:p>
    <w:p w14:paraId="34DE4E78">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5711"/>
      <w:bookmarkStart w:id="17" w:name="_Toc19526"/>
      <w:bookmarkStart w:id="18" w:name="_Toc11274"/>
      <w:bookmarkStart w:id="19" w:name="_Toc16198"/>
      <w:bookmarkStart w:id="20" w:name="_Toc10305"/>
      <w:bookmarkStart w:id="21" w:name="_Toc2137"/>
      <w:bookmarkStart w:id="22" w:name="_Toc125127183"/>
      <w:bookmarkStart w:id="23" w:name="_Toc161850809"/>
      <w:r>
        <w:rPr>
          <w:rFonts w:hint="eastAsia" w:ascii="黑体" w:hAnsi="黑体" w:eastAsia="黑体" w:cs="仿宋"/>
          <w:color w:val="auto"/>
          <w:kern w:val="2"/>
          <w:sz w:val="32"/>
          <w:szCs w:val="22"/>
          <w:highlight w:val="none"/>
          <w:lang w:val="en-US" w:eastAsia="zh-CN" w:bidi="ar-SA"/>
        </w:rPr>
        <w:t>七、申请表格</w:t>
      </w:r>
      <w:bookmarkEnd w:id="16"/>
      <w:bookmarkEnd w:id="17"/>
    </w:p>
    <w:p w14:paraId="7AE9E5B2">
      <w:pPr>
        <w:keepNext/>
        <w:keepLines/>
        <w:widowControl w:val="0"/>
        <w:bidi w:val="0"/>
        <w:spacing w:before="0" w:beforeLines="0" w:beforeAutospacing="0" w:after="0" w:afterLines="0" w:afterAutospacing="0" w:line="560" w:lineRule="exact"/>
        <w:ind w:firstLine="640" w:firstLineChars="200"/>
        <w:jc w:val="both"/>
        <w:outlineLvl w:val="0"/>
        <w:rPr>
          <w:rFonts w:hint="default" w:hAnsi="Calibri" w:cs="Times New Roman"/>
          <w:color w:val="auto"/>
          <w:sz w:val="32"/>
          <w:szCs w:val="32"/>
          <w:highlight w:val="none"/>
          <w:lang w:eastAsia="zh-CN"/>
        </w:rPr>
      </w:pPr>
      <w:bookmarkStart w:id="24" w:name="_Toc13760"/>
      <w:bookmarkStart w:id="25" w:name="_Toc20121"/>
      <w:r>
        <w:rPr>
          <w:rFonts w:hint="eastAsia" w:hAnsi="Calibri" w:cs="Times New Roman"/>
          <w:color w:val="auto"/>
          <w:sz w:val="32"/>
          <w:szCs w:val="32"/>
          <w:highlight w:val="none"/>
          <w:lang w:eastAsia="zh-CN"/>
        </w:rPr>
        <w:t>按照本指南第六条（一）规定登录广东政务服务网在线填报申请书，网址：https://www.gdzwfw.gov.cn/。请在线上下载并填写《深圳市2026年中央资金消费新业态新模式新场景试点项目申报书》</w:t>
      </w:r>
      <w:r>
        <w:rPr>
          <w:rFonts w:hint="default" w:hAnsi="Calibri" w:cs="Times New Roman"/>
          <w:color w:val="auto"/>
          <w:sz w:val="32"/>
          <w:szCs w:val="32"/>
          <w:highlight w:val="none"/>
          <w:lang w:eastAsia="zh-CN"/>
        </w:rPr>
        <w:t>。</w:t>
      </w:r>
    </w:p>
    <w:p w14:paraId="45B83816">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八、受理机关</w:t>
      </w:r>
      <w:bookmarkEnd w:id="24"/>
      <w:bookmarkEnd w:id="25"/>
    </w:p>
    <w:p w14:paraId="619C0522">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14:paraId="14E5932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深圳市南山区商务局。</w:t>
      </w:r>
    </w:p>
    <w:p w14:paraId="3EDBCDF4">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14:paraId="647F4135">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14:paraId="4E5211B2">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14:paraId="0A8BC665">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14:paraId="0FF0CD85">
      <w:pPr>
        <w:bidi w:val="0"/>
        <w:spacing w:before="0" w:after="0" w:line="560" w:lineRule="exact"/>
        <w:ind w:left="645" w:firstLine="0" w:firstLineChars="0"/>
        <w:rPr>
          <w:rFonts w:ascii="楷体_GB2312" w:hAnsi="楷体_GB2312" w:eastAsia="楷体_GB2312" w:cs="楷体_GB2312"/>
          <w:color w:val="000000" w:themeColor="text1"/>
          <w:sz w:val="32"/>
          <w:szCs w:val="32"/>
          <w:highlight w:val="none"/>
          <w14:textFill>
            <w14:solidFill>
              <w14:schemeClr w14:val="tx1"/>
            </w14:solidFill>
          </w14:textFill>
        </w:rPr>
      </w:pPr>
      <w:r>
        <w:rPr>
          <w:rFonts w:hint="eastAsia" w:ascii="楷体_GB2312" w:hAnsi="楷体_GB2312" w:eastAsia="楷体_GB2312" w:cs="楷体_GB2312"/>
          <w:color w:val="000000" w:themeColor="text1"/>
          <w:sz w:val="32"/>
          <w:szCs w:val="32"/>
          <w:highlight w:val="none"/>
          <w14:textFill>
            <w14:solidFill>
              <w14:schemeClr w14:val="tx1"/>
            </w14:solidFill>
          </w14:textFill>
        </w:rPr>
        <w:t>（三）受理地点</w:t>
      </w:r>
    </w:p>
    <w:p w14:paraId="01706AEC">
      <w:pPr>
        <w:keepNext w:val="0"/>
        <w:keepLines w:val="0"/>
        <w:widowControl/>
        <w:suppressLineNumbers w:val="0"/>
        <w:jc w:val="left"/>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auto"/>
          <w:sz w:val="32"/>
          <w:szCs w:val="32"/>
          <w:highlight w:val="none"/>
          <w:lang w:eastAsia="zh-CN"/>
        </w:rPr>
        <w:t>线上受理：</w:t>
      </w:r>
      <w:r>
        <w:rPr>
          <w:rFonts w:hint="eastAsia"/>
          <w:color w:val="auto"/>
          <w:highlight w:val="none"/>
          <w:lang w:val="en-US" w:eastAsia="zh-CN"/>
        </w:rPr>
        <w:t>https://www.gdzwfw.gov.cn/（广东政务服务网）。</w:t>
      </w:r>
    </w:p>
    <w:p w14:paraId="756A1CF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线下材料递交地址：</w:t>
      </w:r>
    </w:p>
    <w:p w14:paraId="76F1BEE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（1）深圳市南山区政务服务中心</w:t>
      </w:r>
    </w:p>
    <w:p w14:paraId="47612FE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地址：深圳市南山区滨海大道辅路3001号深圳湾体育中心南山区政务服务中心一楼综合窗口（深圳湾体育中心东南侧独栋楼房）；办公电话：0755-86975095。</w:t>
      </w:r>
    </w:p>
    <w:p w14:paraId="76D84B0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时间：周一至周五：9:00－12:00</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14:00-17:45（午间服务时间12:00-14:00。法定节假日休息，不对外办公</w:t>
      </w:r>
      <w:r>
        <w:rPr>
          <w:rFonts w:hint="eastAsia"/>
          <w:color w:val="000000" w:themeColor="text1"/>
          <w:highlight w:val="none"/>
          <w:lang w:val="en-US" w:eastAsia="zh-CN"/>
          <w14:textFill>
            <w14:solidFill>
              <w14:schemeClr w14:val="tx1"/>
            </w14:solidFill>
          </w14:textFill>
        </w:rPr>
        <w:t>）。</w:t>
      </w:r>
    </w:p>
    <w:p w14:paraId="1961B22E">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（2）深圳市南山区政务服务中心创智云城服务厅</w:t>
      </w:r>
    </w:p>
    <w:p w14:paraId="5F42962F">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详细地址：深圳市南山区创科路260号创智云城A3栋3楼综合窗口；办公电话：0755-86965234。</w:t>
      </w:r>
    </w:p>
    <w:p w14:paraId="2D6A353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办理时间：周一至周五：9</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00－12:00，14:00-17</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45（法定节假日休息，不对外办公）</w:t>
      </w:r>
    </w:p>
    <w:p w14:paraId="57ADBE5C">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（3）深圳市南山区政务服务中心创新广场服务厅</w:t>
      </w:r>
    </w:p>
    <w:p w14:paraId="1FBFEF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详细地址：深圳市南山区白石路3069号深圳湾科技生态园9栋A座B3层南山区政务服务中心创新广场服务厅综合窗口；办公电话：0755-26923005。</w:t>
      </w:r>
    </w:p>
    <w:p w14:paraId="5ABDEFB7">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办理时间：周一至周五上午9:00—12:00；14:00—17:45（法定节假日及调休除外）</w:t>
      </w:r>
    </w:p>
    <w:p w14:paraId="3691D816">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14:paraId="08726F9A">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6" w:name="_Toc9722"/>
      <w:bookmarkStart w:id="27" w:name="_Toc1376"/>
      <w:r>
        <w:rPr>
          <w:rFonts w:hint="eastAsia" w:hAnsi="宋体" w:cs="宋体"/>
          <w:color w:val="000000" w:themeColor="text1"/>
          <w:kern w:val="0"/>
          <w:sz w:val="32"/>
          <w:szCs w:val="32"/>
          <w:highlight w:val="none"/>
          <w:lang w:val="en-US" w:eastAsia="zh-CN"/>
          <w14:textFill>
            <w14:solidFill>
              <w14:schemeClr w14:val="tx1"/>
            </w14:solidFill>
          </w14:textFill>
        </w:rPr>
        <w:t>0755-88167804、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0755-88167811</w:t>
      </w:r>
    </w:p>
    <w:p w14:paraId="4F9ADDD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九、申请决定机关</w:t>
      </w:r>
      <w:bookmarkEnd w:id="26"/>
      <w:bookmarkEnd w:id="27"/>
    </w:p>
    <w:p w14:paraId="45145673">
      <w:pPr>
        <w:keepNext/>
        <w:keepLines/>
        <w:widowControl w:val="0"/>
        <w:bidi w:val="0"/>
        <w:spacing w:before="0" w:beforeLines="0" w:beforeAutospacing="0" w:after="0" w:afterLines="0" w:afterAutospacing="0" w:line="560" w:lineRule="exact"/>
        <w:ind w:firstLine="640" w:firstLineChars="200"/>
        <w:jc w:val="both"/>
        <w:outlineLvl w:val="0"/>
        <w:rPr>
          <w:rFonts w:hint="eastAsia" w:hAnsi="宋体" w:cs="宋体"/>
          <w:color w:val="000000" w:themeColor="text1"/>
          <w:kern w:val="0"/>
          <w:sz w:val="32"/>
          <w:szCs w:val="32"/>
          <w:highlight w:val="none"/>
          <w:lang w:val="en-US" w:eastAsia="zh-CN"/>
          <w14:textFill>
            <w14:solidFill>
              <w14:schemeClr w14:val="tx1"/>
            </w14:solidFill>
          </w14:textFill>
        </w:rPr>
      </w:pPr>
      <w:r>
        <w:rPr>
          <w:rFonts w:hint="eastAsia" w:hAnsi="宋体" w:cs="宋体"/>
          <w:color w:val="000000" w:themeColor="text1"/>
          <w:kern w:val="0"/>
          <w:sz w:val="32"/>
          <w:szCs w:val="32"/>
          <w:highlight w:val="none"/>
          <w:lang w:val="en-US" w:eastAsia="zh-CN"/>
          <w14:textFill>
            <w14:solidFill>
              <w14:schemeClr w14:val="tx1"/>
            </w14:solidFill>
          </w14:textFill>
        </w:rPr>
        <w:t>深圳市南山区商务局</w:t>
      </w:r>
    </w:p>
    <w:p w14:paraId="6E7E4DF8">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十、办理流程</w:t>
      </w:r>
      <w:bookmarkEnd w:id="18"/>
      <w:bookmarkEnd w:id="19"/>
    </w:p>
    <w:p w14:paraId="48CA404E">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区级商务主管部门发布申报指南——申报单位网上申报——区级商务主管部门网上初审——申报单位向辖区政务服务中心收文窗口提交申请材料——区级商务部门开展形式审查——区级商务主管部门开展资质审查——区级商务主管部门组织专项审计——征求意见与综合核查——拟定资助计划——社会公示——下达资助计划——通知申报单位提交拨付资料——拨付资金</w:t>
      </w:r>
      <w:r>
        <w:rPr>
          <w:rFonts w:hint="eastAsia" w:ascii="仿宋_GB2312" w:hAnsi="仿宋_GB2312" w:eastAsia="仿宋_GB2312" w:cs="Times New Roman"/>
          <w:color w:val="auto"/>
          <w:sz w:val="32"/>
          <w:szCs w:val="32"/>
          <w:highlight w:val="none"/>
          <w:lang w:bidi="ar"/>
        </w:rPr>
        <w:t>。</w:t>
      </w:r>
    </w:p>
    <w:p w14:paraId="219252BD">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14:paraId="502EFEED">
      <w:pPr>
        <w:bidi w:val="0"/>
        <w:rPr>
          <w:rFonts w:hint="eastAsia"/>
          <w:color w:val="auto"/>
          <w:highlight w:val="none"/>
        </w:rPr>
      </w:pPr>
      <w:r>
        <w:rPr>
          <w:rFonts w:hint="eastAsia"/>
          <w:color w:val="auto"/>
          <w:highlight w:val="none"/>
          <w:lang w:val="en-US" w:eastAsia="zh-CN"/>
        </w:rPr>
        <w:t>180个工作日，不含特别程序。</w:t>
      </w:r>
    </w:p>
    <w:p w14:paraId="5F8E4A4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29872"/>
      <w:bookmarkStart w:id="31" w:name="_Toc32254"/>
      <w:r>
        <w:rPr>
          <w:rFonts w:hint="eastAsia" w:ascii="黑体" w:hAnsi="黑体" w:eastAsia="黑体" w:cs="仿宋"/>
          <w:color w:val="auto"/>
          <w:kern w:val="2"/>
          <w:sz w:val="32"/>
          <w:szCs w:val="22"/>
          <w:highlight w:val="none"/>
          <w:lang w:val="en-US" w:eastAsia="zh-CN" w:bidi="ar-SA"/>
        </w:rPr>
        <w:t>十二、证件及有效期</w:t>
      </w:r>
      <w:bookmarkEnd w:id="30"/>
      <w:bookmarkEnd w:id="31"/>
    </w:p>
    <w:p w14:paraId="5D4DF2EF">
      <w:pPr>
        <w:bidi w:val="0"/>
        <w:rPr>
          <w:rFonts w:hint="eastAsia"/>
          <w:color w:val="auto"/>
          <w:highlight w:val="none"/>
        </w:rPr>
      </w:pPr>
      <w:r>
        <w:rPr>
          <w:rFonts w:hint="eastAsia"/>
          <w:color w:val="auto"/>
          <w:highlight w:val="none"/>
        </w:rPr>
        <w:t>证件：无</w:t>
      </w:r>
    </w:p>
    <w:p w14:paraId="54C6FAAF">
      <w:pPr>
        <w:bidi w:val="0"/>
        <w:rPr>
          <w:rFonts w:hint="eastAsia"/>
          <w:color w:val="auto"/>
          <w:highlight w:val="none"/>
        </w:rPr>
      </w:pPr>
      <w:r>
        <w:rPr>
          <w:rFonts w:hint="eastAsia"/>
          <w:color w:val="auto"/>
          <w:highlight w:val="none"/>
        </w:rPr>
        <w:t>有效期限：无</w:t>
      </w:r>
    </w:p>
    <w:p w14:paraId="52AE2E97">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9920"/>
      <w:bookmarkStart w:id="33" w:name="_Toc17239"/>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14:paraId="56628868">
      <w:pPr>
        <w:bidi w:val="0"/>
        <w:rPr>
          <w:rFonts w:hint="eastAsia"/>
          <w:color w:val="auto"/>
          <w:highlight w:val="none"/>
        </w:rPr>
      </w:pPr>
      <w:r>
        <w:rPr>
          <w:rFonts w:hint="eastAsia"/>
          <w:color w:val="auto"/>
          <w:highlight w:val="none"/>
        </w:rPr>
        <w:t>无</w:t>
      </w:r>
    </w:p>
    <w:p w14:paraId="3D89F4CB">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14:paraId="690F29CE">
      <w:pPr>
        <w:bidi w:val="0"/>
        <w:rPr>
          <w:rFonts w:hint="eastAsia"/>
          <w:color w:val="auto"/>
          <w:highlight w:val="none"/>
        </w:rPr>
      </w:pPr>
      <w:r>
        <w:rPr>
          <w:rFonts w:hint="eastAsia"/>
          <w:color w:val="auto"/>
          <w:highlight w:val="none"/>
        </w:rPr>
        <w:t>无</w:t>
      </w:r>
    </w:p>
    <w:p w14:paraId="2B8BECBA">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14:paraId="1202A45B">
      <w:pPr>
        <w:bidi w:val="0"/>
        <w:rPr>
          <w:rFonts w:hint="eastAsia"/>
          <w:color w:val="auto"/>
          <w:highlight w:val="none"/>
        </w:rPr>
      </w:pPr>
      <w:r>
        <w:rPr>
          <w:rFonts w:hint="eastAsia"/>
          <w:color w:val="auto"/>
          <w:highlight w:val="none"/>
        </w:rPr>
        <w:t>无</w:t>
      </w:r>
      <w:bookmarkStart w:id="38" w:name="_Toc20677"/>
      <w:bookmarkStart w:id="39" w:name="_Toc28762"/>
    </w:p>
    <w:p w14:paraId="42B9F1F0">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14:paraId="09A6AE4D">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14:paraId="0C618B3A">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14:paraId="4ABBFDD2">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14:paraId="157A2A58">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14:paraId="3232BEE5">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14:paraId="1B013619">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14:paraId="79019BFA">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14:paraId="6E4CF316">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14:paraId="459509B3">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14:paraId="02F794DA">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color w:val="000000" w:themeColor="text1"/>
          <w:highlight w:val="none"/>
          <w:lang w:val="en-US" w:eastAsia="zh-CN"/>
          <w14:textFill>
            <w14:solidFill>
              <w14:schemeClr w14:val="tx1"/>
            </w14:solidFill>
          </w14:textFill>
        </w:rPr>
        <w:t>（0755-88167811）</w:t>
      </w:r>
    </w:p>
    <w:p w14:paraId="5A0771A7">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14:paraId="11BD979B">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14:paraId="7392138C">
      <w:pPr>
        <w:bidi w:val="0"/>
        <w:rPr>
          <w:rFonts w:hint="eastAsia"/>
          <w:color w:val="auto"/>
          <w:highlight w:val="none"/>
        </w:rPr>
      </w:pPr>
    </w:p>
    <w:p w14:paraId="7BA1D3B7">
      <w:pPr>
        <w:bidi w:val="0"/>
        <w:rPr>
          <w:rFonts w:hint="eastAsia"/>
          <w:color w:val="auto"/>
          <w:highlight w:val="none"/>
          <w:lang w:eastAsia="zh-CN"/>
        </w:rPr>
      </w:pPr>
      <w:r>
        <w:rPr>
          <w:rFonts w:hint="eastAsia"/>
          <w:color w:val="auto"/>
          <w:highlight w:val="none"/>
          <w:lang w:eastAsia="zh-CN"/>
        </w:rPr>
        <w:t>附录：名词解释</w:t>
      </w:r>
    </w:p>
    <w:p w14:paraId="68F34312">
      <w:pPr>
        <w:bidi w:val="0"/>
        <w:ind w:firstLine="0" w:firstLineChars="0"/>
        <w:rPr>
          <w:rFonts w:hint="eastAsia"/>
          <w:color w:val="auto"/>
          <w:highlight w:val="none"/>
          <w:lang w:eastAsia="zh-CN"/>
        </w:rPr>
      </w:pPr>
      <w:r>
        <w:rPr>
          <w:rFonts w:hint="eastAsia"/>
          <w:color w:val="auto"/>
          <w:highlight w:val="none"/>
          <w:lang w:eastAsia="zh-CN"/>
        </w:rPr>
        <w:br w:type="page"/>
      </w:r>
      <w:r>
        <w:rPr>
          <w:rFonts w:hint="eastAsia"/>
          <w:color w:val="auto"/>
          <w:highlight w:val="none"/>
          <w:lang w:eastAsia="zh-CN"/>
        </w:rPr>
        <w:t>附</w:t>
      </w:r>
      <w:r>
        <w:rPr>
          <w:rFonts w:hint="eastAsia"/>
          <w:color w:val="auto"/>
          <w:highlight w:val="none"/>
          <w:lang w:val="en-US" w:eastAsia="zh-CN"/>
        </w:rPr>
        <w:t xml:space="preserve">  </w:t>
      </w:r>
      <w:r>
        <w:rPr>
          <w:rFonts w:hint="eastAsia"/>
          <w:color w:val="auto"/>
          <w:highlight w:val="none"/>
          <w:lang w:eastAsia="zh-CN"/>
        </w:rPr>
        <w:t>录</w:t>
      </w:r>
    </w:p>
    <w:p w14:paraId="5D2A968A">
      <w:pPr>
        <w:bidi w:val="0"/>
        <w:ind w:firstLine="0" w:firstLineChars="0"/>
        <w:rPr>
          <w:rFonts w:hint="eastAsia"/>
          <w:color w:val="auto"/>
          <w:highlight w:val="none"/>
          <w:lang w:eastAsia="zh-CN"/>
        </w:rPr>
      </w:pPr>
    </w:p>
    <w:bookmarkEnd w:id="20"/>
    <w:bookmarkEnd w:id="21"/>
    <w:bookmarkEnd w:id="22"/>
    <w:bookmarkEnd w:id="23"/>
    <w:p w14:paraId="21EE71E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14:paraId="6F9860CF">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14:paraId="79656C5B">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14:paraId="3BD27D30">
      <w:pPr>
        <w:keepNext w:val="0"/>
        <w:keepLines w:val="0"/>
        <w:pageBreakBefore w:val="0"/>
        <w:widowControl w:val="0"/>
        <w:kinsoku/>
        <w:wordWrap/>
        <w:overflowPunct/>
        <w:topLinePunct w:val="0"/>
        <w:autoSpaceDE/>
        <w:autoSpaceDN/>
        <w:bidi w:val="0"/>
        <w:adjustRightInd/>
        <w:snapToGrid/>
        <w:spacing w:line="460" w:lineRule="exact"/>
        <w:ind w:firstLine="643"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14:paraId="21D14E0E">
      <w:pPr>
        <w:rPr>
          <w:rFonts w:ascii="仿宋_GB2312" w:hAnsi="仿宋_GB2312"/>
          <w:color w:val="auto"/>
          <w:highlight w:val="none"/>
        </w:rPr>
      </w:pPr>
    </w:p>
    <w:sectPr>
      <w:headerReference r:id="rId5" w:type="default"/>
      <w:footerReference r:id="rId6"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6030804020204"/>
    <w:charset w:val="00"/>
    <w:family w:val="auto"/>
    <w:pitch w:val="default"/>
    <w:sig w:usb0="E7006EFF" w:usb1="D200FDFF" w:usb2="0A246029" w:usb3="0400200C" w:csb0="600001FF" w:csb1="DFFF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6497C">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CC7E35">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58CC7E35">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1F5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2A09FA"/>
    <w:rsid w:val="01EC3436"/>
    <w:rsid w:val="02803A46"/>
    <w:rsid w:val="02CB1CF7"/>
    <w:rsid w:val="02DA63DE"/>
    <w:rsid w:val="02E93786"/>
    <w:rsid w:val="032C6A46"/>
    <w:rsid w:val="03B55433"/>
    <w:rsid w:val="04E7791B"/>
    <w:rsid w:val="05036B9E"/>
    <w:rsid w:val="052D305E"/>
    <w:rsid w:val="052E6828"/>
    <w:rsid w:val="05A02047"/>
    <w:rsid w:val="06426774"/>
    <w:rsid w:val="06825C75"/>
    <w:rsid w:val="068A4895"/>
    <w:rsid w:val="070F7027"/>
    <w:rsid w:val="08461CA3"/>
    <w:rsid w:val="08B76215"/>
    <w:rsid w:val="0A2D6324"/>
    <w:rsid w:val="0A302337"/>
    <w:rsid w:val="0A58254D"/>
    <w:rsid w:val="0A6C5760"/>
    <w:rsid w:val="0B35692F"/>
    <w:rsid w:val="0B4456D1"/>
    <w:rsid w:val="0BAD1FAB"/>
    <w:rsid w:val="0BE1742C"/>
    <w:rsid w:val="0D0E36C4"/>
    <w:rsid w:val="0D1F0CED"/>
    <w:rsid w:val="0E0D0BC1"/>
    <w:rsid w:val="0E511A57"/>
    <w:rsid w:val="0F95719B"/>
    <w:rsid w:val="0FD33916"/>
    <w:rsid w:val="0FE131A1"/>
    <w:rsid w:val="0FED3255"/>
    <w:rsid w:val="0FFFD4D8"/>
    <w:rsid w:val="10BF0BFF"/>
    <w:rsid w:val="10D762D3"/>
    <w:rsid w:val="11A73770"/>
    <w:rsid w:val="124226AB"/>
    <w:rsid w:val="126D73E5"/>
    <w:rsid w:val="13A40095"/>
    <w:rsid w:val="14053C83"/>
    <w:rsid w:val="15C958A9"/>
    <w:rsid w:val="160A19AA"/>
    <w:rsid w:val="163D2AB4"/>
    <w:rsid w:val="172A2DF8"/>
    <w:rsid w:val="17B005EC"/>
    <w:rsid w:val="185533C0"/>
    <w:rsid w:val="187E0EC3"/>
    <w:rsid w:val="18AB1F57"/>
    <w:rsid w:val="190653E0"/>
    <w:rsid w:val="197B53D3"/>
    <w:rsid w:val="1A595627"/>
    <w:rsid w:val="1BFE8A92"/>
    <w:rsid w:val="1C210334"/>
    <w:rsid w:val="1C964CCC"/>
    <w:rsid w:val="1CFC17D2"/>
    <w:rsid w:val="1EBE0883"/>
    <w:rsid w:val="1F9B5193"/>
    <w:rsid w:val="205A510F"/>
    <w:rsid w:val="21127D99"/>
    <w:rsid w:val="21A5207B"/>
    <w:rsid w:val="22916662"/>
    <w:rsid w:val="22C22819"/>
    <w:rsid w:val="246A3FA3"/>
    <w:rsid w:val="250D4784"/>
    <w:rsid w:val="26E72CF4"/>
    <w:rsid w:val="272E1910"/>
    <w:rsid w:val="2976170C"/>
    <w:rsid w:val="2A104310"/>
    <w:rsid w:val="2A1A1904"/>
    <w:rsid w:val="2A4B3E74"/>
    <w:rsid w:val="2BA068F1"/>
    <w:rsid w:val="2C2A1457"/>
    <w:rsid w:val="2CAE0A32"/>
    <w:rsid w:val="2D1C5E56"/>
    <w:rsid w:val="2F0A3862"/>
    <w:rsid w:val="2FFC0AFB"/>
    <w:rsid w:val="302C0287"/>
    <w:rsid w:val="31A95387"/>
    <w:rsid w:val="31B31F93"/>
    <w:rsid w:val="321653A8"/>
    <w:rsid w:val="322E20A6"/>
    <w:rsid w:val="329C19A3"/>
    <w:rsid w:val="32F52701"/>
    <w:rsid w:val="33A561BE"/>
    <w:rsid w:val="341A4C22"/>
    <w:rsid w:val="347B2CCE"/>
    <w:rsid w:val="352B3694"/>
    <w:rsid w:val="363C0287"/>
    <w:rsid w:val="3654545B"/>
    <w:rsid w:val="36565190"/>
    <w:rsid w:val="366C2500"/>
    <w:rsid w:val="36DC0FF8"/>
    <w:rsid w:val="382C7B34"/>
    <w:rsid w:val="387303F9"/>
    <w:rsid w:val="3AE03440"/>
    <w:rsid w:val="3B0E3D0E"/>
    <w:rsid w:val="3BFC17F2"/>
    <w:rsid w:val="3C0C0B0D"/>
    <w:rsid w:val="3C7D3AC5"/>
    <w:rsid w:val="3CA8505F"/>
    <w:rsid w:val="3CFD6976"/>
    <w:rsid w:val="3D5D42F6"/>
    <w:rsid w:val="3DB808BA"/>
    <w:rsid w:val="3ED5F460"/>
    <w:rsid w:val="3FAC643B"/>
    <w:rsid w:val="3FE9D1E7"/>
    <w:rsid w:val="407A2ECB"/>
    <w:rsid w:val="418D6C3A"/>
    <w:rsid w:val="423806ED"/>
    <w:rsid w:val="428230B1"/>
    <w:rsid w:val="437A5877"/>
    <w:rsid w:val="43BB3CEC"/>
    <w:rsid w:val="4412784D"/>
    <w:rsid w:val="44A91A1A"/>
    <w:rsid w:val="44D052C5"/>
    <w:rsid w:val="455C0989"/>
    <w:rsid w:val="46A70EF9"/>
    <w:rsid w:val="46AE1F3D"/>
    <w:rsid w:val="473C23B2"/>
    <w:rsid w:val="4743523B"/>
    <w:rsid w:val="474450E0"/>
    <w:rsid w:val="47781E40"/>
    <w:rsid w:val="48541414"/>
    <w:rsid w:val="4900762E"/>
    <w:rsid w:val="4A6B0082"/>
    <w:rsid w:val="4AB56AE2"/>
    <w:rsid w:val="4B0038EE"/>
    <w:rsid w:val="4B6E7935"/>
    <w:rsid w:val="4DDD411B"/>
    <w:rsid w:val="4E7E74BD"/>
    <w:rsid w:val="4E805B64"/>
    <w:rsid w:val="4F214F20"/>
    <w:rsid w:val="4F9660BB"/>
    <w:rsid w:val="4FB87893"/>
    <w:rsid w:val="4FC2745B"/>
    <w:rsid w:val="509A0D5C"/>
    <w:rsid w:val="50CB0BE4"/>
    <w:rsid w:val="51A310A0"/>
    <w:rsid w:val="51A47BE3"/>
    <w:rsid w:val="52252BFC"/>
    <w:rsid w:val="5297236D"/>
    <w:rsid w:val="531D6F4D"/>
    <w:rsid w:val="53F7263B"/>
    <w:rsid w:val="543117F2"/>
    <w:rsid w:val="54D06548"/>
    <w:rsid w:val="54E753F5"/>
    <w:rsid w:val="556D99F1"/>
    <w:rsid w:val="563F7F48"/>
    <w:rsid w:val="56F7427F"/>
    <w:rsid w:val="5779221D"/>
    <w:rsid w:val="57F5DEA0"/>
    <w:rsid w:val="584C4C5F"/>
    <w:rsid w:val="589B5008"/>
    <w:rsid w:val="58A326D8"/>
    <w:rsid w:val="59466376"/>
    <w:rsid w:val="5BF51433"/>
    <w:rsid w:val="5D3A2B61"/>
    <w:rsid w:val="5DF84388"/>
    <w:rsid w:val="5F6568F7"/>
    <w:rsid w:val="5FDA2383"/>
    <w:rsid w:val="5FFF8D5C"/>
    <w:rsid w:val="60C802BC"/>
    <w:rsid w:val="61DE0EB4"/>
    <w:rsid w:val="623151CA"/>
    <w:rsid w:val="63A419D8"/>
    <w:rsid w:val="64D37E08"/>
    <w:rsid w:val="64DB7056"/>
    <w:rsid w:val="66982F4F"/>
    <w:rsid w:val="66F0546D"/>
    <w:rsid w:val="6888651F"/>
    <w:rsid w:val="6894168D"/>
    <w:rsid w:val="68EB6152"/>
    <w:rsid w:val="69B52798"/>
    <w:rsid w:val="6A7451AD"/>
    <w:rsid w:val="6AC14C27"/>
    <w:rsid w:val="6BC41409"/>
    <w:rsid w:val="6C030E4B"/>
    <w:rsid w:val="6C5C62E3"/>
    <w:rsid w:val="6CAB30BC"/>
    <w:rsid w:val="6CED51AD"/>
    <w:rsid w:val="6D042BC1"/>
    <w:rsid w:val="6FCC3E6E"/>
    <w:rsid w:val="6FEC814F"/>
    <w:rsid w:val="6FEFB7EB"/>
    <w:rsid w:val="70C3256C"/>
    <w:rsid w:val="71D6011D"/>
    <w:rsid w:val="72694444"/>
    <w:rsid w:val="72AF14FA"/>
    <w:rsid w:val="73A0155B"/>
    <w:rsid w:val="741C5D1E"/>
    <w:rsid w:val="74F90479"/>
    <w:rsid w:val="750C1C31"/>
    <w:rsid w:val="7625601A"/>
    <w:rsid w:val="767FBCD2"/>
    <w:rsid w:val="77BF249E"/>
    <w:rsid w:val="78D33F7B"/>
    <w:rsid w:val="798E36E0"/>
    <w:rsid w:val="79BF454C"/>
    <w:rsid w:val="7AA22367"/>
    <w:rsid w:val="7BFC3F56"/>
    <w:rsid w:val="7C1A6A34"/>
    <w:rsid w:val="7C4E4AC7"/>
    <w:rsid w:val="7CBE4AD3"/>
    <w:rsid w:val="7D1C7CE5"/>
    <w:rsid w:val="7DAFF36D"/>
    <w:rsid w:val="7DF38520"/>
    <w:rsid w:val="7DFB68B2"/>
    <w:rsid w:val="7F363046"/>
    <w:rsid w:val="7FBF5078"/>
    <w:rsid w:val="8DEDF766"/>
    <w:rsid w:val="8EFFBC18"/>
    <w:rsid w:val="9FB7544A"/>
    <w:rsid w:val="B7F8930A"/>
    <w:rsid w:val="BBF7AD18"/>
    <w:rsid w:val="BEFCCEAC"/>
    <w:rsid w:val="BF3785A6"/>
    <w:rsid w:val="C7FF47EC"/>
    <w:rsid w:val="D5DFD50E"/>
    <w:rsid w:val="DFD7A5C9"/>
    <w:rsid w:val="E6FBEE6C"/>
    <w:rsid w:val="EDFD2E75"/>
    <w:rsid w:val="F6DF613F"/>
    <w:rsid w:val="F7FFC602"/>
    <w:rsid w:val="FDAEC066"/>
    <w:rsid w:val="FDD4C297"/>
    <w:rsid w:val="FE6ED611"/>
    <w:rsid w:val="FED79544"/>
    <w:rsid w:val="FFBEAEF7"/>
    <w:rsid w:val="FFD777C2"/>
    <w:rsid w:val="FFDF5322"/>
    <w:rsid w:val="FFFF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5691</Words>
  <Characters>5950</Characters>
  <Lines>0</Lines>
  <Paragraphs>0</Paragraphs>
  <TotalTime>0</TotalTime>
  <ScaleCrop>false</ScaleCrop>
  <LinksUpToDate>false</LinksUpToDate>
  <CharactersWithSpaces>5963</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2025-07-08T02:47:00Z</dcterms:created>
  <dc:creator>黄佩琳</dc:creator>
  <cp:lastModifiedBy>吴佩庭</cp:lastModifiedBy>
  <cp:lastPrinted>2026-03-18T06:46:00Z</cp:lastPrinted>
  <dcterms:modified xsi:type="dcterms:W3CDTF">2026-06-23T10:35:48Z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6BC478CCC8FB4C52AA056815DE5E2412_13</vt:lpwstr>
  </property>
  <property fmtid="{D5CDD505-2E9C-101B-9397-08002B2CF9AE}" pid="4" name="KSOTemplateDocerSaveRecord">
    <vt:lpwstr>eyJoZGlkIjoiY2NiNzc0ZWE4MzBjY2JmMGYyMmY4NjkxNmNhZGJlNDUiLCJ1c2VySWQiOiI4NzUyMjIyNTQifQ==</vt:lpwstr>
  </property>
</Properties>
</file>