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27AB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default" w:ascii="黑体" w:hAnsi="黑体" w:eastAsia="黑体" w:cs="黑体"/>
          <w:color w:val="auto"/>
          <w:sz w:val="32"/>
          <w:szCs w:val="32"/>
          <w:highlight w:val="none"/>
          <w:lang w:val="en-US" w:eastAsia="zh-CN"/>
        </w:rPr>
      </w:pPr>
      <w:bookmarkStart w:id="0" w:name="_Toc32562"/>
      <w:bookmarkStart w:id="1" w:name="_Toc125127182"/>
      <w:bookmarkStart w:id="2" w:name="_Toc5810"/>
      <w:bookmarkStart w:id="3" w:name="_Toc13216"/>
      <w:r>
        <w:rPr>
          <w:rFonts w:hint="eastAsia" w:ascii="黑体" w:hAnsi="黑体" w:eastAsia="黑体" w:cs="黑体"/>
          <w:color w:val="auto"/>
          <w:sz w:val="32"/>
          <w:szCs w:val="32"/>
          <w:highlight w:val="none"/>
          <w:lang w:val="en-US" w:eastAsia="zh-CN"/>
        </w:rPr>
        <w:t>附件</w:t>
      </w:r>
      <w:r>
        <w:rPr>
          <w:rFonts w:hint="default" w:ascii="黑体" w:hAnsi="黑体" w:eastAsia="黑体" w:cs="黑体"/>
          <w:color w:val="auto"/>
          <w:sz w:val="32"/>
          <w:szCs w:val="32"/>
          <w:highlight w:val="none"/>
          <w:lang w:val="en-US" w:eastAsia="zh-CN"/>
        </w:rPr>
        <w:t>5</w:t>
      </w:r>
    </w:p>
    <w:p w14:paraId="5C3CE2BC">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eastAsia" w:ascii="黑体" w:hAnsi="黑体" w:eastAsia="黑体" w:cs="黑体"/>
          <w:color w:val="auto"/>
          <w:sz w:val="32"/>
          <w:szCs w:val="32"/>
          <w:highlight w:val="none"/>
          <w:lang w:val="en-US" w:eastAsia="zh-CN"/>
        </w:rPr>
      </w:pPr>
    </w:p>
    <w:bookmarkEnd w:id="0"/>
    <w:bookmarkEnd w:id="1"/>
    <w:bookmarkEnd w:id="2"/>
    <w:bookmarkEnd w:id="3"/>
    <w:p w14:paraId="2F35B5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ascii="方正小标宋简体" w:hAnsi="宋体" w:eastAsia="方正小标宋简体" w:cs="宋体"/>
          <w:color w:val="auto"/>
          <w:kern w:val="0"/>
          <w:sz w:val="44"/>
          <w:szCs w:val="44"/>
          <w:highlight w:val="none"/>
          <w:lang w:val="en-US" w:eastAsia="zh-CN" w:bidi="ar-SA"/>
        </w:rPr>
      </w:pPr>
      <w:r>
        <w:rPr>
          <w:rFonts w:hint="eastAsia" w:ascii="方正小标宋简体" w:hAnsi="Times New Roman" w:eastAsia="方正小标宋简体" w:cs="Times New Roman"/>
          <w:color w:val="auto"/>
          <w:kern w:val="2"/>
          <w:sz w:val="44"/>
          <w:szCs w:val="44"/>
          <w:highlight w:val="none"/>
          <w:lang w:val="en-US" w:eastAsia="zh-CN" w:bidi="ar-SA"/>
        </w:rPr>
        <w:t>深圳市2026年中央资金消费新业态新模式新场景试点（支持优质消费资源与知名IP跨界联名—优质消费资源与知名IP跨界联合单体场景资助项目）申报指南</w:t>
      </w:r>
    </w:p>
    <w:p w14:paraId="006265D2">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Chars="0" w:firstLine="0" w:firstLineChars="0"/>
        <w:jc w:val="center"/>
        <w:textAlignment w:val="auto"/>
        <w:outlineLvl w:val="0"/>
        <w:rPr>
          <w:rFonts w:hint="eastAsia" w:ascii="楷体_GB2312" w:hAnsi="楷体_GB2312" w:eastAsia="楷体_GB2312" w:cs="楷体_GB2312"/>
          <w:color w:val="auto"/>
          <w:kern w:val="2"/>
          <w:sz w:val="36"/>
          <w:szCs w:val="36"/>
          <w:highlight w:val="none"/>
          <w:lang w:val="en-US" w:eastAsia="zh-CN" w:bidi="ar-SA"/>
        </w:rPr>
      </w:pPr>
    </w:p>
    <w:p w14:paraId="40836FC4">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GB" w:eastAsia="zh-CN" w:bidi="ar-SA"/>
        </w:rPr>
      </w:pPr>
      <w:bookmarkStart w:id="4" w:name="_Toc24194"/>
      <w:bookmarkStart w:id="5" w:name="_Toc20798"/>
      <w:r>
        <w:rPr>
          <w:rFonts w:hint="eastAsia" w:ascii="仿宋_GB2312" w:hAnsi="仿宋_GB2312" w:eastAsia="黑体" w:cs="Times New Roman"/>
          <w:b w:val="0"/>
          <w:bCs/>
          <w:color w:val="auto"/>
          <w:kern w:val="36"/>
          <w:sz w:val="32"/>
          <w:szCs w:val="48"/>
          <w:highlight w:val="none"/>
          <w:lang w:val="en-GB" w:eastAsia="zh-CN" w:bidi="ar-SA"/>
        </w:rPr>
        <w:t>支持领域</w:t>
      </w:r>
      <w:bookmarkEnd w:id="4"/>
      <w:bookmarkEnd w:id="5"/>
    </w:p>
    <w:p w14:paraId="108FF02D">
      <w:pPr>
        <w:bidi w:val="0"/>
        <w:spacing w:before="0" w:after="0" w:line="560" w:lineRule="exact"/>
        <w:ind w:firstLine="640"/>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支持具备影响力和粉丝基础的IP（包含影视、游戏、动漫、国潮文化等）与消费场景深度融合，通过场景搭建、业态创新和互动设计，打造具有一定规模、影响力、兼具情感共鸣与沉浸式体验的新型消费空间。</w:t>
      </w:r>
    </w:p>
    <w:p w14:paraId="67BA3AB6">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6" w:name="_Toc15437"/>
      <w:bookmarkStart w:id="7" w:name="_Toc8852"/>
      <w:r>
        <w:rPr>
          <w:rFonts w:hint="eastAsia" w:ascii="仿宋_GB2312" w:hAnsi="仿宋_GB2312" w:eastAsia="黑体" w:cs="Times New Roman"/>
          <w:b w:val="0"/>
          <w:bCs/>
          <w:color w:val="auto"/>
          <w:kern w:val="36"/>
          <w:sz w:val="32"/>
          <w:szCs w:val="48"/>
          <w:highlight w:val="none"/>
          <w:lang w:val="en-US" w:eastAsia="zh-CN" w:bidi="ar-SA"/>
        </w:rPr>
        <w:t>设定依据</w:t>
      </w:r>
      <w:bookmarkEnd w:id="6"/>
      <w:bookmarkEnd w:id="7"/>
    </w:p>
    <w:p w14:paraId="2167D79D">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（一）资金政策依据</w:t>
      </w:r>
    </w:p>
    <w:p w14:paraId="2955DA0C">
      <w:pPr>
        <w:widowControl/>
        <w:bidi w:val="0"/>
        <w:spacing w:before="0" w:after="0" w:line="560" w:lineRule="exact"/>
        <w:ind w:firstLine="640" w:firstLineChars="200"/>
        <w:rPr>
          <w:rFonts w:hint="eastAsia" w:ascii="仿宋_GB2312" w:hAnsi="仿宋_GB2312" w:eastAsia="仿宋_GB2312" w:cs="Times New Roman"/>
          <w:color w:val="auto"/>
          <w:sz w:val="32"/>
          <w:szCs w:val="32"/>
          <w:highlight w:val="none"/>
          <w:lang w:val="en-US" w:eastAsia="zh-CN"/>
        </w:rPr>
      </w:pPr>
      <w:r>
        <w:rPr>
          <w:rFonts w:hint="eastAsia" w:cs="Times New Roman"/>
          <w:color w:val="auto"/>
          <w:sz w:val="32"/>
          <w:szCs w:val="32"/>
          <w:highlight w:val="none"/>
          <w:lang w:eastAsia="zh-CN"/>
        </w:rPr>
        <w:t>《财政部 商务部关于开展消费新业态新模式新场景试点工作的通知</w:t>
      </w:r>
      <w:r>
        <w:rPr>
          <w:rFonts w:hint="eastAsia" w:cs="Times New Roman"/>
          <w:color w:val="auto"/>
          <w:sz w:val="32"/>
          <w:szCs w:val="32"/>
          <w:highlight w:val="none"/>
          <w:lang w:val="en-US" w:eastAsia="zh-CN"/>
        </w:rPr>
        <w:t>财建〔2025〕341号</w:t>
      </w:r>
      <w:r>
        <w:rPr>
          <w:rFonts w:hint="eastAsia" w:cs="Times New Roman"/>
          <w:color w:val="auto"/>
          <w:sz w:val="32"/>
          <w:szCs w:val="32"/>
          <w:highlight w:val="none"/>
          <w:lang w:eastAsia="zh-CN"/>
        </w:rPr>
        <w:t>》</w:t>
      </w:r>
    </w:p>
    <w:p w14:paraId="014B2084">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（二）资金管理依据</w:t>
      </w:r>
    </w:p>
    <w:p w14:paraId="4661D878">
      <w:pPr>
        <w:bidi w:val="0"/>
        <w:rPr>
          <w:rFonts w:hint="eastAsia" w:ascii="仿宋_GB2312" w:eastAsia="仿宋_GB2312"/>
          <w:color w:val="auto"/>
          <w:highlight w:val="none"/>
          <w:lang w:val="en-US" w:eastAsia="zh-CN"/>
        </w:rPr>
      </w:pPr>
      <w:r>
        <w:rPr>
          <w:rFonts w:hint="eastAsia" w:ascii="仿宋_GB2312" w:hAnsi="仿宋_GB2312" w:eastAsia="仿宋_GB2312" w:cs="Times New Roman"/>
          <w:color w:val="auto"/>
          <w:sz w:val="32"/>
          <w:szCs w:val="32"/>
          <w:highlight w:val="none"/>
          <w:lang w:val="en-US" w:eastAsia="zh-CN"/>
        </w:rPr>
        <w:t>1.</w:t>
      </w:r>
      <w:r>
        <w:rPr>
          <w:rFonts w:hint="eastAsia" w:ascii="仿宋_GB2312" w:eastAsia="仿宋_GB2312"/>
          <w:color w:val="auto"/>
          <w:highlight w:val="none"/>
          <w:lang w:val="en-US" w:eastAsia="zh-CN"/>
        </w:rPr>
        <w:t>《深圳市消费新业态新模式新场景试点城市建设资金管理办法》</w:t>
      </w:r>
    </w:p>
    <w:p w14:paraId="3A34DD77">
      <w:pPr>
        <w:bidi w:val="0"/>
        <w:rPr>
          <w:rFonts w:hint="eastAsia"/>
          <w:color w:val="auto"/>
          <w:highlight w:val="none"/>
          <w:u w:val="single"/>
          <w:lang w:val="en-US" w:eastAsia="zh-CN"/>
        </w:rPr>
      </w:pPr>
      <w:r>
        <w:rPr>
          <w:rFonts w:hint="eastAsia" w:ascii="仿宋_GB2312" w:eastAsia="仿宋_GB2312"/>
          <w:color w:val="auto"/>
          <w:highlight w:val="none"/>
          <w:lang w:val="en-US" w:eastAsia="zh-CN"/>
        </w:rPr>
        <w:t>2.</w:t>
      </w:r>
      <w:r>
        <w:rPr>
          <w:rFonts w:hint="eastAsia" w:ascii="仿宋_GB2312" w:hAnsi="仿宋_GB2312" w:eastAsia="仿宋_GB2312" w:cs="仿宋_GB2312"/>
          <w:color w:val="auto"/>
          <w:sz w:val="32"/>
          <w:szCs w:val="32"/>
          <w:highlight w:val="none"/>
          <w:lang w:val="en-US" w:eastAsia="zh-CN"/>
        </w:rPr>
        <w:t>《深圳市商务高质量发展专项资金管理办法》（深商务规〔2025〕4号）</w:t>
      </w:r>
    </w:p>
    <w:p w14:paraId="6F3C88F1">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8" w:name="_Toc18411"/>
      <w:bookmarkStart w:id="9" w:name="_Toc21755"/>
      <w:r>
        <w:rPr>
          <w:rFonts w:hint="eastAsia" w:ascii="仿宋_GB2312" w:hAnsi="仿宋_GB2312" w:eastAsia="黑体" w:cs="Times New Roman"/>
          <w:b w:val="0"/>
          <w:bCs/>
          <w:color w:val="auto"/>
          <w:kern w:val="36"/>
          <w:sz w:val="32"/>
          <w:szCs w:val="48"/>
          <w:highlight w:val="none"/>
          <w:lang w:val="en-US" w:eastAsia="zh-CN" w:bidi="ar-SA"/>
        </w:rPr>
        <w:t>支持数量和支持方式</w:t>
      </w:r>
      <w:bookmarkEnd w:id="8"/>
      <w:bookmarkEnd w:id="9"/>
    </w:p>
    <w:p w14:paraId="00751F0C">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（一）支持数量</w:t>
      </w:r>
    </w:p>
    <w:p w14:paraId="084DA8AD">
      <w:pPr>
        <w:bidi w:val="0"/>
        <w:rPr>
          <w:rFonts w:hint="eastAsia"/>
          <w:color w:val="auto"/>
          <w:highlight w:val="none"/>
          <w:lang w:val="en-US" w:eastAsia="zh-CN"/>
        </w:rPr>
      </w:pPr>
      <w:r>
        <w:rPr>
          <w:rFonts w:hint="eastAsia" w:ascii="仿宋_GB2312" w:eastAsia="仿宋_GB2312"/>
          <w:color w:val="auto"/>
          <w:highlight w:val="none"/>
          <w:lang w:val="en-US" w:eastAsia="zh-CN"/>
        </w:rPr>
        <w:t>有数量限制，受财政下达年度资金预算控制，视申报情况，我局据以对</w:t>
      </w:r>
      <w:r>
        <w:rPr>
          <w:rFonts w:hint="eastAsia"/>
          <w:color w:val="auto"/>
          <w:highlight w:val="none"/>
          <w:lang w:val="en-US" w:eastAsia="zh-CN"/>
        </w:rPr>
        <w:t>资助</w:t>
      </w:r>
      <w:r>
        <w:rPr>
          <w:rFonts w:hint="eastAsia" w:ascii="仿宋_GB2312" w:eastAsia="仿宋_GB2312"/>
          <w:color w:val="auto"/>
          <w:highlight w:val="none"/>
          <w:lang w:val="en-US" w:eastAsia="zh-CN"/>
        </w:rPr>
        <w:t>金额和拨付进度等进行统一调整，申报单位应无条件同意调整结果。</w:t>
      </w:r>
    </w:p>
    <w:p w14:paraId="47515C66">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（二）支持方式</w:t>
      </w:r>
    </w:p>
    <w:p w14:paraId="494CDBD7">
      <w:pPr>
        <w:bidi w:val="0"/>
        <w:rPr>
          <w:rFonts w:hint="eastAsia"/>
          <w:color w:val="auto"/>
          <w:highlight w:val="none"/>
          <w:lang w:val="en-US" w:eastAsia="zh-CN"/>
        </w:rPr>
      </w:pPr>
      <w:r>
        <w:rPr>
          <w:rFonts w:hint="eastAsia" w:ascii="仿宋_GB2312" w:eastAsia="仿宋_GB2312"/>
          <w:color w:val="auto"/>
          <w:highlight w:val="none"/>
          <w:lang w:val="en-US" w:eastAsia="zh-CN"/>
        </w:rPr>
        <w:t>事后资助，自愿申报。</w:t>
      </w:r>
    </w:p>
    <w:p w14:paraId="25C7A5D9">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10" w:name="_Toc15307"/>
      <w:bookmarkStart w:id="11" w:name="_Toc431"/>
      <w:r>
        <w:rPr>
          <w:rFonts w:hint="eastAsia" w:ascii="仿宋_GB2312" w:hAnsi="仿宋_GB2312" w:eastAsia="黑体" w:cs="Times New Roman"/>
          <w:b w:val="0"/>
          <w:bCs/>
          <w:color w:val="auto"/>
          <w:kern w:val="36"/>
          <w:sz w:val="32"/>
          <w:szCs w:val="48"/>
          <w:highlight w:val="none"/>
          <w:lang w:val="en-US" w:eastAsia="zh-CN" w:bidi="ar-SA"/>
        </w:rPr>
        <w:t>申报条件</w:t>
      </w:r>
      <w:bookmarkEnd w:id="10"/>
      <w:bookmarkEnd w:id="11"/>
    </w:p>
    <w:p w14:paraId="0CADE283">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（一）基础条件</w:t>
      </w:r>
    </w:p>
    <w:p w14:paraId="7C7BF810">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1.申报单位为在深圳市实际从事经营活动的企业、事业单位。</w:t>
      </w:r>
    </w:p>
    <w:p w14:paraId="5843F59E">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2.申报单位应为消费新业态新模式新场景试点项目（即申报项目）的实际建设或运营主体，项目所在地应在深圳市（含深汕特别合作区，下同）。</w:t>
      </w:r>
    </w:p>
    <w:p w14:paraId="1EC3E591">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3.申报单位未被国家、省、市有关部门列入严重失信主体名单实施失信惩戒，未被明确限制申请财政性资金项目且在限制期内；未拖欠应缴还的财政性资金。</w:t>
      </w:r>
    </w:p>
    <w:p w14:paraId="60D835D1">
      <w:pPr>
        <w:bidi w:val="0"/>
        <w:rPr>
          <w:rFonts w:hint="eastAsia"/>
          <w:color w:val="auto"/>
          <w:highlight w:val="none"/>
          <w:lang w:val="en-US" w:eastAsia="zh-CN"/>
        </w:rPr>
      </w:pPr>
      <w:r>
        <w:rPr>
          <w:rFonts w:hint="default"/>
          <w:color w:val="auto"/>
          <w:highlight w:val="none"/>
          <w:lang w:val="en-US" w:eastAsia="zh-CN"/>
        </w:rPr>
        <w:t>4</w:t>
      </w:r>
      <w:r>
        <w:rPr>
          <w:rFonts w:hint="eastAsia"/>
          <w:color w:val="auto"/>
          <w:highlight w:val="none"/>
          <w:lang w:val="en-US" w:eastAsia="zh-CN"/>
        </w:rPr>
        <w:t>.申报单位应保证资金真实申报、合规使用和有效管理；应对申报材料的真实性、合法性、完整性负责，应如实提供本单位信用状况，承担违约责任并作出承诺，不得弄虚作假、套取、骗取财政资金。</w:t>
      </w:r>
    </w:p>
    <w:p w14:paraId="7FEB279C">
      <w:pPr>
        <w:bidi w:val="0"/>
        <w:rPr>
          <w:rFonts w:hint="eastAsia"/>
          <w:color w:val="auto"/>
          <w:highlight w:val="none"/>
          <w:lang w:val="en-US" w:eastAsia="zh-CN"/>
        </w:rPr>
      </w:pPr>
      <w:r>
        <w:rPr>
          <w:rFonts w:hint="eastAsia"/>
          <w:color w:val="auto"/>
          <w:highlight w:val="none"/>
          <w:lang w:val="en-US" w:eastAsia="zh-CN"/>
        </w:rPr>
        <w:t>5.申报单位不存在以同一项目或同一费用重复或多头申报的情形，已从其他渠道获得中央财政资金支持的项目，不得重复申请本资金支持，包括但不限于中央基建投资、现代商贸流通试点、国际化消费环境建设试点等。</w:t>
      </w:r>
    </w:p>
    <w:p w14:paraId="3AE86EAD">
      <w:pPr>
        <w:bidi w:val="0"/>
        <w:rPr>
          <w:rFonts w:hint="eastAsia"/>
          <w:color w:val="auto"/>
          <w:highlight w:val="none"/>
          <w:lang w:val="en-US" w:eastAsia="zh-CN"/>
        </w:rPr>
      </w:pPr>
      <w:r>
        <w:rPr>
          <w:rFonts w:hint="eastAsia"/>
          <w:color w:val="auto"/>
          <w:highlight w:val="none"/>
          <w:lang w:val="en-US" w:eastAsia="zh-CN"/>
        </w:rPr>
        <w:t>6.申报单位不存在将本属于同一性质内涵与建设内容的资助项目刻意分拆成两个项目的情形。同一项目不得重复申请多个支持</w:t>
      </w:r>
      <w:r>
        <w:rPr>
          <w:rFonts w:hint="default"/>
          <w:color w:val="auto"/>
          <w:highlight w:val="none"/>
          <w:lang w:eastAsia="zh-CN"/>
        </w:rPr>
        <w:t>内容</w:t>
      </w:r>
      <w:r>
        <w:rPr>
          <w:rFonts w:hint="eastAsia"/>
          <w:color w:val="auto"/>
          <w:highlight w:val="none"/>
          <w:lang w:val="en-US" w:eastAsia="zh-CN"/>
        </w:rPr>
        <w:t>。</w:t>
      </w:r>
    </w:p>
    <w:p w14:paraId="74DFCD9D">
      <w:pPr>
        <w:bidi w:val="0"/>
        <w:rPr>
          <w:rFonts w:hint="eastAsia"/>
          <w:color w:val="auto"/>
          <w:highlight w:val="none"/>
          <w:lang w:val="en-US" w:eastAsia="zh-CN"/>
        </w:rPr>
      </w:pPr>
      <w:r>
        <w:rPr>
          <w:rFonts w:hint="eastAsia"/>
          <w:color w:val="auto"/>
          <w:highlight w:val="none"/>
          <w:lang w:val="en-US" w:eastAsia="zh-CN"/>
        </w:rPr>
        <w:t>7.申报单位须配合开展消费新业态新模式新场景试点工作，报送工作进展及相关数据。</w:t>
      </w:r>
    </w:p>
    <w:p w14:paraId="0952F482">
      <w:pPr>
        <w:bidi w:val="0"/>
        <w:rPr>
          <w:rFonts w:hint="eastAsia"/>
          <w:color w:val="auto"/>
          <w:highlight w:val="none"/>
          <w:lang w:val="en-US" w:eastAsia="zh-CN"/>
        </w:rPr>
      </w:pPr>
      <w:r>
        <w:rPr>
          <w:rFonts w:hint="eastAsia"/>
          <w:color w:val="auto"/>
          <w:highlight w:val="none"/>
          <w:lang w:val="en-US" w:eastAsia="zh-CN"/>
        </w:rPr>
        <w:t>8.项目资助金额不得超过项目实际有效总投入的50%，同一项目中央、省、市、区资助合计不超过项目实际投入。</w:t>
      </w:r>
    </w:p>
    <w:p w14:paraId="496EC1EA">
      <w:pPr>
        <w:bidi w:val="0"/>
        <w:rPr>
          <w:rFonts w:hint="eastAsia"/>
          <w:color w:val="auto"/>
          <w:highlight w:val="none"/>
          <w:lang w:val="en-US" w:eastAsia="zh-CN"/>
        </w:rPr>
      </w:pPr>
      <w:r>
        <w:rPr>
          <w:rFonts w:hint="eastAsia"/>
          <w:color w:val="auto"/>
          <w:highlight w:val="none"/>
          <w:lang w:val="en-US" w:eastAsia="zh-CN"/>
        </w:rPr>
        <w:t>9.申报项目管理机制健全，绩效目标清晰、合理、可考核，预期成效显著。</w:t>
      </w:r>
    </w:p>
    <w:p w14:paraId="5029DB96">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（二）专项条件</w:t>
      </w:r>
    </w:p>
    <w:p w14:paraId="4087D642">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申报项目应符合以下类型之一：</w:t>
      </w:r>
    </w:p>
    <w:p w14:paraId="2E178334">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1.支持新开设IP主题文化消费店铺</w:t>
      </w:r>
    </w:p>
    <w:p w14:paraId="29971877">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（1）申报项目以IP主题衍生品销售、IP文化体验等为核心业务；</w:t>
      </w:r>
    </w:p>
    <w:p w14:paraId="11FEB46C">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（2）拥有自主知识产权或正规授权、IP衍生品产品类型不少于3类；</w:t>
      </w:r>
    </w:p>
    <w:p w14:paraId="2935EF07">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（3）月均提供服务次数不低于1000次（统计周期为2025年9月30日至申报受理前一个月月末；月均值按该期间实际运营数据计算，不足一个月的部分，按日均值折算为月均值）。</w:t>
      </w:r>
    </w:p>
    <w:p w14:paraId="57D49FBB">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default"/>
          <w:color w:val="auto"/>
          <w:highlight w:val="none"/>
          <w:lang w:val="en-US" w:eastAsia="zh-CN"/>
        </w:rPr>
      </w:pPr>
      <w:r>
        <w:rPr>
          <w:rFonts w:hint="eastAsia"/>
          <w:color w:val="auto"/>
          <w:highlight w:val="none"/>
          <w:lang w:val="en-US" w:eastAsia="zh-CN"/>
        </w:rPr>
        <w:t>2.支持新开设IP焕新体验空间</w:t>
      </w:r>
    </w:p>
    <w:p w14:paraId="3403EBFB">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lang w:val="en-US" w:eastAsia="zh-CN"/>
        </w:rPr>
      </w:pPr>
      <w:r>
        <w:rPr>
          <w:rFonts w:hint="eastAsia"/>
          <w:color w:val="auto"/>
          <w:highlight w:val="none"/>
          <w:lang w:val="en-US" w:eastAsia="zh-CN"/>
        </w:rPr>
        <w:t>（1）</w:t>
      </w:r>
      <w:r>
        <w:rPr>
          <w:rFonts w:hint="eastAsia"/>
          <w:color w:val="auto"/>
          <w:lang w:val="en-US" w:eastAsia="zh-CN"/>
        </w:rPr>
        <w:t>申报</w:t>
      </w:r>
      <w:r>
        <w:rPr>
          <w:rFonts w:hint="eastAsia"/>
          <w:color w:val="auto"/>
          <w:lang w:eastAsia="zh-CN"/>
        </w:rPr>
        <w:t>项目</w:t>
      </w:r>
      <w:r>
        <w:rPr>
          <w:rFonts w:hint="eastAsia"/>
          <w:color w:val="auto"/>
          <w:lang w:val="en-US" w:eastAsia="zh-CN"/>
        </w:rPr>
        <w:t>须对现有商业空间进行跨界联名、主题升级、内容共创等IP化改造与内容焕新，成功打造兼具情感共鸣与沉浸式体验的新型消费场景；</w:t>
      </w:r>
    </w:p>
    <w:p w14:paraId="5C7D8D41">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lang w:val="en-US" w:eastAsia="zh-CN"/>
        </w:rPr>
      </w:pPr>
      <w:r>
        <w:rPr>
          <w:rFonts w:hint="eastAsia"/>
          <w:color w:val="auto"/>
          <w:lang w:val="en-US" w:eastAsia="zh-CN"/>
        </w:rPr>
        <w:t>（2）场景主题明确，拥有自主知识产权或正规授权。</w:t>
      </w:r>
    </w:p>
    <w:p w14:paraId="328FE026">
      <w:pPr>
        <w:pStyle w:val="35"/>
        <w:keepNext w:val="0"/>
        <w:keepLines w:val="0"/>
        <w:pageBreakBefore w:val="0"/>
        <w:widowControl w:val="0"/>
        <w:kinsoku/>
        <w:wordWrap/>
        <w:overflowPunct/>
        <w:topLinePunct w:val="0"/>
        <w:autoSpaceDE/>
        <w:autoSpaceDN/>
        <w:bidi w:val="0"/>
        <w:adjustRightInd/>
        <w:snapToGrid/>
        <w:spacing w:before="0" w:after="0"/>
        <w:ind w:firstLine="640"/>
        <w:textAlignment w:val="auto"/>
        <w:rPr>
          <w:rFonts w:hint="eastAsia"/>
          <w:color w:val="auto"/>
          <w:highlight w:val="none"/>
          <w:lang w:val="en-US" w:eastAsia="zh-CN"/>
        </w:rPr>
      </w:pPr>
      <w:r>
        <w:rPr>
          <w:rStyle w:val="19"/>
          <w:rFonts w:hint="eastAsia"/>
          <w:color w:val="auto"/>
          <w:sz w:val="32"/>
          <w:szCs w:val="32"/>
          <w:highlight w:val="none"/>
          <w:lang w:eastAsia="zh-CN"/>
        </w:rPr>
        <w:t>以上</w:t>
      </w:r>
      <w:r>
        <w:rPr>
          <w:rStyle w:val="19"/>
          <w:rFonts w:hint="eastAsia" w:ascii="仿宋_GB2312" w:hAnsi="仿宋_GB2312"/>
          <w:color w:val="auto"/>
          <w:sz w:val="32"/>
          <w:szCs w:val="32"/>
          <w:highlight w:val="none"/>
          <w:lang w:eastAsia="zh-CN"/>
        </w:rPr>
        <w:t>项目支持时间范围为</w:t>
      </w:r>
      <w:r>
        <w:rPr>
          <w:rStyle w:val="19"/>
          <w:rFonts w:hint="eastAsia" w:ascii="仿宋_GB2312" w:hAnsi="仿宋_GB2312"/>
          <w:color w:val="auto"/>
          <w:sz w:val="32"/>
          <w:szCs w:val="32"/>
          <w:highlight w:val="none"/>
          <w:lang w:val="en-US" w:eastAsia="zh-CN"/>
        </w:rPr>
        <w:t>2025年9月30日至2027年6月30日，所支持投入部分应在上述时间内。</w:t>
      </w:r>
      <w:r>
        <w:rPr>
          <w:rStyle w:val="19"/>
          <w:rFonts w:hint="eastAsia" w:ascii="仿宋_GB2312" w:hAnsi="仿宋" w:cs="宋体"/>
          <w:bCs/>
          <w:color w:val="auto"/>
          <w:kern w:val="36"/>
          <w:sz w:val="32"/>
          <w:szCs w:val="32"/>
          <w:highlight w:val="none"/>
          <w:lang w:eastAsia="zh-CN"/>
        </w:rPr>
        <w:t>原则上限于支持</w:t>
      </w:r>
      <w:r>
        <w:rPr>
          <w:rStyle w:val="19"/>
          <w:rFonts w:hint="eastAsia" w:ascii="仿宋_GB2312" w:hAnsi="仿宋" w:eastAsia="仿宋_GB2312" w:cs="宋体"/>
          <w:bCs/>
          <w:color w:val="auto"/>
          <w:kern w:val="36"/>
          <w:sz w:val="32"/>
          <w:szCs w:val="32"/>
          <w:highlight w:val="none"/>
          <w:lang w:eastAsia="zh-CN"/>
        </w:rPr>
        <w:t>市场化商业</w:t>
      </w:r>
      <w:r>
        <w:rPr>
          <w:rStyle w:val="19"/>
          <w:rFonts w:hint="eastAsia" w:ascii="仿宋_GB2312" w:hAnsi="仿宋" w:cs="宋体"/>
          <w:bCs/>
          <w:color w:val="auto"/>
          <w:kern w:val="36"/>
          <w:sz w:val="32"/>
          <w:szCs w:val="32"/>
          <w:highlight w:val="none"/>
          <w:lang w:eastAsia="zh-CN"/>
        </w:rPr>
        <w:t>化</w:t>
      </w:r>
      <w:r>
        <w:rPr>
          <w:rStyle w:val="19"/>
          <w:rFonts w:hint="eastAsia" w:ascii="仿宋_GB2312" w:hAnsi="仿宋" w:eastAsia="仿宋_GB2312" w:cs="宋体"/>
          <w:bCs/>
          <w:color w:val="auto"/>
          <w:kern w:val="36"/>
          <w:sz w:val="32"/>
          <w:szCs w:val="32"/>
          <w:highlight w:val="none"/>
          <w:lang w:eastAsia="zh-CN"/>
        </w:rPr>
        <w:t>项目，</w:t>
      </w:r>
      <w:r>
        <w:rPr>
          <w:rStyle w:val="19"/>
          <w:rFonts w:hint="eastAsia" w:ascii="仿宋_GB2312" w:hAnsi="仿宋" w:cs="宋体"/>
          <w:bCs/>
          <w:color w:val="auto"/>
          <w:kern w:val="36"/>
          <w:sz w:val="32"/>
          <w:szCs w:val="32"/>
          <w:highlight w:val="none"/>
          <w:lang w:eastAsia="zh-CN"/>
        </w:rPr>
        <w:t>不支持</w:t>
      </w:r>
      <w:r>
        <w:rPr>
          <w:rStyle w:val="19"/>
          <w:rFonts w:hint="eastAsia" w:ascii="仿宋_GB2312" w:hAnsi="仿宋" w:eastAsia="仿宋_GB2312" w:cs="宋体"/>
          <w:bCs/>
          <w:color w:val="auto"/>
          <w:kern w:val="36"/>
          <w:sz w:val="32"/>
          <w:szCs w:val="32"/>
          <w:highlight w:val="none"/>
          <w:lang w:eastAsia="zh-CN"/>
        </w:rPr>
        <w:t>免费的纯公益项目</w:t>
      </w:r>
      <w:r>
        <w:rPr>
          <w:rStyle w:val="19"/>
          <w:rFonts w:hint="eastAsia" w:ascii="仿宋_GB2312" w:hAnsi="仿宋" w:cs="宋体"/>
          <w:bCs/>
          <w:color w:val="auto"/>
          <w:kern w:val="36"/>
          <w:sz w:val="32"/>
          <w:szCs w:val="32"/>
          <w:highlight w:val="none"/>
          <w:lang w:eastAsia="zh-CN"/>
        </w:rPr>
        <w:t>，</w:t>
      </w:r>
      <w:r>
        <w:rPr>
          <w:rStyle w:val="19"/>
          <w:rFonts w:hint="eastAsia" w:ascii="仿宋_GB2312" w:hAnsi="仿宋_GB2312" w:eastAsia="仿宋_GB2312" w:cs="仿宋_GB2312"/>
          <w:color w:val="auto"/>
          <w:sz w:val="32"/>
          <w:szCs w:val="32"/>
          <w:highlight w:val="none"/>
          <w:lang w:val="en-US" w:eastAsia="zh-CN"/>
        </w:rPr>
        <w:t>不支持事业单位信息系统建设维护、养老院和病房建设等与支持方向无关的领域。</w:t>
      </w:r>
      <w:r>
        <w:rPr>
          <w:rStyle w:val="19"/>
          <w:rFonts w:hint="eastAsia" w:ascii="仿宋_GB2312" w:hAnsi="仿宋" w:cs="宋体"/>
          <w:bCs/>
          <w:color w:val="auto"/>
          <w:kern w:val="36"/>
          <w:sz w:val="32"/>
          <w:szCs w:val="32"/>
          <w:highlight w:val="none"/>
          <w:lang w:eastAsia="zh-CN"/>
        </w:rPr>
        <w:t>支持内容不包括新建、扩建</w:t>
      </w:r>
      <w:r>
        <w:rPr>
          <w:rStyle w:val="19"/>
          <w:rFonts w:hint="eastAsia" w:ascii="仿宋_GB2312" w:hAnsi="仿宋_GB2312" w:eastAsia="仿宋_GB2312" w:cs="仿宋_GB2312"/>
          <w:color w:val="auto"/>
          <w:sz w:val="32"/>
          <w:szCs w:val="32"/>
          <w:highlight w:val="none"/>
          <w:lang w:val="en-US" w:eastAsia="zh-CN"/>
        </w:rPr>
        <w:t>商业综合体</w:t>
      </w:r>
      <w:r>
        <w:rPr>
          <w:rStyle w:val="19"/>
          <w:rFonts w:hint="eastAsia" w:ascii="仿宋_GB2312" w:hAnsi="仿宋_GB2312" w:cs="仿宋_GB2312"/>
          <w:color w:val="auto"/>
          <w:sz w:val="32"/>
          <w:szCs w:val="32"/>
          <w:highlight w:val="none"/>
          <w:lang w:val="en-US" w:eastAsia="zh-CN"/>
        </w:rPr>
        <w:t>，以及</w:t>
      </w:r>
      <w:r>
        <w:rPr>
          <w:rStyle w:val="19"/>
          <w:rFonts w:hint="eastAsia" w:ascii="仿宋_GB2312" w:hAnsi="仿宋" w:cs="宋体"/>
          <w:bCs/>
          <w:color w:val="auto"/>
          <w:kern w:val="36"/>
          <w:sz w:val="32"/>
          <w:szCs w:val="32"/>
          <w:highlight w:val="none"/>
          <w:lang w:eastAsia="zh-CN"/>
        </w:rPr>
        <w:t>各类古镇、纪念馆、博物馆等设施，不包括</w:t>
      </w:r>
      <w:r>
        <w:rPr>
          <w:rStyle w:val="19"/>
          <w:rFonts w:hint="eastAsia" w:ascii="仿宋_GB2312" w:hAnsi="仿宋_GB2312" w:eastAsia="仿宋_GB2312" w:cs="仿宋_GB2312"/>
          <w:color w:val="auto"/>
          <w:sz w:val="32"/>
          <w:szCs w:val="32"/>
          <w:highlight w:val="none"/>
          <w:lang w:val="en-US" w:eastAsia="zh-CN"/>
        </w:rPr>
        <w:t>办公</w:t>
      </w:r>
      <w:r>
        <w:rPr>
          <w:rStyle w:val="19"/>
          <w:rFonts w:hint="eastAsia" w:ascii="仿宋_GB2312" w:hAnsi="仿宋_GB2312" w:cs="仿宋_GB2312"/>
          <w:color w:val="auto"/>
          <w:sz w:val="32"/>
          <w:szCs w:val="32"/>
          <w:highlight w:val="none"/>
          <w:lang w:val="en-US" w:eastAsia="zh-CN"/>
        </w:rPr>
        <w:t>场所</w:t>
      </w:r>
      <w:r>
        <w:rPr>
          <w:rStyle w:val="19"/>
          <w:rFonts w:hint="eastAsia" w:ascii="仿宋_GB2312" w:hAnsi="仿宋_GB2312" w:eastAsia="仿宋_GB2312" w:cs="仿宋_GB2312"/>
          <w:color w:val="auto"/>
          <w:sz w:val="32"/>
          <w:szCs w:val="32"/>
          <w:highlight w:val="none"/>
          <w:lang w:val="en-US" w:eastAsia="zh-CN"/>
        </w:rPr>
        <w:t>及</w:t>
      </w:r>
      <w:r>
        <w:rPr>
          <w:rStyle w:val="19"/>
          <w:rFonts w:hint="eastAsia" w:ascii="仿宋_GB2312" w:hAnsi="仿宋_GB2312" w:cs="仿宋_GB2312"/>
          <w:color w:val="auto"/>
          <w:sz w:val="32"/>
          <w:szCs w:val="32"/>
          <w:highlight w:val="none"/>
          <w:lang w:val="en-US" w:eastAsia="zh-CN"/>
        </w:rPr>
        <w:t>必须的</w:t>
      </w:r>
      <w:r>
        <w:rPr>
          <w:rStyle w:val="19"/>
          <w:rFonts w:hint="eastAsia" w:ascii="仿宋_GB2312" w:hAnsi="仿宋_GB2312" w:eastAsia="仿宋_GB2312" w:cs="仿宋_GB2312"/>
          <w:color w:val="auto"/>
          <w:sz w:val="32"/>
          <w:szCs w:val="32"/>
          <w:highlight w:val="none"/>
          <w:lang w:val="en-US" w:eastAsia="zh-CN"/>
        </w:rPr>
        <w:t>公共服务基础设施</w:t>
      </w:r>
      <w:r>
        <w:rPr>
          <w:rStyle w:val="19"/>
          <w:rFonts w:hint="eastAsia" w:ascii="仿宋_GB2312" w:hAnsi="仿宋_GB2312" w:cs="仿宋_GB2312"/>
          <w:color w:val="auto"/>
          <w:sz w:val="32"/>
          <w:szCs w:val="32"/>
          <w:highlight w:val="none"/>
          <w:lang w:val="en-US" w:eastAsia="zh-CN"/>
        </w:rPr>
        <w:t>建设</w:t>
      </w:r>
      <w:r>
        <w:rPr>
          <w:rStyle w:val="19"/>
          <w:rFonts w:hint="eastAsia" w:ascii="仿宋_GB2312" w:hAnsi="仿宋" w:cs="宋体"/>
          <w:bCs/>
          <w:color w:val="auto"/>
          <w:kern w:val="36"/>
          <w:sz w:val="32"/>
          <w:szCs w:val="32"/>
          <w:highlight w:val="none"/>
          <w:lang w:eastAsia="zh-CN"/>
        </w:rPr>
        <w:t>，不包括</w:t>
      </w:r>
      <w:r>
        <w:rPr>
          <w:rStyle w:val="19"/>
          <w:rFonts w:hint="eastAsia" w:ascii="仿宋_GB2312" w:hAnsi="仿宋_GB2312" w:eastAsia="仿宋_GB2312" w:cs="仿宋_GB2312"/>
          <w:color w:val="auto"/>
          <w:sz w:val="32"/>
          <w:szCs w:val="32"/>
          <w:highlight w:val="none"/>
          <w:lang w:val="en-US" w:eastAsia="zh-CN"/>
        </w:rPr>
        <w:t>为了满足最基本经营条件、消防验收等需求，基础水电改造</w:t>
      </w:r>
      <w:r>
        <w:rPr>
          <w:rStyle w:val="19"/>
          <w:rFonts w:hint="eastAsia" w:ascii="仿宋_GB2312" w:hAnsi="仿宋_GB2312" w:cs="仿宋_GB2312"/>
          <w:color w:val="auto"/>
          <w:sz w:val="32"/>
          <w:szCs w:val="32"/>
          <w:highlight w:val="none"/>
          <w:lang w:val="en-US" w:eastAsia="zh-CN"/>
        </w:rPr>
        <w:t>、防水处理、</w:t>
      </w:r>
      <w:r>
        <w:rPr>
          <w:rStyle w:val="19"/>
          <w:rFonts w:hint="eastAsia" w:ascii="仿宋_GB2312" w:hAnsi="仿宋_GB2312" w:eastAsia="仿宋_GB2312" w:cs="仿宋_GB2312"/>
          <w:color w:val="auto"/>
          <w:sz w:val="32"/>
          <w:szCs w:val="32"/>
          <w:highlight w:val="none"/>
          <w:lang w:val="en-US" w:eastAsia="zh-CN"/>
        </w:rPr>
        <w:t>消防</w:t>
      </w:r>
      <w:r>
        <w:rPr>
          <w:rStyle w:val="19"/>
          <w:rFonts w:hint="eastAsia" w:ascii="仿宋_GB2312" w:hAnsi="仿宋_GB2312" w:cs="仿宋_GB2312"/>
          <w:color w:val="auto"/>
          <w:sz w:val="32"/>
          <w:szCs w:val="32"/>
          <w:highlight w:val="none"/>
          <w:lang w:val="en-US" w:eastAsia="zh-CN"/>
        </w:rPr>
        <w:t>改造及</w:t>
      </w:r>
      <w:r>
        <w:rPr>
          <w:rStyle w:val="19"/>
          <w:rFonts w:hint="eastAsia" w:ascii="仿宋_GB2312" w:hAnsi="仿宋_GB2312" w:eastAsia="仿宋_GB2312" w:cs="仿宋_GB2312"/>
          <w:color w:val="auto"/>
          <w:sz w:val="32"/>
          <w:szCs w:val="32"/>
          <w:highlight w:val="none"/>
          <w:lang w:val="en-US" w:eastAsia="zh-CN"/>
        </w:rPr>
        <w:t>设施购置等一般性装修项目</w:t>
      </w:r>
      <w:r>
        <w:rPr>
          <w:rStyle w:val="19"/>
          <w:rFonts w:hint="eastAsia" w:ascii="仿宋_GB2312" w:hAnsi="仿宋" w:cs="宋体"/>
          <w:bCs/>
          <w:color w:val="auto"/>
          <w:kern w:val="36"/>
          <w:sz w:val="32"/>
          <w:szCs w:val="32"/>
          <w:highlight w:val="none"/>
          <w:lang w:eastAsia="zh-CN"/>
        </w:rPr>
        <w:t>。</w:t>
      </w:r>
      <w:r>
        <w:rPr>
          <w:rStyle w:val="19"/>
          <w:rFonts w:hint="eastAsia" w:ascii="仿宋_GB2312" w:hAnsi="仿宋" w:eastAsia="仿宋_GB2312" w:cs="宋体"/>
          <w:bCs/>
          <w:color w:val="auto"/>
          <w:kern w:val="36"/>
          <w:sz w:val="32"/>
          <w:szCs w:val="32"/>
          <w:highlight w:val="none"/>
          <w:lang w:eastAsia="zh-CN"/>
        </w:rPr>
        <w:t>不支持党政机关主办、承办或承担部分活动费用的展会、节庆、论坛活动。</w:t>
      </w:r>
    </w:p>
    <w:p w14:paraId="7A0E5299">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12" w:name="_Toc7095"/>
      <w:bookmarkStart w:id="13" w:name="_Toc31102"/>
      <w:r>
        <w:rPr>
          <w:rFonts w:hint="eastAsia" w:ascii="仿宋_GB2312" w:hAnsi="仿宋_GB2312" w:eastAsia="黑体" w:cs="Times New Roman"/>
          <w:b w:val="0"/>
          <w:bCs/>
          <w:color w:val="auto"/>
          <w:kern w:val="36"/>
          <w:sz w:val="32"/>
          <w:szCs w:val="48"/>
          <w:highlight w:val="none"/>
          <w:lang w:val="en-US" w:eastAsia="zh-CN" w:bidi="ar-SA"/>
        </w:rPr>
        <w:t>支持标准</w:t>
      </w:r>
      <w:bookmarkEnd w:id="12"/>
      <w:bookmarkEnd w:id="13"/>
    </w:p>
    <w:p w14:paraId="0314508F">
      <w:pPr>
        <w:bidi w:val="0"/>
        <w:rPr>
          <w:rFonts w:hint="eastAsia"/>
          <w:color w:val="auto"/>
          <w:highlight w:val="none"/>
          <w:lang w:val="en-US" w:eastAsia="zh-CN"/>
        </w:rPr>
      </w:pPr>
      <w:r>
        <w:rPr>
          <w:rFonts w:hint="eastAsia"/>
          <w:color w:val="auto"/>
          <w:highlight w:val="none"/>
          <w:lang w:val="en-US" w:eastAsia="zh-CN"/>
        </w:rPr>
        <w:t>（一）支持新开设IP主题文化消费店铺，按项目相关的实际有效投入的20%给予资助，试点期间最高不超过100万元。</w:t>
      </w:r>
    </w:p>
    <w:p w14:paraId="3107739C">
      <w:pPr>
        <w:bidi w:val="0"/>
        <w:rPr>
          <w:rFonts w:hint="eastAsia" w:ascii="仿宋_GB2312" w:eastAsia="仿宋_GB2312"/>
          <w:color w:val="auto"/>
          <w:highlight w:val="none"/>
          <w:lang w:val="en-US" w:eastAsia="zh-CN"/>
        </w:rPr>
      </w:pPr>
      <w:r>
        <w:rPr>
          <w:rFonts w:hint="eastAsia"/>
          <w:color w:val="auto"/>
          <w:highlight w:val="none"/>
          <w:lang w:val="en-US" w:eastAsia="zh-CN"/>
        </w:rPr>
        <w:t>（二）支持新开设IP焕新体验空间，按项目相关的实际有效投入的20%给予资助，试点期间最高不超过100万元</w:t>
      </w:r>
      <w:r>
        <w:rPr>
          <w:rFonts w:hint="eastAsia" w:ascii="仿宋_GB2312" w:eastAsia="仿宋_GB2312"/>
          <w:color w:val="auto"/>
          <w:highlight w:val="none"/>
          <w:lang w:val="en-US" w:eastAsia="zh-CN"/>
        </w:rPr>
        <w:t>。</w:t>
      </w:r>
    </w:p>
    <w:p w14:paraId="5C391B7D">
      <w:pPr>
        <w:tabs>
          <w:tab w:val="center" w:pos="4153"/>
          <w:tab w:val="right" w:pos="8306"/>
        </w:tabs>
        <w:bidi w:val="0"/>
        <w:rPr>
          <w:rFonts w:hint="eastAsia" w:ascii="仿宋_GB2312" w:eastAsia="仿宋_GB2312"/>
          <w:color w:val="auto"/>
          <w:highlight w:val="none"/>
          <w:lang w:val="en-US" w:eastAsia="zh-CN"/>
        </w:rPr>
      </w:pPr>
      <w:r>
        <w:rPr>
          <w:rFonts w:hint="eastAsia"/>
          <w:color w:val="000000" w:themeColor="text1"/>
          <w:highlight w:val="none"/>
          <w:lang w:val="en-US" w:eastAsia="zh-CN"/>
          <w14:textFill>
            <w14:solidFill>
              <w14:schemeClr w14:val="tx1"/>
            </w14:solidFill>
          </w14:textFill>
        </w:rPr>
        <w:t>实际有效投入是指</w:t>
      </w:r>
      <w:r>
        <w:rPr>
          <w:rStyle w:val="19"/>
          <w:rFonts w:hint="eastAsia"/>
          <w:color w:val="auto"/>
          <w:sz w:val="32"/>
          <w:szCs w:val="32"/>
          <w:highlight w:val="none"/>
          <w:lang w:eastAsia="zh-CN"/>
        </w:rPr>
        <w:t>2025年9月30日以来至申报日，申报主体打造</w:t>
      </w:r>
      <w:r>
        <w:rPr>
          <w:rStyle w:val="19"/>
          <w:rFonts w:hint="eastAsia"/>
          <w:color w:val="auto"/>
          <w:sz w:val="32"/>
          <w:szCs w:val="32"/>
          <w:highlight w:val="none"/>
          <w:lang w:val="en-US" w:eastAsia="zh-CN"/>
        </w:rPr>
        <w:t>IP单体场景</w:t>
      </w:r>
      <w:r>
        <w:rPr>
          <w:rStyle w:val="19"/>
          <w:rFonts w:hint="eastAsia"/>
          <w:color w:val="auto"/>
          <w:sz w:val="32"/>
          <w:szCs w:val="32"/>
          <w:highlight w:val="none"/>
          <w:lang w:eastAsia="zh-CN"/>
        </w:rPr>
        <w:t>时</w:t>
      </w:r>
      <w:r>
        <w:rPr>
          <w:rFonts w:hint="eastAsia"/>
          <w:color w:val="000000" w:themeColor="text1"/>
          <w:highlight w:val="none"/>
          <w:lang w:val="en-US" w:eastAsia="zh-CN"/>
          <w14:textFill>
            <w14:solidFill>
              <w14:schemeClr w14:val="tx1"/>
            </w14:solidFill>
          </w14:textFill>
        </w:rPr>
        <w:t>，已完成或阶段性完成部分相关投入，不包含各级财政投资部分，以及第四点第（二）条专项条件中明确不予支持部分。</w:t>
      </w:r>
      <w:r>
        <w:rPr>
          <w:rStyle w:val="19"/>
          <w:rFonts w:hint="eastAsia"/>
          <w:color w:val="auto"/>
          <w:sz w:val="32"/>
          <w:szCs w:val="32"/>
          <w:highlight w:val="none"/>
          <w:lang w:eastAsia="zh-CN"/>
        </w:rPr>
        <w:t>符合条件的项目，可将已落地或有阶段性成果相关投入部分申请资助，后续另有符合条件投入可再次以该项目申报，同一项目不受项目数限制。</w:t>
      </w:r>
    </w:p>
    <w:p w14:paraId="12B16713">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auto"/>
          <w:kern w:val="2"/>
          <w:sz w:val="32"/>
          <w:szCs w:val="22"/>
          <w:highlight w:val="none"/>
          <w:lang w:val="en-US" w:eastAsia="zh-CN" w:bidi="ar-SA"/>
        </w:rPr>
      </w:pPr>
      <w:bookmarkStart w:id="14" w:name="_Toc27028"/>
      <w:bookmarkStart w:id="15" w:name="_Toc7147"/>
      <w:r>
        <w:rPr>
          <w:rFonts w:hint="eastAsia" w:ascii="黑体" w:hAnsi="黑体" w:eastAsia="黑体" w:cs="仿宋"/>
          <w:color w:val="auto"/>
          <w:kern w:val="2"/>
          <w:sz w:val="32"/>
          <w:szCs w:val="22"/>
          <w:highlight w:val="none"/>
          <w:lang w:val="en-US" w:eastAsia="zh-CN" w:bidi="ar-SA"/>
        </w:rPr>
        <w:t>六、申报材料</w:t>
      </w:r>
      <w:bookmarkEnd w:id="14"/>
      <w:bookmarkEnd w:id="15"/>
    </w:p>
    <w:p w14:paraId="351B562F">
      <w:pPr>
        <w:keepNext/>
        <w:keepLines/>
        <w:widowControl w:val="0"/>
        <w:bidi w:val="0"/>
        <w:spacing w:before="0" w:after="0" w:line="560" w:lineRule="exact"/>
        <w:ind w:firstLine="640" w:firstLineChars="200"/>
        <w:jc w:val="both"/>
        <w:outlineLvl w:val="1"/>
        <w:rPr>
          <w:rFonts w:hint="eastAsia"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pPr>
      <w:r>
        <w:rPr>
          <w:rFonts w:hint="default"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t>（一）</w:t>
      </w:r>
      <w:r>
        <w:rPr>
          <w:rFonts w:hint="eastAsia"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t>基本材料清单</w:t>
      </w:r>
    </w:p>
    <w:p w14:paraId="2825647B">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请各项目申报单位于线上填写并提交《项目申报书》，网址：https://www.gdzwfw.gov.cn/（广东政务服务网），搜索“深圳市消费新业态新模式新场景试点项目（支持优质消费资源与知名IP跨界联名—优质消费资源与知名IP跨界联合单体场景资助项目）”——选择深圳市-南山区后，按照相关事项提示流程和要求进行线上申报（特别提醒该事项办理需申报主体以法人账号登录提交，不接受个人账号提交），并按办理指南提交相关材料（包括并不限于）如下：</w:t>
      </w:r>
    </w:p>
    <w:p w14:paraId="1E936C42">
      <w:pPr>
        <w:bidi w:val="0"/>
        <w:rPr>
          <w:rFonts w:hint="eastAsia"/>
          <w:highlight w:val="none"/>
          <w:lang w:val="en-US" w:eastAsia="zh-CN"/>
        </w:rPr>
      </w:pPr>
      <w:r>
        <w:rPr>
          <w:rFonts w:hint="default"/>
          <w:color w:val="000000" w:themeColor="text1"/>
          <w:highlight w:val="none"/>
          <w:lang w:val="en-US" w:eastAsia="zh-CN"/>
          <w14:textFill>
            <w14:solidFill>
              <w14:schemeClr w14:val="tx1"/>
            </w14:solidFill>
          </w14:textFill>
        </w:rPr>
        <w:t>1.</w:t>
      </w:r>
      <w:r>
        <w:rPr>
          <w:rFonts w:hint="default"/>
          <w:highlight w:val="none"/>
        </w:rPr>
        <w:t>资金项目申请书</w:t>
      </w:r>
      <w:r>
        <w:rPr>
          <w:rFonts w:hint="eastAsia"/>
          <w:highlight w:val="none"/>
          <w:lang w:eastAsia="zh-CN"/>
        </w:rPr>
        <w:t>：</w:t>
      </w:r>
      <w:r>
        <w:rPr>
          <w:rFonts w:hint="default"/>
          <w:highlight w:val="none"/>
        </w:rPr>
        <w:t>申报单位按照申报材料要求编写项目申请书并提供相关证明材料</w:t>
      </w:r>
      <w:r>
        <w:rPr>
          <w:rFonts w:hint="eastAsia"/>
          <w:color w:val="auto"/>
          <w:highlight w:val="none"/>
          <w:lang w:val="en-US" w:eastAsia="zh-CN"/>
        </w:rPr>
        <w:t>（温馨提示：材料要求齐备，缺漏无法受理，请务必认真研读相关指南，切实准备资料，确认符合申请条件和材料齐备后再行提交，避免资料补缺导致办理时间过长或条件不符合退回）</w:t>
      </w:r>
      <w:r>
        <w:rPr>
          <w:rFonts w:hint="default"/>
          <w:highlight w:val="none"/>
        </w:rPr>
        <w:t>，初审通过后提供申请书纸质文件原件</w:t>
      </w:r>
      <w:r>
        <w:rPr>
          <w:rFonts w:hint="eastAsia"/>
          <w:highlight w:val="none"/>
          <w:lang w:eastAsia="zh-CN"/>
        </w:rPr>
        <w:t>，并按照</w:t>
      </w:r>
      <w:r>
        <w:rPr>
          <w:rFonts w:hint="default"/>
          <w:highlight w:val="none"/>
        </w:rPr>
        <w:t>本指南第六条要求的项目申报材料</w:t>
      </w:r>
      <w:r>
        <w:rPr>
          <w:rFonts w:hint="eastAsia"/>
          <w:highlight w:val="none"/>
          <w:lang w:eastAsia="zh-CN"/>
        </w:rPr>
        <w:t>（一式四份）</w:t>
      </w:r>
      <w:r>
        <w:rPr>
          <w:rFonts w:hint="default"/>
          <w:highlight w:val="none"/>
        </w:rPr>
        <w:t>一并线下或通过邮寄方式</w:t>
      </w:r>
      <w:r>
        <w:rPr>
          <w:rFonts w:hint="default"/>
          <w:highlight w:val="none"/>
          <w:lang w:val="en-US"/>
        </w:rPr>
        <w:t>将材料递交至政务服务大厅</w:t>
      </w:r>
      <w:r>
        <w:rPr>
          <w:rFonts w:hint="default"/>
          <w:highlight w:val="none"/>
        </w:rPr>
        <w:t>，线下受理地址</w:t>
      </w:r>
      <w:r>
        <w:rPr>
          <w:rFonts w:hint="default"/>
          <w:highlight w:val="none"/>
          <w:lang w:val="en-US"/>
        </w:rPr>
        <w:t>可通过</w:t>
      </w:r>
      <w:r>
        <w:rPr>
          <w:rFonts w:hint="default"/>
          <w:highlight w:val="none"/>
        </w:rPr>
        <w:t>线上申报系统申请页面查询</w:t>
      </w:r>
      <w:r>
        <w:rPr>
          <w:rFonts w:hint="default"/>
          <w:highlight w:val="none"/>
          <w:lang w:val="en-US"/>
        </w:rPr>
        <w:t>，</w:t>
      </w:r>
      <w:r>
        <w:rPr>
          <w:rFonts w:hint="eastAsia"/>
          <w:highlight w:val="none"/>
          <w:lang w:val="en-US" w:eastAsia="zh-CN"/>
        </w:rPr>
        <w:t>或见本指南第八条（三）受理地址。</w:t>
      </w:r>
    </w:p>
    <w:p w14:paraId="7B448FD9">
      <w:pPr>
        <w:bidi w:val="0"/>
        <w:rPr>
          <w:rFonts w:hint="default"/>
          <w:color w:val="auto"/>
          <w:highlight w:val="none"/>
          <w:lang w:val="en-US" w:eastAsia="zh-CN"/>
        </w:rPr>
      </w:pPr>
      <w:r>
        <w:rPr>
          <w:rFonts w:hint="default"/>
          <w:color w:val="auto"/>
          <w:highlight w:val="none"/>
          <w:lang w:val="en-US" w:eastAsia="zh-CN"/>
        </w:rPr>
        <w:t>2.申报单位营业执照或统一社会信用代码证书复印件</w:t>
      </w:r>
      <w:r>
        <w:rPr>
          <w:rFonts w:hint="eastAsia"/>
          <w:color w:val="auto"/>
          <w:highlight w:val="none"/>
          <w:lang w:val="en-US" w:eastAsia="zh-CN"/>
        </w:rPr>
        <w:t>。</w:t>
      </w:r>
    </w:p>
    <w:p w14:paraId="6D0615B0">
      <w:pPr>
        <w:bidi w:val="0"/>
        <w:rPr>
          <w:rFonts w:hint="default"/>
          <w:color w:val="auto"/>
          <w:highlight w:val="none"/>
          <w:lang w:val="en-US" w:eastAsia="zh-CN"/>
        </w:rPr>
      </w:pPr>
      <w:r>
        <w:rPr>
          <w:rFonts w:hint="default"/>
          <w:color w:val="auto"/>
          <w:highlight w:val="none"/>
          <w:lang w:val="en-US" w:eastAsia="zh-CN"/>
        </w:rPr>
        <w:t>3.单位信用报告</w:t>
      </w:r>
      <w:r>
        <w:rPr>
          <w:rFonts w:hint="eastAsia"/>
          <w:color w:val="auto"/>
          <w:highlight w:val="none"/>
          <w:lang w:val="en-US" w:eastAsia="zh-CN"/>
        </w:rPr>
        <w:t>：</w:t>
      </w:r>
      <w:r>
        <w:rPr>
          <w:rFonts w:hint="default"/>
          <w:color w:val="auto"/>
          <w:highlight w:val="none"/>
          <w:lang w:val="en-US" w:eastAsia="zh-CN"/>
        </w:rPr>
        <w:t>“信用中国”查询截图、国家企业信用信息公示系统下载的企业信用报告</w:t>
      </w:r>
      <w:r>
        <w:rPr>
          <w:rFonts w:hint="eastAsia"/>
          <w:color w:val="auto"/>
          <w:highlight w:val="none"/>
          <w:lang w:val="en-US" w:eastAsia="zh-CN"/>
        </w:rPr>
        <w:t>。</w:t>
      </w:r>
    </w:p>
    <w:p w14:paraId="1186FCD5">
      <w:pPr>
        <w:keepNext/>
        <w:keepLines/>
        <w:widowControl w:val="0"/>
        <w:bidi w:val="0"/>
        <w:spacing w:before="0" w:after="0" w:line="560" w:lineRule="exact"/>
        <w:ind w:firstLine="640" w:firstLineChars="200"/>
        <w:jc w:val="both"/>
        <w:outlineLvl w:val="1"/>
        <w:rPr>
          <w:rFonts w:hint="default" w:ascii="楷体" w:hAnsi="楷体" w:eastAsia="楷体_GB2312" w:cstheme="majorBidi"/>
          <w:bCs/>
          <w:color w:val="auto"/>
          <w:kern w:val="2"/>
          <w:sz w:val="32"/>
          <w:szCs w:val="32"/>
          <w:highlight w:val="none"/>
          <w:lang w:val="en-US" w:eastAsia="zh-CN" w:bidi="ar-SA"/>
        </w:rPr>
      </w:pPr>
      <w:r>
        <w:rPr>
          <w:rFonts w:hint="eastAsia" w:ascii="楷体" w:hAnsi="楷体" w:eastAsia="楷体_GB2312" w:cstheme="majorBidi"/>
          <w:bCs/>
          <w:color w:val="auto"/>
          <w:kern w:val="2"/>
          <w:sz w:val="32"/>
          <w:szCs w:val="32"/>
          <w:highlight w:val="none"/>
          <w:lang w:val="en-US" w:eastAsia="zh-CN" w:bidi="ar-SA"/>
        </w:rPr>
        <w:t>（二）专项材料清单</w:t>
      </w:r>
    </w:p>
    <w:p w14:paraId="63664DCC">
      <w:pPr>
        <w:bidi w:val="0"/>
        <w:rPr>
          <w:rFonts w:hint="default"/>
          <w:color w:val="auto"/>
          <w:highlight w:val="none"/>
          <w:lang w:val="en-US" w:eastAsia="zh-CN"/>
        </w:rPr>
      </w:pPr>
      <w:r>
        <w:rPr>
          <w:rFonts w:hint="default"/>
          <w:color w:val="auto"/>
          <w:highlight w:val="none"/>
          <w:lang w:val="en-US" w:eastAsia="zh-CN"/>
        </w:rPr>
        <w:t>1.通用专项材料（两类方向均需提交）</w:t>
      </w:r>
      <w:r>
        <w:rPr>
          <w:rFonts w:hint="eastAsia"/>
          <w:color w:val="auto"/>
          <w:highlight w:val="none"/>
          <w:lang w:val="en-US" w:eastAsia="zh-CN"/>
        </w:rPr>
        <w:t>：</w:t>
      </w:r>
    </w:p>
    <w:p w14:paraId="51B1BEC1">
      <w:pPr>
        <w:bidi w:val="0"/>
        <w:rPr>
          <w:rFonts w:hint="eastAsia"/>
          <w:color w:val="auto"/>
          <w:highlight w:val="none"/>
          <w:lang w:val="en-US" w:eastAsia="zh-CN"/>
        </w:rPr>
      </w:pPr>
      <w:r>
        <w:rPr>
          <w:rFonts w:hint="eastAsia"/>
          <w:color w:val="auto"/>
          <w:highlight w:val="none"/>
          <w:lang w:val="en-US" w:eastAsia="zh-CN"/>
        </w:rPr>
        <w:t>（1）项目成效总结（模板详见项目申报书）。</w:t>
      </w:r>
    </w:p>
    <w:p w14:paraId="6FD519AB">
      <w:pPr>
        <w:bidi w:val="0"/>
        <w:rPr>
          <w:rFonts w:hint="eastAsia"/>
          <w:color w:val="auto"/>
          <w:highlight w:val="none"/>
          <w:lang w:val="en-US" w:eastAsia="zh-CN"/>
        </w:rPr>
      </w:pPr>
      <w:r>
        <w:rPr>
          <w:rFonts w:hint="eastAsia"/>
          <w:color w:val="auto"/>
          <w:highlight w:val="none"/>
          <w:lang w:val="en-US" w:eastAsia="zh-CN"/>
        </w:rPr>
        <w:t>（2）专项资金项目投入明细表及佐证材料（详见项目申报书）。</w:t>
      </w:r>
    </w:p>
    <w:p w14:paraId="1C44DFC3">
      <w:pPr>
        <w:bidi w:val="0"/>
        <w:rPr>
          <w:rFonts w:hint="eastAsia"/>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IP授权证明</w:t>
      </w:r>
      <w:r>
        <w:rPr>
          <w:rFonts w:hint="eastAsia"/>
          <w:color w:val="auto"/>
          <w:highlight w:val="none"/>
          <w:lang w:val="en-US" w:eastAsia="zh-CN"/>
        </w:rPr>
        <w:t>：</w:t>
      </w:r>
      <w:r>
        <w:rPr>
          <w:rFonts w:hint="default"/>
          <w:color w:val="auto"/>
          <w:highlight w:val="none"/>
          <w:lang w:val="en-US" w:eastAsia="zh-CN"/>
        </w:rPr>
        <w:tab/>
      </w:r>
      <w:r>
        <w:rPr>
          <w:rFonts w:hint="default"/>
          <w:color w:val="auto"/>
          <w:highlight w:val="none"/>
          <w:lang w:val="en-US" w:eastAsia="zh-CN"/>
        </w:rPr>
        <w:t>IP方出具的正式授权书或合作协议</w:t>
      </w:r>
      <w:r>
        <w:rPr>
          <w:rFonts w:hint="eastAsia"/>
          <w:color w:val="auto"/>
          <w:highlight w:val="none"/>
          <w:lang w:val="en-US" w:eastAsia="zh-CN"/>
        </w:rPr>
        <w:t>。</w:t>
      </w:r>
    </w:p>
    <w:p w14:paraId="2D8BF0F5">
      <w:pPr>
        <w:bidi w:val="0"/>
        <w:rPr>
          <w:rFonts w:hint="eastAsia"/>
          <w:color w:val="auto"/>
          <w:highlight w:val="none"/>
          <w:lang w:val="en-US" w:eastAsia="zh-CN"/>
        </w:rPr>
      </w:pPr>
      <w:r>
        <w:rPr>
          <w:rFonts w:hint="eastAsia"/>
          <w:color w:val="auto"/>
          <w:highlight w:val="none"/>
          <w:lang w:val="en-US" w:eastAsia="zh-CN"/>
        </w:rPr>
        <w:t>（4）固定经营场所佐证材料：不动产权证书、租赁合同或场地使用文件。</w:t>
      </w:r>
    </w:p>
    <w:p w14:paraId="65CE4F36">
      <w:pPr>
        <w:bidi w:val="0"/>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分类型专项材料（选择</w:t>
      </w:r>
      <w:r>
        <w:rPr>
          <w:rFonts w:hint="eastAsia"/>
          <w:color w:val="auto"/>
          <w:highlight w:val="none"/>
          <w:lang w:val="en-US" w:eastAsia="zh-CN"/>
        </w:rPr>
        <w:t>一类型</w:t>
      </w:r>
      <w:r>
        <w:rPr>
          <w:rFonts w:hint="default"/>
          <w:color w:val="auto"/>
          <w:highlight w:val="none"/>
          <w:lang w:val="en-US" w:eastAsia="zh-CN"/>
        </w:rPr>
        <w:t>提交）</w:t>
      </w:r>
      <w:r>
        <w:rPr>
          <w:rFonts w:hint="eastAsia"/>
          <w:color w:val="auto"/>
          <w:highlight w:val="none"/>
          <w:lang w:val="en-US" w:eastAsia="zh-CN"/>
        </w:rPr>
        <w:t>：</w:t>
      </w:r>
    </w:p>
    <w:p w14:paraId="46F6BE84">
      <w:pPr>
        <w:bidi w:val="0"/>
        <w:rPr>
          <w:rFonts w:hint="default"/>
          <w:color w:val="auto"/>
          <w:highlight w:val="none"/>
          <w:lang w:val="en-US" w:eastAsia="zh-CN"/>
        </w:rPr>
      </w:pPr>
      <w:r>
        <w:rPr>
          <w:rFonts w:hint="eastAsia"/>
          <w:color w:val="auto"/>
          <w:highlight w:val="none"/>
          <w:lang w:val="en-US" w:eastAsia="zh-CN"/>
        </w:rPr>
        <w:t>一是</w:t>
      </w:r>
      <w:r>
        <w:rPr>
          <w:rFonts w:hint="default"/>
          <w:color w:val="auto"/>
          <w:highlight w:val="none"/>
          <w:lang w:val="en-US" w:eastAsia="zh-CN"/>
        </w:rPr>
        <w:t>IP主题文化消费店铺</w:t>
      </w:r>
      <w:r>
        <w:rPr>
          <w:rFonts w:hint="eastAsia"/>
          <w:color w:val="auto"/>
          <w:highlight w:val="none"/>
          <w:lang w:val="en-US" w:eastAsia="zh-CN"/>
        </w:rPr>
        <w:t>：</w:t>
      </w:r>
    </w:p>
    <w:p w14:paraId="20819237">
      <w:pPr>
        <w:bidi w:val="0"/>
        <w:rPr>
          <w:rFonts w:hint="eastAsia"/>
          <w:color w:val="auto"/>
          <w:highlight w:val="none"/>
          <w:lang w:val="en-US" w:eastAsia="zh-CN"/>
        </w:rPr>
      </w:pPr>
      <w:r>
        <w:rPr>
          <w:rFonts w:hint="eastAsia"/>
          <w:color w:val="auto"/>
          <w:highlight w:val="none"/>
          <w:lang w:val="en-US" w:eastAsia="zh-CN"/>
        </w:rPr>
        <w:t>（1）核心业务材料：项目说明（须体现以IP衍生品销售、IP文化体验为核心业务）。</w:t>
      </w:r>
    </w:p>
    <w:p w14:paraId="36D6733B">
      <w:pPr>
        <w:bidi w:val="0"/>
        <w:rPr>
          <w:rFonts w:hint="eastAsia"/>
          <w:color w:val="auto"/>
          <w:highlight w:val="none"/>
          <w:lang w:val="en-US" w:eastAsia="zh-CN"/>
        </w:rPr>
      </w:pPr>
      <w:r>
        <w:rPr>
          <w:rFonts w:hint="eastAsia"/>
          <w:color w:val="auto"/>
          <w:highlight w:val="none"/>
          <w:lang w:val="en-US" w:eastAsia="zh-CN"/>
        </w:rPr>
        <w:t>（2）产品类型佐证材料：IP衍生品清单（须体现产品类型不少于3类）。</w:t>
      </w:r>
    </w:p>
    <w:p w14:paraId="7F70C5F5">
      <w:pPr>
        <w:bidi w:val="0"/>
        <w:rPr>
          <w:rFonts w:hint="eastAsia"/>
          <w:color w:val="auto"/>
          <w:highlight w:val="none"/>
          <w:lang w:val="en-US" w:eastAsia="zh-CN"/>
        </w:rPr>
      </w:pPr>
      <w:r>
        <w:rPr>
          <w:rFonts w:hint="eastAsia"/>
          <w:color w:val="auto"/>
          <w:highlight w:val="none"/>
          <w:lang w:val="en-US" w:eastAsia="zh-CN"/>
        </w:rPr>
        <w:t>（3）服务次数佐证材料：后台服务记录、消费订单数据等（须体现月均不低于1000次）。</w:t>
      </w:r>
    </w:p>
    <w:p w14:paraId="32F3CB43">
      <w:pPr>
        <w:bidi w:val="0"/>
        <w:rPr>
          <w:rFonts w:hint="eastAsia"/>
          <w:color w:val="auto"/>
          <w:highlight w:val="none"/>
          <w:lang w:val="en-US" w:eastAsia="zh-CN"/>
        </w:rPr>
      </w:pPr>
      <w:r>
        <w:rPr>
          <w:rFonts w:hint="eastAsia"/>
          <w:color w:val="auto"/>
          <w:highlight w:val="none"/>
          <w:lang w:val="en-US" w:eastAsia="zh-CN"/>
        </w:rPr>
        <w:t>（4）开设时间佐证材料：营业执照或开业登记、媒体报道等材料（须体现为2025年9月30日（含）之后新开设店铺）。</w:t>
      </w:r>
    </w:p>
    <w:p w14:paraId="49AB0462">
      <w:pPr>
        <w:bidi w:val="0"/>
        <w:rPr>
          <w:rFonts w:hint="default"/>
          <w:color w:val="auto"/>
          <w:highlight w:val="none"/>
          <w:lang w:val="en-US" w:eastAsia="zh-CN"/>
        </w:rPr>
      </w:pPr>
      <w:r>
        <w:rPr>
          <w:rFonts w:hint="eastAsia"/>
          <w:color w:val="auto"/>
          <w:highlight w:val="none"/>
          <w:lang w:val="en-US" w:eastAsia="zh-CN"/>
        </w:rPr>
        <w:t>二是</w:t>
      </w:r>
      <w:r>
        <w:rPr>
          <w:rFonts w:hint="default"/>
          <w:color w:val="auto"/>
          <w:highlight w:val="none"/>
          <w:lang w:val="en-US" w:eastAsia="zh-CN"/>
        </w:rPr>
        <w:t>IP焕新体验空间</w:t>
      </w:r>
      <w:r>
        <w:rPr>
          <w:rFonts w:hint="eastAsia"/>
          <w:color w:val="auto"/>
          <w:highlight w:val="none"/>
          <w:lang w:val="en-US" w:eastAsia="zh-CN"/>
        </w:rPr>
        <w:t>：</w:t>
      </w:r>
    </w:p>
    <w:p w14:paraId="5224721A">
      <w:pPr>
        <w:bidi w:val="0"/>
        <w:rPr>
          <w:rFonts w:hint="eastAsia"/>
          <w:color w:val="auto"/>
          <w:highlight w:val="none"/>
          <w:lang w:val="en-US" w:eastAsia="zh-CN"/>
        </w:rPr>
      </w:pPr>
      <w:r>
        <w:rPr>
          <w:rFonts w:hint="eastAsia"/>
          <w:color w:val="auto"/>
          <w:highlight w:val="none"/>
          <w:lang w:val="en-US" w:eastAsia="zh-CN"/>
        </w:rPr>
        <w:t>（1）焕新体验说明材料：详细说明跨界联名、主题升级、内容共创等改造升级内容，附改造前后对比照片、改造方案、施工记录等。</w:t>
      </w:r>
    </w:p>
    <w:p w14:paraId="59CC151B">
      <w:pPr>
        <w:bidi w:val="0"/>
        <w:rPr>
          <w:rFonts w:hint="eastAsia"/>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场景主题佐证材料：明确场景IP主题，提供主题设计方案、实景呈现资料</w:t>
      </w:r>
      <w:r>
        <w:rPr>
          <w:rFonts w:hint="eastAsia"/>
          <w:color w:val="auto"/>
          <w:highlight w:val="none"/>
          <w:lang w:val="en-US" w:eastAsia="zh-CN"/>
        </w:rPr>
        <w:t>等。</w:t>
      </w:r>
    </w:p>
    <w:p w14:paraId="64C4482B">
      <w:pPr>
        <w:bidi w:val="0"/>
        <w:rPr>
          <w:rFonts w:hint="default"/>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开设时间佐证材料：营业执照</w:t>
      </w:r>
      <w:r>
        <w:rPr>
          <w:rFonts w:hint="eastAsia"/>
          <w:color w:val="auto"/>
          <w:highlight w:val="none"/>
          <w:lang w:val="en-US" w:eastAsia="zh-CN"/>
        </w:rPr>
        <w:t>或开业登记、媒体报道等材料（须体现为2025年9月30日（含）之后新开设店铺）。</w:t>
      </w:r>
    </w:p>
    <w:p w14:paraId="60489354">
      <w:pPr>
        <w:bidi w:val="0"/>
        <w:rPr>
          <w:rFonts w:hint="eastAsia"/>
          <w:color w:val="auto"/>
          <w:highlight w:val="none"/>
          <w:lang w:val="en-US" w:eastAsia="zh-CN"/>
        </w:rPr>
      </w:pPr>
      <w:r>
        <w:rPr>
          <w:rFonts w:hint="default"/>
          <w:color w:val="auto"/>
          <w:highlight w:val="none"/>
          <w:lang w:val="en-US" w:eastAsia="zh-CN"/>
        </w:rPr>
        <w:t>以上申报材料按顺序一式</w:t>
      </w:r>
      <w:r>
        <w:rPr>
          <w:rFonts w:hint="eastAsia"/>
          <w:color w:val="auto"/>
          <w:highlight w:val="none"/>
          <w:lang w:val="en-US" w:eastAsia="zh-CN"/>
        </w:rPr>
        <w:t>四</w:t>
      </w:r>
      <w:r>
        <w:rPr>
          <w:rFonts w:hint="default"/>
          <w:color w:val="auto"/>
          <w:highlight w:val="none"/>
          <w:lang w:val="en-US" w:eastAsia="zh-CN"/>
        </w:rPr>
        <w:t>份（附可编辑电子版和PDF扫描件）装订成册，在封面加盖单位公章并加盖骑缝章（其中，申报</w:t>
      </w:r>
      <w:r>
        <w:rPr>
          <w:rFonts w:hint="eastAsia" w:ascii="仿宋_GB2312" w:eastAsia="仿宋_GB2312"/>
          <w:color w:val="auto"/>
          <w:highlight w:val="none"/>
          <w:lang w:val="en-US" w:eastAsia="zh-CN"/>
        </w:rPr>
        <w:t>指引</w:t>
      </w:r>
      <w:r>
        <w:rPr>
          <w:rFonts w:hint="default"/>
          <w:color w:val="auto"/>
          <w:highlight w:val="none"/>
          <w:lang w:val="en-US" w:eastAsia="zh-CN"/>
        </w:rPr>
        <w:t>及附件有明确要求加盖公章的资料需按要求执行）。</w:t>
      </w:r>
    </w:p>
    <w:p w14:paraId="61F65A6F">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16" w:name="_Toc19526"/>
      <w:bookmarkStart w:id="17" w:name="_Toc5711"/>
      <w:bookmarkStart w:id="18" w:name="_Toc10305"/>
      <w:bookmarkStart w:id="19" w:name="_Toc161850809"/>
      <w:bookmarkStart w:id="20" w:name="_Toc125127183"/>
      <w:bookmarkStart w:id="21" w:name="_Toc2137"/>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七、申请表格</w:t>
      </w:r>
      <w:bookmarkEnd w:id="16"/>
      <w:bookmarkEnd w:id="17"/>
    </w:p>
    <w:p w14:paraId="014257E7">
      <w:pPr>
        <w:keepNext w:val="0"/>
        <w:keepLines w:val="0"/>
        <w:pageBreakBefore w:val="0"/>
        <w:kinsoku/>
        <w:wordWrap/>
        <w:overflowPunct w:val="0"/>
        <w:topLinePunct w:val="0"/>
        <w:autoSpaceDE/>
        <w:autoSpaceDN/>
        <w:bidi w:val="0"/>
        <w:adjustRightInd w:val="0"/>
        <w:snapToGrid w:val="0"/>
        <w:spacing w:line="560" w:lineRule="exact"/>
        <w:ind w:left="0" w:right="0" w:firstLine="640" w:firstLineChars="200"/>
        <w:textAlignment w:val="auto"/>
        <w:rPr>
          <w:rFonts w:hint="eastAsia" w:ascii="仿宋_GB2312" w:eastAsia="仿宋_GB2312" w:cs="Times New Roman"/>
          <w:color w:val="000000"/>
          <w:sz w:val="32"/>
          <w:szCs w:val="32"/>
          <w:highlight w:val="none"/>
        </w:rPr>
      </w:pPr>
      <w:bookmarkStart w:id="22" w:name="_Toc13760"/>
      <w:bookmarkStart w:id="23" w:name="_Toc20121"/>
      <w:r>
        <w:rPr>
          <w:rFonts w:hint="eastAsia" w:hAnsi="Calibri" w:cs="Times New Roman"/>
          <w:color w:val="000000"/>
          <w:spacing w:val="0"/>
          <w:sz w:val="32"/>
          <w:szCs w:val="32"/>
          <w:highlight w:val="none"/>
          <w:lang w:eastAsia="zh-CN"/>
        </w:rPr>
        <w:t>按照</w:t>
      </w:r>
      <w:r>
        <w:rPr>
          <w:rFonts w:hint="eastAsia" w:ascii="仿宋_GB2312" w:hAnsi="Calibri" w:eastAsia="仿宋_GB2312" w:cs="Times New Roman"/>
          <w:color w:val="000000"/>
          <w:spacing w:val="0"/>
          <w:sz w:val="32"/>
          <w:szCs w:val="32"/>
          <w:highlight w:val="none"/>
        </w:rPr>
        <w:t>本指南第六条（一）规定登录广东政务服务网在线填报申请书，网址：https://www.gdzwfw.gov.cn/</w:t>
      </w:r>
      <w:r>
        <w:rPr>
          <w:rFonts w:hint="eastAsia" w:ascii="仿宋_GB2312" w:eastAsia="仿宋_GB2312" w:cs="Times New Roman"/>
          <w:color w:val="000000"/>
          <w:spacing w:val="0"/>
          <w:sz w:val="32"/>
          <w:szCs w:val="32"/>
          <w:highlight w:val="none"/>
          <w:lang w:eastAsia="zh-CN"/>
        </w:rPr>
        <w:t>。</w:t>
      </w:r>
      <w:r>
        <w:rPr>
          <w:rFonts w:hint="eastAsia" w:cs="Times New Roman"/>
          <w:color w:val="000000"/>
          <w:spacing w:val="0"/>
          <w:sz w:val="32"/>
          <w:szCs w:val="32"/>
          <w:highlight w:val="none"/>
          <w:lang w:eastAsia="zh-CN"/>
        </w:rPr>
        <w:t>请在线上下载并填写《深圳市2026年中央资金消费新业态新模式新场景试点项目申报书》。</w:t>
      </w:r>
    </w:p>
    <w:p w14:paraId="516DF09F">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pPr>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八、受理机关</w:t>
      </w:r>
      <w:bookmarkEnd w:id="22"/>
      <w:bookmarkEnd w:id="23"/>
    </w:p>
    <w:p w14:paraId="364B4644">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（一）受理机关</w:t>
      </w:r>
    </w:p>
    <w:p w14:paraId="1ABFC2F7">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深圳市南山区商务局。</w:t>
      </w:r>
    </w:p>
    <w:p w14:paraId="3B006E7E">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（二）受理时间</w:t>
      </w:r>
    </w:p>
    <w:p w14:paraId="647F4135">
      <w:pPr>
        <w:bidi w:val="0"/>
        <w:rPr>
          <w:rFonts w:hint="default"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1.网络填报时间：202</w:t>
      </w:r>
      <w:r>
        <w:rPr>
          <w:rFonts w:hint="eastAsia" w:hAnsi="宋体" w:cs="宋体"/>
          <w:color w:val="000000" w:themeColor="text1"/>
          <w:kern w:val="0"/>
          <w:sz w:val="32"/>
          <w:szCs w:val="32"/>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年</w:t>
      </w:r>
      <w:r>
        <w:rPr>
          <w:rFonts w:hint="eastAsia" w:hAnsi="宋体" w:cs="宋体"/>
          <w:color w:val="000000" w:themeColor="text1"/>
          <w:kern w:val="0"/>
          <w:sz w:val="32"/>
          <w:szCs w:val="32"/>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eastAsia" w:hAnsi="宋体" w:cs="宋体"/>
          <w:color w:val="000000" w:themeColor="text1"/>
          <w:kern w:val="0"/>
          <w:sz w:val="32"/>
          <w:szCs w:val="32"/>
          <w:highlight w:val="none"/>
          <w:lang w:val="en-US" w:eastAsia="zh-CN"/>
          <w14:textFill>
            <w14:solidFill>
              <w14:schemeClr w14:val="tx1"/>
            </w14:solidFill>
          </w14:textFill>
        </w:rPr>
        <w:t>24</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日-202</w:t>
      </w:r>
      <w:r>
        <w:rPr>
          <w:rFonts w:hint="eastAsia" w:hAnsi="宋体" w:cs="宋体"/>
          <w:color w:val="000000" w:themeColor="text1"/>
          <w:kern w:val="0"/>
          <w:sz w:val="32"/>
          <w:szCs w:val="32"/>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年</w:t>
      </w:r>
      <w:r>
        <w:rPr>
          <w:rFonts w:hint="eastAsia" w:hAnsi="宋体" w:cs="宋体"/>
          <w:color w:val="000000" w:themeColor="text1"/>
          <w:kern w:val="0"/>
          <w:sz w:val="32"/>
          <w:szCs w:val="32"/>
          <w:highlight w:val="none"/>
          <w:lang w:val="en-US" w:eastAsia="zh-CN"/>
          <w14:textFill>
            <w14:solidFill>
              <w14:schemeClr w14:val="tx1"/>
            </w14:solidFill>
          </w14:textFill>
        </w:rPr>
        <w:t>7</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eastAsia" w:hAnsi="宋体" w:cs="宋体"/>
          <w:color w:val="000000" w:themeColor="text1"/>
          <w:kern w:val="0"/>
          <w:sz w:val="32"/>
          <w:szCs w:val="32"/>
          <w:highlight w:val="none"/>
          <w:lang w:val="en-US" w:eastAsia="zh-CN"/>
          <w14:textFill>
            <w14:solidFill>
              <w14:schemeClr w14:val="tx1"/>
            </w14:solidFill>
          </w14:textFill>
        </w:rPr>
        <w:t>24</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w:t>
      </w:r>
      <w:r>
        <w:rPr>
          <w:rFonts w:hint="eastAsia" w:hAnsi="宋体" w:cs="宋体"/>
          <w:color w:val="000000" w:themeColor="text1"/>
          <w:kern w:val="0"/>
          <w:sz w:val="32"/>
          <w:szCs w:val="32"/>
          <w:highlight w:val="none"/>
          <w:lang w:val="en-US" w:eastAsia="zh-CN"/>
          <w14:textFill>
            <w14:solidFill>
              <w14:schemeClr w14:val="tx1"/>
            </w14:solidFill>
          </w14:textFill>
        </w:rPr>
        <w:t>。</w:t>
      </w:r>
    </w:p>
    <w:p w14:paraId="4E5211B2">
      <w:pPr>
        <w:bidi w:val="0"/>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2.材料提交时间：2026年</w:t>
      </w:r>
      <w:r>
        <w:rPr>
          <w:rFonts w:hint="eastAsia" w:hAnsi="宋体" w:cs="宋体"/>
          <w:color w:val="000000" w:themeColor="text1"/>
          <w:kern w:val="0"/>
          <w:sz w:val="32"/>
          <w:szCs w:val="32"/>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eastAsia" w:hAnsi="宋体" w:cs="宋体"/>
          <w:color w:val="000000" w:themeColor="text1"/>
          <w:kern w:val="0"/>
          <w:sz w:val="32"/>
          <w:szCs w:val="32"/>
          <w:highlight w:val="none"/>
          <w:lang w:val="en-US" w:eastAsia="zh-CN"/>
          <w14:textFill>
            <w14:solidFill>
              <w14:schemeClr w14:val="tx1"/>
            </w14:solidFill>
          </w14:textFill>
        </w:rPr>
        <w:t>24</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日-2026年</w:t>
      </w:r>
      <w:r>
        <w:rPr>
          <w:rFonts w:hint="eastAsia" w:hAnsi="宋体" w:cs="宋体"/>
          <w:color w:val="000000" w:themeColor="text1"/>
          <w:kern w:val="0"/>
          <w:sz w:val="32"/>
          <w:szCs w:val="32"/>
          <w:highlight w:val="none"/>
          <w:lang w:val="en-US" w:eastAsia="zh-CN"/>
          <w14:textFill>
            <w14:solidFill>
              <w14:schemeClr w14:val="tx1"/>
            </w14:solidFill>
          </w14:textFill>
        </w:rPr>
        <w:t>7</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eastAsia" w:hAnsi="宋体" w:cs="宋体"/>
          <w:color w:val="000000" w:themeColor="text1"/>
          <w:kern w:val="0"/>
          <w:sz w:val="32"/>
          <w:szCs w:val="32"/>
          <w:highlight w:val="none"/>
          <w:lang w:val="en-US" w:eastAsia="zh-CN"/>
          <w14:textFill>
            <w14:solidFill>
              <w14:schemeClr w14:val="tx1"/>
            </w14:solidFill>
          </w14:textFill>
        </w:rPr>
        <w:t>24</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w:t>
      </w:r>
    </w:p>
    <w:p w14:paraId="75C0D40D">
      <w:pPr>
        <w:bidi w:val="0"/>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申报单位在上述规定时间内填报、提交材料，逾期不予受理。</w:t>
      </w:r>
    </w:p>
    <w:p w14:paraId="0FF0CD85">
      <w:pPr>
        <w:bidi w:val="0"/>
        <w:spacing w:before="0" w:after="0" w:line="560" w:lineRule="exact"/>
        <w:ind w:left="645" w:firstLine="0" w:firstLineChars="0"/>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（三）受理地点</w:t>
      </w:r>
    </w:p>
    <w:p w14:paraId="01706AEC">
      <w:pPr>
        <w:keepNext w:val="0"/>
        <w:keepLines w:val="0"/>
        <w:widowControl/>
        <w:suppressLineNumbers w:val="0"/>
        <w:jc w:val="left"/>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cs="仿宋_GB2312"/>
          <w:color w:val="auto"/>
          <w:sz w:val="32"/>
          <w:szCs w:val="32"/>
          <w:highlight w:val="none"/>
          <w:lang w:eastAsia="zh-CN"/>
        </w:rPr>
        <w:t>线上受理：</w:t>
      </w:r>
      <w:r>
        <w:rPr>
          <w:rFonts w:hint="eastAsia"/>
          <w:color w:val="auto"/>
          <w:highlight w:val="none"/>
          <w:lang w:val="en-US" w:eastAsia="zh-CN"/>
        </w:rPr>
        <w:t>https://www.gdzwfw.gov.cn/（广东政务服务网）。</w:t>
      </w:r>
    </w:p>
    <w:p w14:paraId="756A1CF0">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线下材料递交地址：</w:t>
      </w:r>
    </w:p>
    <w:p w14:paraId="76F1BEEF">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（1）深圳市南山区政务服务中心</w:t>
      </w:r>
    </w:p>
    <w:p w14:paraId="47612FE9">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办理</w:t>
      </w:r>
      <w:r>
        <w:rPr>
          <w:rFonts w:hint="default"/>
          <w:color w:val="000000" w:themeColor="text1"/>
          <w:highlight w:val="none"/>
          <w:lang w:val="en-US" w:eastAsia="zh-CN"/>
          <w14:textFill>
            <w14:solidFill>
              <w14:schemeClr w14:val="tx1"/>
            </w14:solidFill>
          </w14:textFill>
        </w:rPr>
        <w:t>地址：深圳市南山区滨海大道辅路3001号深圳湾体育中心南山区政务服务中心一楼综合窗口（深圳湾体育中心东南侧独栋楼房）；办公电话：0755-86975095。</w:t>
      </w:r>
    </w:p>
    <w:p w14:paraId="76D84B0A">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办理</w:t>
      </w:r>
      <w:r>
        <w:rPr>
          <w:rFonts w:hint="default"/>
          <w:color w:val="000000" w:themeColor="text1"/>
          <w:highlight w:val="none"/>
          <w:lang w:val="en-US" w:eastAsia="zh-CN"/>
          <w14:textFill>
            <w14:solidFill>
              <w14:schemeClr w14:val="tx1"/>
            </w14:solidFill>
          </w14:textFill>
        </w:rPr>
        <w:t>时间：周一至周五：9:00－12:00</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14:00-17:45（午间服务时间12:00-14:00。法定节假日休息，不对外办公</w:t>
      </w:r>
      <w:r>
        <w:rPr>
          <w:rFonts w:hint="eastAsia"/>
          <w:color w:val="000000" w:themeColor="text1"/>
          <w:highlight w:val="none"/>
          <w:lang w:val="en-US" w:eastAsia="zh-CN"/>
          <w14:textFill>
            <w14:solidFill>
              <w14:schemeClr w14:val="tx1"/>
            </w14:solidFill>
          </w14:textFill>
        </w:rPr>
        <w:t>）。</w:t>
      </w:r>
    </w:p>
    <w:p w14:paraId="1961B22E">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（2）深圳市南山区政务服务中心创智云城服务厅</w:t>
      </w:r>
    </w:p>
    <w:p w14:paraId="5F42962F">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详细地址：深圳市南山区创科路260号创智云城A3栋3楼综合窗口；办公电话：0755-86965234。</w:t>
      </w:r>
    </w:p>
    <w:p w14:paraId="2D6A3532">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办理时间：周一至周五：9</w:t>
      </w:r>
      <w:r>
        <w:rPr>
          <w:rFonts w:hint="default"/>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00－12:00，14:00-17</w:t>
      </w:r>
      <w:r>
        <w:rPr>
          <w:rFonts w:hint="default"/>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45（法定节假日休息，不对外办公）</w:t>
      </w:r>
    </w:p>
    <w:p w14:paraId="57ADBE5C">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（3）深圳市南山区政务服务中心创新广场服务厅</w:t>
      </w:r>
    </w:p>
    <w:p w14:paraId="1FBFEF0E">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详细地址：深圳市南山区白石路3069号深圳湾科技生态园9栋A座B3层南山区政务服务中心创新广场服务厅综合窗口；办公电话：0755-26923005。</w:t>
      </w:r>
    </w:p>
    <w:p w14:paraId="5ABDEFB7">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办理时间：周一至周五上午9:00—12:00；14:00—17:45（法定节假日及调休除外）</w:t>
      </w:r>
    </w:p>
    <w:p w14:paraId="3691D816">
      <w:pPr>
        <w:bidi w:val="0"/>
        <w:spacing w:before="0" w:after="0" w:line="560" w:lineRule="exact"/>
        <w:ind w:left="645" w:firstLine="0" w:firstLineChars="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（四）咨询电话</w:t>
      </w:r>
    </w:p>
    <w:p w14:paraId="1112CF47">
      <w:pPr>
        <w:bidi w:val="0"/>
        <w:rPr>
          <w:rFonts w:hint="default" w:ascii="仿宋_GB2312" w:hAnsi="宋体" w:eastAsia="仿宋_GB2312" w:cs="宋体"/>
          <w:color w:val="000000" w:themeColor="text1"/>
          <w:kern w:val="0"/>
          <w:sz w:val="32"/>
          <w:szCs w:val="32"/>
          <w:highlight w:val="none"/>
          <w:lang w:val="en-US" w:eastAsia="zh-CN"/>
          <w14:textFill>
            <w14:solidFill>
              <w14:schemeClr w14:val="tx1"/>
            </w14:solidFill>
          </w14:textFill>
        </w:rPr>
      </w:pPr>
      <w:bookmarkStart w:id="24" w:name="_Toc9722"/>
      <w:bookmarkStart w:id="25" w:name="_Toc1376"/>
      <w:r>
        <w:rPr>
          <w:rFonts w:hint="eastAsia" w:hAnsi="宋体" w:cs="宋体"/>
          <w:color w:val="000000" w:themeColor="text1"/>
          <w:kern w:val="0"/>
          <w:sz w:val="32"/>
          <w:szCs w:val="32"/>
          <w:highlight w:val="none"/>
          <w:lang w:val="en-US" w:eastAsia="zh-CN"/>
          <w14:textFill>
            <w14:solidFill>
              <w14:schemeClr w14:val="tx1"/>
            </w14:solidFill>
          </w14:textFill>
        </w:rPr>
        <w:t>0755-88167804、</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0755-88167811</w:t>
      </w:r>
    </w:p>
    <w:p w14:paraId="4F9ADDD1">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r>
        <w:rPr>
          <w:rFonts w:hint="eastAsia" w:ascii="黑体" w:hAnsi="黑体" w:eastAsia="黑体" w:cs="仿宋"/>
          <w:color w:val="auto"/>
          <w:kern w:val="2"/>
          <w:sz w:val="32"/>
          <w:szCs w:val="22"/>
          <w:highlight w:val="none"/>
          <w:lang w:val="en-US" w:eastAsia="zh-CN" w:bidi="ar-SA"/>
        </w:rPr>
        <w:t>九、申请决定机关</w:t>
      </w:r>
      <w:bookmarkEnd w:id="24"/>
      <w:bookmarkEnd w:id="25"/>
    </w:p>
    <w:p w14:paraId="1C1B9107">
      <w:pPr>
        <w:keepNext/>
        <w:keepLines/>
        <w:widowControl w:val="0"/>
        <w:bidi w:val="0"/>
        <w:spacing w:before="0" w:beforeLines="0" w:beforeAutospacing="0" w:after="0" w:afterLines="0" w:afterAutospacing="0" w:line="560" w:lineRule="exact"/>
        <w:ind w:firstLine="640" w:firstLineChars="200"/>
        <w:jc w:val="both"/>
        <w:outlineLvl w:val="0"/>
        <w:rPr>
          <w:rFonts w:hint="eastAsia" w:ascii="仿宋_GB2312" w:hAnsi="宋体" w:eastAsia="仿宋_GB2312" w:cs="宋体"/>
          <w:color w:val="auto"/>
          <w:kern w:val="0"/>
          <w:sz w:val="32"/>
          <w:szCs w:val="32"/>
          <w:highlight w:val="none"/>
          <w:lang w:val="en-US" w:eastAsia="zh-CN"/>
        </w:rPr>
      </w:pPr>
      <w:r>
        <w:rPr>
          <w:rFonts w:hint="eastAsia" w:hAnsi="宋体" w:cs="宋体"/>
          <w:color w:val="000000" w:themeColor="text1"/>
          <w:kern w:val="0"/>
          <w:sz w:val="32"/>
          <w:szCs w:val="32"/>
          <w:highlight w:val="none"/>
          <w:lang w:val="en-US" w:eastAsia="zh-CN"/>
          <w14:textFill>
            <w14:solidFill>
              <w14:schemeClr w14:val="tx1"/>
            </w14:solidFill>
          </w14:textFill>
        </w:rPr>
        <w:t>深圳市南山区商务局</w:t>
      </w:r>
    </w:p>
    <w:p w14:paraId="2C30ED22">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26" w:name="_Toc16198"/>
      <w:bookmarkStart w:id="27" w:name="_Toc11274"/>
      <w:r>
        <w:rPr>
          <w:rFonts w:hint="eastAsia" w:ascii="黑体" w:hAnsi="黑体" w:eastAsia="黑体" w:cs="仿宋"/>
          <w:color w:val="auto"/>
          <w:kern w:val="2"/>
          <w:sz w:val="32"/>
          <w:szCs w:val="22"/>
          <w:highlight w:val="none"/>
          <w:lang w:val="en-US" w:eastAsia="zh-CN" w:bidi="ar-SA"/>
        </w:rPr>
        <w:t>十、办理流程</w:t>
      </w:r>
      <w:bookmarkEnd w:id="26"/>
      <w:bookmarkEnd w:id="27"/>
    </w:p>
    <w:p w14:paraId="6A46FFED">
      <w:pPr>
        <w:bidi w:val="0"/>
        <w:rPr>
          <w:rFonts w:hint="eastAsia" w:ascii="仿宋_GB2312" w:hAnsi="仿宋_GB2312" w:eastAsia="仿宋_GB2312" w:cs="Times New Roman"/>
          <w:color w:val="auto"/>
          <w:sz w:val="32"/>
          <w:szCs w:val="32"/>
          <w:highlight w:val="none"/>
          <w:lang w:bidi="ar"/>
        </w:rPr>
      </w:pPr>
      <w:r>
        <w:rPr>
          <w:rFonts w:hint="eastAsia" w:ascii="仿宋_GB2312" w:hAnsi="仿宋_GB2312" w:eastAsia="仿宋_GB2312" w:cs="Times New Roman"/>
          <w:color w:val="auto"/>
          <w:sz w:val="32"/>
          <w:szCs w:val="32"/>
          <w:highlight w:val="none"/>
          <w:lang w:val="en-US" w:eastAsia="zh-CN" w:bidi="ar"/>
        </w:rPr>
        <w:t>区级商务主管部门发布申报指南——申报单位网上申报——区级商务主管部门网上初审——申报单位向辖区政务服务中心收文窗口提交申请材料——区级商务部门开展形式审查——区级商务主管部门开展资质审查——区级商务主管部门组织专项审计——征求意见与综合核查——拟定资助计划——社会公示——下达资助计划——通知申报单位提交拨付资料——拨付资金</w:t>
      </w:r>
      <w:r>
        <w:rPr>
          <w:rFonts w:hint="eastAsia" w:ascii="仿宋_GB2312" w:hAnsi="仿宋_GB2312" w:eastAsia="仿宋_GB2312" w:cs="Times New Roman"/>
          <w:color w:val="auto"/>
          <w:sz w:val="32"/>
          <w:szCs w:val="32"/>
          <w:highlight w:val="none"/>
          <w:lang w:bidi="ar"/>
        </w:rPr>
        <w:t>。</w:t>
      </w:r>
    </w:p>
    <w:p w14:paraId="42070511">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28" w:name="_Toc28790"/>
      <w:bookmarkStart w:id="29" w:name="_Toc3693"/>
      <w:r>
        <w:rPr>
          <w:rFonts w:hint="eastAsia" w:ascii="黑体" w:hAnsi="黑体" w:eastAsia="黑体" w:cs="仿宋"/>
          <w:color w:val="auto"/>
          <w:kern w:val="2"/>
          <w:sz w:val="32"/>
          <w:szCs w:val="22"/>
          <w:highlight w:val="none"/>
          <w:lang w:val="en-US" w:eastAsia="zh-CN" w:bidi="ar-SA"/>
        </w:rPr>
        <w:t>十一、办理时限</w:t>
      </w:r>
      <w:bookmarkEnd w:id="28"/>
      <w:bookmarkEnd w:id="29"/>
    </w:p>
    <w:p w14:paraId="6506C69A">
      <w:pPr>
        <w:bidi w:val="0"/>
        <w:rPr>
          <w:rFonts w:hint="eastAsia"/>
          <w:color w:val="auto"/>
          <w:highlight w:val="none"/>
        </w:rPr>
      </w:pPr>
      <w:r>
        <w:rPr>
          <w:rFonts w:hint="eastAsia"/>
          <w:color w:val="auto"/>
          <w:highlight w:val="none"/>
          <w:lang w:val="en-US" w:eastAsia="zh-CN"/>
        </w:rPr>
        <w:t>180个工作日，不含特别程序。</w:t>
      </w:r>
    </w:p>
    <w:p w14:paraId="0387287D">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30" w:name="_Toc29872"/>
      <w:bookmarkStart w:id="31" w:name="_Toc32254"/>
      <w:r>
        <w:rPr>
          <w:rFonts w:hint="eastAsia" w:ascii="黑体" w:hAnsi="黑体" w:eastAsia="黑体" w:cs="仿宋"/>
          <w:color w:val="auto"/>
          <w:kern w:val="2"/>
          <w:sz w:val="32"/>
          <w:szCs w:val="22"/>
          <w:highlight w:val="none"/>
          <w:lang w:val="en-US" w:eastAsia="zh-CN" w:bidi="ar-SA"/>
        </w:rPr>
        <w:t>十二、证件及有效期</w:t>
      </w:r>
      <w:bookmarkEnd w:id="30"/>
      <w:bookmarkEnd w:id="31"/>
    </w:p>
    <w:p w14:paraId="545717F9">
      <w:pPr>
        <w:bidi w:val="0"/>
        <w:rPr>
          <w:rFonts w:hint="eastAsia"/>
          <w:color w:val="auto"/>
          <w:highlight w:val="none"/>
        </w:rPr>
      </w:pPr>
      <w:r>
        <w:rPr>
          <w:rFonts w:hint="eastAsia"/>
          <w:color w:val="auto"/>
          <w:highlight w:val="none"/>
        </w:rPr>
        <w:t>证件：无</w:t>
      </w:r>
    </w:p>
    <w:p w14:paraId="696F5A66">
      <w:pPr>
        <w:bidi w:val="0"/>
        <w:rPr>
          <w:rFonts w:hint="eastAsia"/>
          <w:color w:val="auto"/>
          <w:highlight w:val="none"/>
        </w:rPr>
      </w:pPr>
      <w:r>
        <w:rPr>
          <w:rFonts w:hint="eastAsia"/>
          <w:color w:val="auto"/>
          <w:highlight w:val="none"/>
        </w:rPr>
        <w:t>有效期限：无</w:t>
      </w:r>
    </w:p>
    <w:p w14:paraId="3C72D668">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2" w:name="_Toc17239"/>
      <w:bookmarkStart w:id="33" w:name="_Toc19920"/>
      <w:r>
        <w:rPr>
          <w:rFonts w:hint="eastAsia" w:ascii="黑体" w:hAnsi="黑体" w:eastAsia="黑体" w:cs="Times New Roman"/>
          <w:color w:val="auto"/>
          <w:kern w:val="2"/>
          <w:sz w:val="32"/>
          <w:szCs w:val="32"/>
          <w:highlight w:val="none"/>
          <w:lang w:val="en-US" w:eastAsia="zh-CN" w:bidi="ar-SA"/>
        </w:rPr>
        <w:t>十三、证件的法律效力</w:t>
      </w:r>
      <w:bookmarkEnd w:id="32"/>
      <w:bookmarkEnd w:id="33"/>
    </w:p>
    <w:p w14:paraId="19A72354">
      <w:pPr>
        <w:bidi w:val="0"/>
        <w:rPr>
          <w:rFonts w:hint="eastAsia"/>
          <w:color w:val="auto"/>
          <w:highlight w:val="none"/>
        </w:rPr>
      </w:pPr>
      <w:r>
        <w:rPr>
          <w:rFonts w:hint="eastAsia"/>
          <w:color w:val="auto"/>
          <w:highlight w:val="none"/>
        </w:rPr>
        <w:t>无</w:t>
      </w:r>
    </w:p>
    <w:p w14:paraId="52292998">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4" w:name="_Toc7505"/>
      <w:bookmarkStart w:id="35" w:name="_Toc6842"/>
      <w:r>
        <w:rPr>
          <w:rFonts w:hint="eastAsia" w:ascii="黑体" w:hAnsi="黑体" w:eastAsia="黑体" w:cs="Times New Roman"/>
          <w:color w:val="auto"/>
          <w:kern w:val="2"/>
          <w:sz w:val="32"/>
          <w:szCs w:val="32"/>
          <w:highlight w:val="none"/>
          <w:lang w:val="en-US" w:eastAsia="zh-CN" w:bidi="ar-SA"/>
        </w:rPr>
        <w:t>十四、收费</w:t>
      </w:r>
      <w:bookmarkEnd w:id="34"/>
      <w:bookmarkEnd w:id="35"/>
    </w:p>
    <w:p w14:paraId="5083CEDC">
      <w:pPr>
        <w:bidi w:val="0"/>
        <w:rPr>
          <w:rFonts w:hint="eastAsia"/>
          <w:color w:val="auto"/>
          <w:highlight w:val="none"/>
        </w:rPr>
      </w:pPr>
      <w:r>
        <w:rPr>
          <w:rFonts w:hint="eastAsia"/>
          <w:color w:val="auto"/>
          <w:highlight w:val="none"/>
        </w:rPr>
        <w:t>无</w:t>
      </w:r>
    </w:p>
    <w:p w14:paraId="6F42FD76">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6" w:name="_Toc30475"/>
      <w:bookmarkStart w:id="37" w:name="_Toc30145"/>
      <w:r>
        <w:rPr>
          <w:rFonts w:hint="eastAsia" w:ascii="黑体" w:hAnsi="黑体" w:eastAsia="黑体" w:cs="Times New Roman"/>
          <w:color w:val="auto"/>
          <w:kern w:val="2"/>
          <w:sz w:val="32"/>
          <w:szCs w:val="32"/>
          <w:highlight w:val="none"/>
          <w:lang w:val="en-US" w:eastAsia="zh-CN" w:bidi="ar-SA"/>
        </w:rPr>
        <w:t>十五、年审或年检</w:t>
      </w:r>
      <w:bookmarkEnd w:id="36"/>
      <w:bookmarkEnd w:id="37"/>
    </w:p>
    <w:p w14:paraId="1EBA0EBB">
      <w:pPr>
        <w:bidi w:val="0"/>
        <w:rPr>
          <w:rFonts w:hint="eastAsia"/>
          <w:color w:val="auto"/>
          <w:highlight w:val="none"/>
        </w:rPr>
      </w:pPr>
      <w:r>
        <w:rPr>
          <w:rFonts w:hint="eastAsia"/>
          <w:color w:val="auto"/>
          <w:highlight w:val="none"/>
        </w:rPr>
        <w:t>无</w:t>
      </w:r>
      <w:bookmarkStart w:id="38" w:name="_Toc28762"/>
      <w:bookmarkStart w:id="39" w:name="_Toc20677"/>
    </w:p>
    <w:p w14:paraId="46461EF4">
      <w:pPr>
        <w:bidi w:val="0"/>
        <w:rPr>
          <w:rFonts w:hint="eastAsia" w:ascii="黑体" w:hAnsi="黑体" w:eastAsia="黑体" w:cs="Times New Roman"/>
          <w:color w:val="auto"/>
          <w:kern w:val="2"/>
          <w:sz w:val="32"/>
          <w:szCs w:val="32"/>
          <w:highlight w:val="none"/>
          <w:lang w:val="en-US" w:eastAsia="zh-CN" w:bidi="ar-SA"/>
        </w:rPr>
      </w:pPr>
      <w:r>
        <w:rPr>
          <w:rFonts w:hint="eastAsia" w:ascii="黑体" w:hAnsi="黑体" w:eastAsia="黑体" w:cs="Times New Roman"/>
          <w:color w:val="auto"/>
          <w:kern w:val="2"/>
          <w:sz w:val="32"/>
          <w:szCs w:val="32"/>
          <w:highlight w:val="none"/>
          <w:lang w:val="en-US" w:eastAsia="zh-CN" w:bidi="ar-SA"/>
        </w:rPr>
        <w:t>十六、监督检查和补充说明</w:t>
      </w:r>
      <w:bookmarkEnd w:id="38"/>
      <w:bookmarkEnd w:id="39"/>
    </w:p>
    <w:p w14:paraId="1311BAE6">
      <w:pPr>
        <w:bidi w:val="0"/>
        <w:rPr>
          <w:rFonts w:hint="eastAsia"/>
          <w:color w:val="auto"/>
          <w:highlight w:val="none"/>
          <w:lang w:val="en-US" w:eastAsia="zh-CN"/>
        </w:rPr>
      </w:pPr>
      <w:r>
        <w:rPr>
          <w:rFonts w:hint="eastAsia"/>
          <w:color w:val="auto"/>
          <w:highlight w:val="none"/>
          <w:lang w:val="en-US" w:eastAsia="zh-CN"/>
        </w:rPr>
        <w:t>（一）申报单位应当按要求配合市、区两级商务部门和其他相关部门的监督检查，按要求做好项目资金管理、绩效评估等工作。</w:t>
      </w:r>
    </w:p>
    <w:p w14:paraId="267E9228">
      <w:pPr>
        <w:bidi w:val="0"/>
        <w:rPr>
          <w:rFonts w:hint="eastAsia"/>
          <w:color w:val="auto"/>
          <w:highlight w:val="none"/>
          <w:lang w:val="en-US" w:eastAsia="zh-CN"/>
        </w:rPr>
      </w:pPr>
      <w:r>
        <w:rPr>
          <w:rFonts w:hint="eastAsia"/>
          <w:color w:val="auto"/>
          <w:highlight w:val="none"/>
          <w:lang w:val="en-US" w:eastAsia="zh-CN"/>
        </w:rPr>
        <w:t>（二）申报单位存在以下情形之一的，应当按要求将已获得的部分或全部财政专项资金退回国库</w:t>
      </w:r>
      <w:r>
        <w:rPr>
          <w:rFonts w:hint="default"/>
          <w:color w:val="auto"/>
          <w:highlight w:val="none"/>
          <w:lang w:val="en-US" w:eastAsia="zh-CN"/>
        </w:rPr>
        <w:t>，</w:t>
      </w:r>
      <w:r>
        <w:rPr>
          <w:rFonts w:hint="eastAsia"/>
          <w:color w:val="auto"/>
          <w:highlight w:val="none"/>
          <w:lang w:val="en-US" w:eastAsia="zh-CN"/>
        </w:rPr>
        <w:t>并按照有关规定处理；涉嫌犯罪的，依法移送有关机关处理：</w:t>
      </w:r>
    </w:p>
    <w:p w14:paraId="0D7E4BA0">
      <w:pPr>
        <w:bidi w:val="0"/>
        <w:rPr>
          <w:rFonts w:hint="eastAsia"/>
          <w:color w:val="auto"/>
          <w:highlight w:val="none"/>
          <w:lang w:val="en-US" w:eastAsia="zh-CN"/>
        </w:rPr>
      </w:pPr>
      <w:r>
        <w:rPr>
          <w:rFonts w:hint="eastAsia"/>
          <w:color w:val="auto"/>
          <w:highlight w:val="none"/>
          <w:lang w:val="en-US" w:eastAsia="zh-CN"/>
        </w:rPr>
        <w:t>1.申报单位未履行或未完全履行申报承诺并经查证属实的。</w:t>
      </w:r>
    </w:p>
    <w:p w14:paraId="0B373578">
      <w:pPr>
        <w:bidi w:val="0"/>
        <w:rPr>
          <w:rFonts w:hint="eastAsia"/>
          <w:color w:val="auto"/>
          <w:highlight w:val="none"/>
          <w:lang w:val="en-US" w:eastAsia="zh-CN"/>
        </w:rPr>
      </w:pPr>
      <w:r>
        <w:rPr>
          <w:rFonts w:hint="eastAsia"/>
          <w:color w:val="auto"/>
          <w:highlight w:val="none"/>
          <w:lang w:val="en-US" w:eastAsia="zh-CN"/>
        </w:rPr>
        <w:t>2.申报单位不符合项目申报条件获得资助的。</w:t>
      </w:r>
    </w:p>
    <w:p w14:paraId="72C0DA9C">
      <w:pPr>
        <w:bidi w:val="0"/>
        <w:rPr>
          <w:rFonts w:hint="eastAsia"/>
          <w:color w:val="auto"/>
          <w:highlight w:val="none"/>
          <w:lang w:val="en-US" w:eastAsia="zh-CN"/>
        </w:rPr>
      </w:pPr>
      <w:r>
        <w:rPr>
          <w:rFonts w:hint="eastAsia"/>
          <w:color w:val="auto"/>
          <w:highlight w:val="none"/>
          <w:lang w:val="en-US" w:eastAsia="zh-CN"/>
        </w:rPr>
        <w:t>3.申报单位存在利用不正当手段套取、骗取、盗取专项资金的。</w:t>
      </w:r>
    </w:p>
    <w:p w14:paraId="24867C36">
      <w:pPr>
        <w:bidi w:val="0"/>
        <w:rPr>
          <w:rFonts w:hint="eastAsia"/>
          <w:color w:val="auto"/>
          <w:highlight w:val="none"/>
          <w:lang w:val="en-US" w:eastAsia="zh-CN"/>
        </w:rPr>
      </w:pPr>
      <w:r>
        <w:rPr>
          <w:rFonts w:hint="eastAsia"/>
          <w:color w:val="auto"/>
          <w:highlight w:val="none"/>
          <w:lang w:val="en-US" w:eastAsia="zh-CN"/>
        </w:rPr>
        <w:t>4.审计、巡视、巡察等核查需要申报单位退回专项资金的。</w:t>
      </w:r>
    </w:p>
    <w:p w14:paraId="1648BBDE">
      <w:pPr>
        <w:bidi w:val="0"/>
        <w:rPr>
          <w:rFonts w:hint="eastAsia"/>
          <w:color w:val="auto"/>
          <w:highlight w:val="none"/>
          <w:lang w:val="en-US" w:eastAsia="zh-CN"/>
        </w:rPr>
      </w:pPr>
      <w:r>
        <w:rPr>
          <w:rFonts w:hint="eastAsia"/>
          <w:color w:val="auto"/>
          <w:highlight w:val="none"/>
          <w:lang w:val="en-US" w:eastAsia="zh-CN"/>
        </w:rPr>
        <w:t>5.其他按照有关规定需要退回资金的。</w:t>
      </w:r>
    </w:p>
    <w:p w14:paraId="50602E8B">
      <w:pPr>
        <w:bidi w:val="0"/>
        <w:rPr>
          <w:rFonts w:hint="eastAsia"/>
          <w:color w:val="auto"/>
          <w:highlight w:val="none"/>
          <w:lang w:val="en-US" w:eastAsia="zh-CN"/>
        </w:rPr>
      </w:pPr>
      <w:r>
        <w:rPr>
          <w:rFonts w:hint="eastAsia"/>
          <w:color w:val="auto"/>
          <w:highlight w:val="none"/>
          <w:lang w:val="en-US" w:eastAsia="zh-CN"/>
        </w:rPr>
        <w:t>（三）获得资金支持的申报单位，应当按照国家有关财务制度规定进行管理和使用，按照国家统一的会计制度进行会计核算，配合商务部门统计报送业务数据，并自觉接受相关财政、审计、商务等有关部门的监督检查。配合商务部门开展业务、资金统计监测，妥善保管项目申报材料。</w:t>
      </w:r>
    </w:p>
    <w:p w14:paraId="00093F5C">
      <w:pPr>
        <w:bidi w:val="0"/>
        <w:rPr>
          <w:rFonts w:hint="eastAsia"/>
          <w:color w:val="auto"/>
          <w:highlight w:val="none"/>
          <w:lang w:val="en-US" w:eastAsia="zh-CN"/>
        </w:rPr>
      </w:pPr>
      <w:r>
        <w:rPr>
          <w:rFonts w:hint="eastAsia"/>
          <w:color w:val="auto"/>
          <w:highlight w:val="none"/>
          <w:lang w:val="en-US" w:eastAsia="zh-CN"/>
        </w:rPr>
        <w:t>（四）任何单位和个人不得以任何形式、任何理由违规使用财政资金，对截留、挤占、挪用、骗取财政资金等违法行为，一经查实，将收回已安排的资金，并按照《财政违法行为处罚处分条例》等有关规定追究责任。</w:t>
      </w:r>
    </w:p>
    <w:p w14:paraId="4C3CF536">
      <w:pPr>
        <w:bidi w:val="0"/>
        <w:rPr>
          <w:rFonts w:hint="default"/>
          <w:color w:val="auto"/>
          <w:highlight w:val="none"/>
          <w:lang w:val="en-US" w:eastAsia="zh-CN"/>
        </w:rPr>
      </w:pPr>
      <w:r>
        <w:rPr>
          <w:rFonts w:hint="eastAsia"/>
          <w:color w:val="auto"/>
          <w:highlight w:val="none"/>
        </w:rPr>
        <w:t>（</w:t>
      </w:r>
      <w:r>
        <w:rPr>
          <w:rFonts w:hint="eastAsia"/>
          <w:color w:val="auto"/>
          <w:highlight w:val="none"/>
          <w:lang w:val="en-US" w:eastAsia="zh-CN"/>
        </w:rPr>
        <w:t>五</w:t>
      </w:r>
      <w:r>
        <w:rPr>
          <w:rFonts w:hint="eastAsia"/>
          <w:color w:val="auto"/>
          <w:highlight w:val="none"/>
        </w:rPr>
        <w:t>）</w:t>
      </w:r>
      <w:r>
        <w:rPr>
          <w:rFonts w:hint="eastAsia"/>
          <w:color w:val="auto"/>
          <w:highlight w:val="none"/>
          <w:lang w:val="en-US" w:eastAsia="zh-CN"/>
        </w:rPr>
        <w:t>受理单位</w:t>
      </w:r>
      <w:r>
        <w:rPr>
          <w:rFonts w:hint="eastAsia"/>
          <w:color w:val="auto"/>
          <w:highlight w:val="none"/>
        </w:rPr>
        <w:t>从未委托任何单位和个人为申报单位代理专项资金扶持计划项目申报事宜</w:t>
      </w:r>
      <w:r>
        <w:rPr>
          <w:color w:val="auto"/>
          <w:highlight w:val="none"/>
        </w:rPr>
        <w:t>，申报单位应</w:t>
      </w:r>
      <w:r>
        <w:rPr>
          <w:rFonts w:hint="eastAsia"/>
          <w:color w:val="auto"/>
          <w:highlight w:val="none"/>
        </w:rPr>
        <w:t>自主申报。我</w:t>
      </w:r>
      <w:r>
        <w:rPr>
          <w:rFonts w:hint="eastAsia"/>
          <w:color w:val="auto"/>
          <w:highlight w:val="none"/>
          <w:lang w:eastAsia="zh-CN"/>
        </w:rPr>
        <w:t>单位</w:t>
      </w:r>
      <w:r>
        <w:rPr>
          <w:rFonts w:hint="eastAsia"/>
          <w:color w:val="auto"/>
          <w:highlight w:val="none"/>
        </w:rPr>
        <w:t>严格按照有关</w:t>
      </w:r>
      <w:r>
        <w:rPr>
          <w:color w:val="auto"/>
          <w:highlight w:val="none"/>
        </w:rPr>
        <w:t>规定</w:t>
      </w:r>
      <w:r>
        <w:rPr>
          <w:rFonts w:hint="eastAsia"/>
          <w:color w:val="auto"/>
          <w:highlight w:val="none"/>
        </w:rPr>
        <w:t>和程序受理申请，不收取任何费用。如有任何中介机构和个人假借我</w:t>
      </w:r>
      <w:r>
        <w:rPr>
          <w:rFonts w:hint="eastAsia"/>
          <w:color w:val="auto"/>
          <w:highlight w:val="none"/>
          <w:lang w:eastAsia="zh-CN"/>
        </w:rPr>
        <w:t>单位</w:t>
      </w:r>
      <w:r>
        <w:rPr>
          <w:color w:val="auto"/>
          <w:highlight w:val="none"/>
        </w:rPr>
        <w:t>或</w:t>
      </w:r>
      <w:r>
        <w:rPr>
          <w:rFonts w:hint="eastAsia"/>
          <w:color w:val="auto"/>
          <w:highlight w:val="none"/>
        </w:rPr>
        <w:t>工作人员名义向申报单位收取费用的，请向我</w:t>
      </w:r>
      <w:r>
        <w:rPr>
          <w:rFonts w:hint="eastAsia"/>
          <w:color w:val="auto"/>
          <w:highlight w:val="none"/>
          <w:lang w:eastAsia="zh-CN"/>
        </w:rPr>
        <w:t>单位</w:t>
      </w:r>
      <w:r>
        <w:rPr>
          <w:rFonts w:hint="eastAsia"/>
          <w:color w:val="auto"/>
          <w:highlight w:val="none"/>
        </w:rPr>
        <w:t>举报</w:t>
      </w:r>
      <w:r>
        <w:rPr>
          <w:rFonts w:hint="eastAsia"/>
          <w:color w:val="auto"/>
          <w:highlight w:val="none"/>
          <w:lang w:val="en-US" w:eastAsia="zh-CN"/>
        </w:rPr>
        <w:t>。</w:t>
      </w:r>
      <w:r>
        <w:rPr>
          <w:rFonts w:hint="eastAsia"/>
          <w:color w:val="000000" w:themeColor="text1"/>
          <w:highlight w:val="none"/>
          <w:lang w:val="en-US" w:eastAsia="zh-CN"/>
          <w14:textFill>
            <w14:solidFill>
              <w14:schemeClr w14:val="tx1"/>
            </w14:solidFill>
          </w14:textFill>
        </w:rPr>
        <w:t>（0755-88167811</w:t>
      </w:r>
      <w:bookmarkStart w:id="40" w:name="_GoBack"/>
      <w:r>
        <w:rPr>
          <w:rFonts w:hint="eastAsia"/>
          <w:color w:val="000000" w:themeColor="text1"/>
          <w:highlight w:val="none"/>
          <w:lang w:val="en-US" w:eastAsia="zh-CN"/>
          <w14:textFill>
            <w14:solidFill>
              <w14:schemeClr w14:val="tx1"/>
            </w14:solidFill>
          </w14:textFill>
        </w:rPr>
        <w:t>）</w:t>
      </w:r>
      <w:bookmarkEnd w:id="40"/>
    </w:p>
    <w:p w14:paraId="461C7E79">
      <w:pPr>
        <w:bidi w:val="0"/>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w:t>
      </w:r>
      <w:r>
        <w:rPr>
          <w:color w:val="auto"/>
          <w:highlight w:val="none"/>
        </w:rPr>
        <w:t>申报单位在项目申报期间发生企业名称、联系信息变更的，应及时联系并提供变更材料，如因未及时变更产生的后果由企业自行承担。</w:t>
      </w:r>
    </w:p>
    <w:p w14:paraId="2F911E7B">
      <w:pPr>
        <w:bidi w:val="0"/>
        <w:rPr>
          <w:rFonts w:hint="eastAsia"/>
          <w:color w:val="auto"/>
          <w:highlight w:val="none"/>
        </w:rPr>
      </w:pPr>
      <w:r>
        <w:rPr>
          <w:rFonts w:hint="eastAsia"/>
          <w:color w:val="auto"/>
          <w:highlight w:val="none"/>
        </w:rPr>
        <w:t>（</w:t>
      </w:r>
      <w:r>
        <w:rPr>
          <w:rFonts w:hint="eastAsia"/>
          <w:color w:val="auto"/>
          <w:highlight w:val="none"/>
          <w:lang w:val="en-US" w:eastAsia="zh-CN"/>
        </w:rPr>
        <w:t>七</w:t>
      </w:r>
      <w:r>
        <w:rPr>
          <w:rFonts w:hint="eastAsia"/>
          <w:color w:val="auto"/>
          <w:highlight w:val="none"/>
        </w:rPr>
        <w:t>）资助拨款按照申请书银行账户信息办理。因</w:t>
      </w:r>
      <w:r>
        <w:rPr>
          <w:color w:val="auto"/>
          <w:highlight w:val="none"/>
        </w:rPr>
        <w:t>账户信息变更或企业填写错误等原因导致</w:t>
      </w:r>
      <w:r>
        <w:rPr>
          <w:rFonts w:hint="eastAsia"/>
          <w:color w:val="auto"/>
          <w:highlight w:val="none"/>
          <w:lang w:eastAsia="zh-CN"/>
        </w:rPr>
        <w:t>拨付</w:t>
      </w:r>
      <w:r>
        <w:rPr>
          <w:color w:val="auto"/>
          <w:highlight w:val="none"/>
        </w:rPr>
        <w:t>不成功的，</w:t>
      </w:r>
      <w:r>
        <w:rPr>
          <w:rFonts w:hint="eastAsia"/>
          <w:color w:val="auto"/>
          <w:highlight w:val="none"/>
        </w:rPr>
        <w:t>原则上予以办理一次拨款信息更改并再次拨付。</w:t>
      </w:r>
      <w:r>
        <w:rPr>
          <w:color w:val="auto"/>
          <w:highlight w:val="none"/>
        </w:rPr>
        <w:t>申报单位</w:t>
      </w:r>
      <w:r>
        <w:rPr>
          <w:rFonts w:hint="eastAsia"/>
          <w:color w:val="auto"/>
          <w:highlight w:val="none"/>
        </w:rPr>
        <w:t>应当按照要求办理资金拨款手续。</w:t>
      </w:r>
    </w:p>
    <w:p w14:paraId="60C08137">
      <w:pPr>
        <w:bidi w:val="0"/>
        <w:ind w:firstLine="0" w:firstLineChars="0"/>
        <w:rPr>
          <w:rFonts w:hint="eastAsia"/>
          <w:color w:val="auto"/>
          <w:highlight w:val="none"/>
          <w:lang w:val="en-US" w:eastAsia="zh-CN"/>
        </w:rPr>
      </w:pPr>
    </w:p>
    <w:bookmarkEnd w:id="18"/>
    <w:bookmarkEnd w:id="19"/>
    <w:bookmarkEnd w:id="20"/>
    <w:bookmarkEnd w:id="21"/>
    <w:p w14:paraId="25598EB8">
      <w:pPr>
        <w:pStyle w:val="17"/>
        <w:rPr>
          <w:rFonts w:hint="eastAsia" w:ascii="仿宋_GB2312" w:hAnsi="仿宋_GB2312"/>
          <w:color w:val="auto"/>
          <w:highlight w:val="none"/>
          <w:lang w:eastAsia="zh-CN"/>
        </w:rPr>
      </w:pPr>
      <w:r>
        <w:rPr>
          <w:rFonts w:hint="eastAsia" w:ascii="仿宋_GB2312" w:hAnsi="仿宋_GB2312"/>
          <w:color w:val="auto"/>
          <w:highlight w:val="none"/>
          <w:lang w:eastAsia="zh-CN"/>
        </w:rPr>
        <w:t>附录：名词解释</w:t>
      </w:r>
    </w:p>
    <w:p w14:paraId="7B30191E">
      <w:pPr>
        <w:rPr>
          <w:rFonts w:hint="eastAsia" w:ascii="仿宋_GB2312" w:hAnsi="仿宋_GB2312"/>
          <w:color w:val="auto"/>
          <w:highlight w:val="none"/>
          <w:lang w:eastAsia="zh-CN"/>
        </w:rPr>
      </w:pPr>
      <w:r>
        <w:rPr>
          <w:rFonts w:hint="eastAsia" w:ascii="仿宋_GB2312" w:hAnsi="仿宋_GB2312"/>
          <w:color w:val="auto"/>
          <w:highlight w:val="none"/>
          <w:lang w:eastAsia="zh-CN"/>
        </w:rPr>
        <w:br w:type="page"/>
      </w:r>
    </w:p>
    <w:p w14:paraId="4C04B278">
      <w:pPr>
        <w:pStyle w:val="17"/>
        <w:ind w:firstLine="0" w:firstLineChars="0"/>
        <w:rPr>
          <w:rFonts w:hint="eastAsia" w:ascii="黑体" w:hAnsi="黑体" w:eastAsia="黑体" w:cs="黑体"/>
          <w:color w:val="auto"/>
          <w:highlight w:val="none"/>
          <w:lang w:eastAsia="zh-CN"/>
        </w:rPr>
      </w:pPr>
      <w:r>
        <w:rPr>
          <w:rFonts w:hint="eastAsia" w:ascii="黑体" w:hAnsi="黑体" w:eastAsia="黑体" w:cs="黑体"/>
          <w:color w:val="auto"/>
          <w:highlight w:val="none"/>
          <w:lang w:eastAsia="zh-CN"/>
        </w:rPr>
        <w:t>附</w:t>
      </w:r>
      <w:r>
        <w:rPr>
          <w:rFonts w:hint="eastAsia" w:ascii="黑体" w:hAnsi="黑体" w:eastAsia="黑体" w:cs="黑体"/>
          <w:color w:val="auto"/>
          <w:highlight w:val="none"/>
          <w:lang w:val="en-US" w:eastAsia="zh-CN"/>
        </w:rPr>
        <w:t xml:space="preserve">  </w:t>
      </w:r>
      <w:r>
        <w:rPr>
          <w:rFonts w:hint="eastAsia" w:ascii="黑体" w:hAnsi="黑体" w:eastAsia="黑体" w:cs="黑体"/>
          <w:color w:val="auto"/>
          <w:highlight w:val="none"/>
          <w:lang w:eastAsia="zh-CN"/>
        </w:rPr>
        <w:t>录</w:t>
      </w:r>
    </w:p>
    <w:p w14:paraId="3CE45D2D">
      <w:pPr>
        <w:pStyle w:val="17"/>
        <w:ind w:firstLine="0" w:firstLineChars="0"/>
        <w:rPr>
          <w:rFonts w:hint="eastAsia" w:ascii="仿宋_GB2312" w:hAnsi="仿宋_GB2312"/>
          <w:color w:val="auto"/>
          <w:highlight w:val="none"/>
          <w:lang w:eastAsia="zh-CN"/>
        </w:rPr>
      </w:pPr>
    </w:p>
    <w:p w14:paraId="4AB3FFD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名词解释</w:t>
      </w:r>
    </w:p>
    <w:p w14:paraId="7957C641">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32"/>
          <w:szCs w:val="32"/>
          <w:highlight w:val="none"/>
          <w:lang w:val="en-US" w:eastAsia="zh-CN"/>
        </w:rPr>
      </w:pPr>
    </w:p>
    <w:p w14:paraId="2BE72E81">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w:t>
      </w:r>
      <w:r>
        <w:rPr>
          <w:rFonts w:hint="default" w:ascii="仿宋_GB2312" w:hAnsi="仿宋_GB2312" w:eastAsia="仿宋_GB2312" w:cs="仿宋_GB2312"/>
          <w:b/>
          <w:bCs/>
          <w:color w:val="auto"/>
          <w:sz w:val="32"/>
          <w:szCs w:val="32"/>
          <w:highlight w:val="none"/>
          <w:lang w:val="en-US" w:eastAsia="zh-CN"/>
        </w:rPr>
        <w:t>提供服务次数：</w:t>
      </w:r>
      <w:r>
        <w:rPr>
          <w:rFonts w:hint="default" w:ascii="仿宋_GB2312" w:hAnsi="仿宋_GB2312" w:eastAsia="仿宋_GB2312" w:cs="仿宋_GB2312"/>
          <w:color w:val="auto"/>
          <w:sz w:val="32"/>
          <w:szCs w:val="32"/>
          <w:highlight w:val="none"/>
          <w:lang w:val="en-US" w:eastAsia="zh-CN"/>
        </w:rPr>
        <w:t>指定统计周期内已完成履约闭环的有效服务总次数，核算认定统一以可溯源、可核查的正式消费凭证及业务后台留存原始消费数据记录作为佐证依据。</w:t>
      </w:r>
    </w:p>
    <w:p w14:paraId="50C591D5">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Style w:val="19"/>
          <w:rFonts w:hint="default" w:ascii="仿宋_GB2312" w:hAnsi="仿宋_GB2312" w:eastAsia="仿宋_GB2312" w:cs="仿宋_GB2312"/>
          <w:color w:val="auto"/>
          <w:sz w:val="32"/>
          <w:szCs w:val="32"/>
          <w:highlight w:val="none"/>
          <w:lang w:val="en-US" w:eastAsia="zh-CN"/>
        </w:rPr>
      </w:pPr>
      <w:r>
        <w:rPr>
          <w:rStyle w:val="19"/>
          <w:rFonts w:hint="eastAsia" w:cs="仿宋_GB2312"/>
          <w:b/>
          <w:bCs/>
          <w:color w:val="auto"/>
          <w:sz w:val="32"/>
          <w:szCs w:val="32"/>
          <w:highlight w:val="none"/>
          <w:lang w:val="en-US" w:eastAsia="zh-CN"/>
        </w:rPr>
        <w:t>二</w:t>
      </w:r>
      <w:r>
        <w:rPr>
          <w:rStyle w:val="19"/>
          <w:rFonts w:hint="eastAsia" w:ascii="仿宋_GB2312" w:hAnsi="仿宋_GB2312" w:eastAsia="仿宋_GB2312" w:cs="仿宋_GB2312"/>
          <w:b/>
          <w:bCs/>
          <w:color w:val="auto"/>
          <w:sz w:val="32"/>
          <w:szCs w:val="32"/>
          <w:highlight w:val="none"/>
          <w:lang w:val="en-US" w:eastAsia="zh-CN"/>
        </w:rPr>
        <w:t>、IP衍生品产品类型</w:t>
      </w:r>
      <w:r>
        <w:rPr>
          <w:rStyle w:val="19"/>
          <w:rFonts w:hint="default" w:ascii="仿宋_GB2312" w:hAnsi="仿宋_GB2312" w:eastAsia="仿宋_GB2312" w:cs="仿宋_GB2312"/>
          <w:b/>
          <w:bCs/>
          <w:color w:val="auto"/>
          <w:sz w:val="32"/>
          <w:szCs w:val="32"/>
          <w:highlight w:val="none"/>
          <w:lang w:val="en-US" w:eastAsia="zh-CN"/>
        </w:rPr>
        <w:t>：</w:t>
      </w:r>
      <w:r>
        <w:rPr>
          <w:rStyle w:val="19"/>
          <w:rFonts w:hint="default" w:ascii="仿宋_GB2312" w:hAnsi="仿宋_GB2312" w:eastAsia="仿宋_GB2312" w:cs="仿宋_GB2312"/>
          <w:color w:val="auto"/>
          <w:sz w:val="32"/>
          <w:szCs w:val="32"/>
          <w:highlight w:val="none"/>
          <w:lang w:val="en-US" w:eastAsia="zh-CN"/>
        </w:rPr>
        <w:t>涵盖</w:t>
      </w:r>
      <w:r>
        <w:rPr>
          <w:rStyle w:val="19"/>
          <w:rFonts w:hint="eastAsia" w:ascii="仿宋_GB2312" w:hAnsi="仿宋_GB2312" w:eastAsia="仿宋_GB2312" w:cs="仿宋_GB2312"/>
          <w:color w:val="auto"/>
          <w:sz w:val="32"/>
          <w:szCs w:val="32"/>
          <w:highlight w:val="none"/>
          <w:lang w:val="en-US" w:eastAsia="zh-CN"/>
        </w:rPr>
        <w:t>文创潮玩、服饰配饰、数码周边、家居生活、食品饮品、美妆个护等品类</w:t>
      </w:r>
      <w:r>
        <w:rPr>
          <w:rStyle w:val="19"/>
          <w:rFonts w:hint="default" w:ascii="仿宋_GB2312" w:hAnsi="仿宋_GB2312" w:eastAsia="仿宋_GB2312" w:cs="仿宋_GB2312"/>
          <w:color w:val="auto"/>
          <w:sz w:val="32"/>
          <w:szCs w:val="32"/>
          <w:highlight w:val="none"/>
          <w:lang w:val="en-US" w:eastAsia="zh-CN"/>
        </w:rPr>
        <w:t>。</w:t>
      </w:r>
    </w:p>
    <w:p w14:paraId="7759D7ED">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Style w:val="19"/>
          <w:rFonts w:hint="default" w:ascii="仿宋_GB2312" w:hAnsi="仿宋_GB2312" w:eastAsia="仿宋_GB2312" w:cs="仿宋_GB2312"/>
          <w:color w:val="auto"/>
          <w:sz w:val="32"/>
          <w:szCs w:val="32"/>
          <w:highlight w:val="none"/>
          <w:lang w:val="en-US" w:eastAsia="zh-CN"/>
        </w:rPr>
      </w:pPr>
      <w:r>
        <w:rPr>
          <w:rStyle w:val="19"/>
          <w:rFonts w:hint="eastAsia" w:cs="仿宋_GB2312"/>
          <w:b/>
          <w:bCs/>
          <w:color w:val="auto"/>
          <w:sz w:val="32"/>
          <w:szCs w:val="32"/>
          <w:highlight w:val="none"/>
          <w:lang w:val="en-US" w:eastAsia="zh-CN"/>
        </w:rPr>
        <w:t>三</w:t>
      </w:r>
      <w:r>
        <w:rPr>
          <w:rStyle w:val="19"/>
          <w:rFonts w:hint="eastAsia" w:ascii="仿宋_GB2312" w:hAnsi="仿宋_GB2312" w:eastAsia="仿宋_GB2312" w:cs="仿宋_GB2312"/>
          <w:color w:val="auto"/>
          <w:sz w:val="32"/>
          <w:szCs w:val="32"/>
          <w:highlight w:val="none"/>
          <w:lang w:val="en-US" w:eastAsia="zh-CN"/>
        </w:rPr>
        <w:t>、本</w:t>
      </w:r>
      <w:r>
        <w:rPr>
          <w:rStyle w:val="19"/>
          <w:rFonts w:hint="eastAsia" w:cs="仿宋_GB2312"/>
          <w:color w:val="auto"/>
          <w:sz w:val="32"/>
          <w:szCs w:val="32"/>
          <w:highlight w:val="none"/>
          <w:lang w:val="en-US" w:eastAsia="zh-CN"/>
        </w:rPr>
        <w:t>指南</w:t>
      </w:r>
      <w:r>
        <w:rPr>
          <w:rStyle w:val="19"/>
          <w:rFonts w:hint="eastAsia" w:ascii="仿宋_GB2312" w:hAnsi="仿宋_GB2312" w:eastAsia="仿宋_GB2312" w:cs="仿宋_GB2312"/>
          <w:color w:val="auto"/>
          <w:sz w:val="32"/>
          <w:szCs w:val="32"/>
          <w:highlight w:val="none"/>
          <w:lang w:val="en-US" w:eastAsia="zh-CN"/>
        </w:rPr>
        <w:t>涉及的“不低于”“不超过”“以上”等数量表述，均包含本数在内。</w:t>
      </w:r>
    </w:p>
    <w:p w14:paraId="263A927A">
      <w:pPr>
        <w:pStyle w:val="17"/>
        <w:ind w:firstLine="0" w:firstLineChars="0"/>
        <w:rPr>
          <w:rFonts w:hint="eastAsia" w:ascii="仿宋_GB2312" w:hAnsi="仿宋_GB2312"/>
          <w:color w:val="auto"/>
          <w:highlight w:val="none"/>
          <w:lang w:eastAsia="zh-CN"/>
        </w:rPr>
      </w:pPr>
    </w:p>
    <w:sectPr>
      <w:headerReference r:id="rId5" w:type="default"/>
      <w:footerReference r:id="rId6" w:type="default"/>
      <w:pgSz w:w="11906" w:h="16838"/>
      <w:pgMar w:top="1814" w:right="1474" w:bottom="1814" w:left="147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DejaVu Sans">
    <w:panose1 w:val="020B0606030804020204"/>
    <w:charset w:val="00"/>
    <w:family w:val="auto"/>
    <w:pitch w:val="default"/>
    <w:sig w:usb0="E7006EFF" w:usb1="D200FDFF" w:usb2="0A246029" w:usb3="0400200C" w:csb0="600001FF" w:csb1="DFFF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47F50">
    <w:pPr>
      <w:widowControl w:val="0"/>
      <w:tabs>
        <w:tab w:val="center" w:pos="4153"/>
        <w:tab w:val="right" w:pos="8306"/>
      </w:tabs>
      <w:snapToGrid w:val="0"/>
      <w:spacing w:line="240" w:lineRule="atLeast"/>
      <w:ind w:firstLine="360" w:firstLineChars="200"/>
      <w:jc w:val="both"/>
      <w:rPr>
        <w:rFonts w:ascii="Times New Roman" w:hAnsi="Times New Roman" w:eastAsia="仿宋" w:cs="仿宋"/>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C06FB1">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BC06FB1">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976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844633"/>
    <w:multiLevelType w:val="multilevel"/>
    <w:tmpl w:val="56844633"/>
    <w:lvl w:ilvl="0" w:tentative="0">
      <w:start w:val="1"/>
      <w:numFmt w:val="decimal"/>
      <w:pStyle w:val="4"/>
      <w:suff w:val="nothing"/>
      <w:lvlText w:val="%1."/>
      <w:lvlJc w:val="left"/>
      <w:pPr>
        <w:ind w:left="1003" w:hanging="360"/>
      </w:pPr>
      <w:rPr>
        <w:rFonts w:hint="default"/>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
    <w:nsid w:val="64BB4F67"/>
    <w:multiLevelType w:val="singleLevel"/>
    <w:tmpl w:val="64BB4F67"/>
    <w:lvl w:ilvl="0" w:tentative="0">
      <w:start w:val="1"/>
      <w:numFmt w:val="chineseCounting"/>
      <w:suff w:val="nothing"/>
      <w:lvlText w:val="%1、"/>
      <w:lvlJc w:val="left"/>
      <w:pPr>
        <w:ind w:left="0" w:firstLine="4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dit="trackedChanges"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A0D5C"/>
    <w:rsid w:val="003B26AD"/>
    <w:rsid w:val="012A09FA"/>
    <w:rsid w:val="02803A46"/>
    <w:rsid w:val="02CB1CF7"/>
    <w:rsid w:val="02DA63DE"/>
    <w:rsid w:val="02E93786"/>
    <w:rsid w:val="032C6A46"/>
    <w:rsid w:val="03B55433"/>
    <w:rsid w:val="04033440"/>
    <w:rsid w:val="04123AB3"/>
    <w:rsid w:val="05036B9E"/>
    <w:rsid w:val="052D305E"/>
    <w:rsid w:val="052E6828"/>
    <w:rsid w:val="06426774"/>
    <w:rsid w:val="06825C75"/>
    <w:rsid w:val="068A4895"/>
    <w:rsid w:val="070F7027"/>
    <w:rsid w:val="08461CA3"/>
    <w:rsid w:val="0A2D6324"/>
    <w:rsid w:val="0A302337"/>
    <w:rsid w:val="0A58254D"/>
    <w:rsid w:val="0A6C5760"/>
    <w:rsid w:val="0B35692F"/>
    <w:rsid w:val="0B4456D1"/>
    <w:rsid w:val="0BAD1FAB"/>
    <w:rsid w:val="0BE1742C"/>
    <w:rsid w:val="0D0E36C4"/>
    <w:rsid w:val="0D1F0CED"/>
    <w:rsid w:val="0E511A57"/>
    <w:rsid w:val="0E913392"/>
    <w:rsid w:val="0F95719B"/>
    <w:rsid w:val="0FE131A1"/>
    <w:rsid w:val="0FED3255"/>
    <w:rsid w:val="10BF0BFF"/>
    <w:rsid w:val="11A73770"/>
    <w:rsid w:val="124226AB"/>
    <w:rsid w:val="126D73E5"/>
    <w:rsid w:val="13A40095"/>
    <w:rsid w:val="14053C83"/>
    <w:rsid w:val="15C958A9"/>
    <w:rsid w:val="160A19AA"/>
    <w:rsid w:val="163D2AB4"/>
    <w:rsid w:val="16DD6486"/>
    <w:rsid w:val="172A2DF8"/>
    <w:rsid w:val="17B005EC"/>
    <w:rsid w:val="18354C7F"/>
    <w:rsid w:val="185533C0"/>
    <w:rsid w:val="187E0EC3"/>
    <w:rsid w:val="18AB1F57"/>
    <w:rsid w:val="190653E0"/>
    <w:rsid w:val="197B53D3"/>
    <w:rsid w:val="1A595627"/>
    <w:rsid w:val="1C210334"/>
    <w:rsid w:val="1C964CCC"/>
    <w:rsid w:val="1CDD09BA"/>
    <w:rsid w:val="1CFC17D2"/>
    <w:rsid w:val="1EBE0883"/>
    <w:rsid w:val="205A510F"/>
    <w:rsid w:val="209827B1"/>
    <w:rsid w:val="20BA48E3"/>
    <w:rsid w:val="21127D99"/>
    <w:rsid w:val="21A5207B"/>
    <w:rsid w:val="22C22819"/>
    <w:rsid w:val="246A3FA3"/>
    <w:rsid w:val="26E72CF4"/>
    <w:rsid w:val="272E1910"/>
    <w:rsid w:val="27BD7BE5"/>
    <w:rsid w:val="2976170C"/>
    <w:rsid w:val="2A104310"/>
    <w:rsid w:val="2A1A1904"/>
    <w:rsid w:val="2A4B3E74"/>
    <w:rsid w:val="2BA068F1"/>
    <w:rsid w:val="2C2A1457"/>
    <w:rsid w:val="2C961EBF"/>
    <w:rsid w:val="2CAE0A32"/>
    <w:rsid w:val="2F0A3862"/>
    <w:rsid w:val="2FFC0AFB"/>
    <w:rsid w:val="302C0287"/>
    <w:rsid w:val="30EE38E6"/>
    <w:rsid w:val="31A95387"/>
    <w:rsid w:val="31B31F93"/>
    <w:rsid w:val="31BF20C5"/>
    <w:rsid w:val="321653A8"/>
    <w:rsid w:val="322E20A6"/>
    <w:rsid w:val="329C19A3"/>
    <w:rsid w:val="32F52701"/>
    <w:rsid w:val="341A4C22"/>
    <w:rsid w:val="347B2CCE"/>
    <w:rsid w:val="352B3694"/>
    <w:rsid w:val="363C0287"/>
    <w:rsid w:val="3654545B"/>
    <w:rsid w:val="36565190"/>
    <w:rsid w:val="366C2500"/>
    <w:rsid w:val="37355261"/>
    <w:rsid w:val="382C7B34"/>
    <w:rsid w:val="387303F9"/>
    <w:rsid w:val="38EF3D95"/>
    <w:rsid w:val="3AE03440"/>
    <w:rsid w:val="3B0E3D0E"/>
    <w:rsid w:val="3BFC17F2"/>
    <w:rsid w:val="3C0C0B0D"/>
    <w:rsid w:val="3C35FE2C"/>
    <w:rsid w:val="3CFD6976"/>
    <w:rsid w:val="3D4A73E3"/>
    <w:rsid w:val="3D5D42F6"/>
    <w:rsid w:val="3DAF2F73"/>
    <w:rsid w:val="3DB808BA"/>
    <w:rsid w:val="3E4FC7F4"/>
    <w:rsid w:val="3FABC212"/>
    <w:rsid w:val="3FAC643B"/>
    <w:rsid w:val="3FF950AC"/>
    <w:rsid w:val="407A2ECB"/>
    <w:rsid w:val="410B0D5A"/>
    <w:rsid w:val="418D6C3A"/>
    <w:rsid w:val="423806ED"/>
    <w:rsid w:val="428230B1"/>
    <w:rsid w:val="437A5877"/>
    <w:rsid w:val="43BB3CEC"/>
    <w:rsid w:val="4412784D"/>
    <w:rsid w:val="44A91A1A"/>
    <w:rsid w:val="44D052C5"/>
    <w:rsid w:val="45D7F006"/>
    <w:rsid w:val="46A70EF9"/>
    <w:rsid w:val="46AE1F3D"/>
    <w:rsid w:val="473C23B2"/>
    <w:rsid w:val="4743523B"/>
    <w:rsid w:val="474450E0"/>
    <w:rsid w:val="47781E40"/>
    <w:rsid w:val="48541414"/>
    <w:rsid w:val="4900762E"/>
    <w:rsid w:val="4A6B0082"/>
    <w:rsid w:val="4AB56AE2"/>
    <w:rsid w:val="4B0038EE"/>
    <w:rsid w:val="4B6E7935"/>
    <w:rsid w:val="4C7C4174"/>
    <w:rsid w:val="4DF504FF"/>
    <w:rsid w:val="4E7E74BD"/>
    <w:rsid w:val="4E805B64"/>
    <w:rsid w:val="4F214F20"/>
    <w:rsid w:val="4F9660BB"/>
    <w:rsid w:val="4FB87893"/>
    <w:rsid w:val="4FC2745B"/>
    <w:rsid w:val="500B1C9B"/>
    <w:rsid w:val="50642A2E"/>
    <w:rsid w:val="509A0D5C"/>
    <w:rsid w:val="50CB0BE4"/>
    <w:rsid w:val="51A47BE3"/>
    <w:rsid w:val="52252BFC"/>
    <w:rsid w:val="52A362AC"/>
    <w:rsid w:val="543117F2"/>
    <w:rsid w:val="54D06548"/>
    <w:rsid w:val="54E753F5"/>
    <w:rsid w:val="55E8634D"/>
    <w:rsid w:val="56074C5D"/>
    <w:rsid w:val="563F7F48"/>
    <w:rsid w:val="56F7427F"/>
    <w:rsid w:val="575C572B"/>
    <w:rsid w:val="5779221D"/>
    <w:rsid w:val="584C4C5F"/>
    <w:rsid w:val="589B5008"/>
    <w:rsid w:val="58A326D8"/>
    <w:rsid w:val="59466376"/>
    <w:rsid w:val="5AE03675"/>
    <w:rsid w:val="5BF51433"/>
    <w:rsid w:val="5D3A2B61"/>
    <w:rsid w:val="5DF363C1"/>
    <w:rsid w:val="5E7F4C2B"/>
    <w:rsid w:val="5F23F087"/>
    <w:rsid w:val="5F6568F7"/>
    <w:rsid w:val="5FFF8D5C"/>
    <w:rsid w:val="60C802BC"/>
    <w:rsid w:val="610E0E32"/>
    <w:rsid w:val="61DE0EB4"/>
    <w:rsid w:val="623151CA"/>
    <w:rsid w:val="625059B8"/>
    <w:rsid w:val="62FE10F2"/>
    <w:rsid w:val="6393434F"/>
    <w:rsid w:val="63A419D8"/>
    <w:rsid w:val="64D37E08"/>
    <w:rsid w:val="64DB7056"/>
    <w:rsid w:val="65FD25F5"/>
    <w:rsid w:val="66982F4F"/>
    <w:rsid w:val="66C07C02"/>
    <w:rsid w:val="66F0546D"/>
    <w:rsid w:val="67486004"/>
    <w:rsid w:val="67DB1C97"/>
    <w:rsid w:val="6888651F"/>
    <w:rsid w:val="6894168D"/>
    <w:rsid w:val="68EB6152"/>
    <w:rsid w:val="69B52798"/>
    <w:rsid w:val="6A7451AD"/>
    <w:rsid w:val="6AC14C27"/>
    <w:rsid w:val="6BC41409"/>
    <w:rsid w:val="6C030E4B"/>
    <w:rsid w:val="6C5C62E3"/>
    <w:rsid w:val="6CAB30BC"/>
    <w:rsid w:val="6CED51AD"/>
    <w:rsid w:val="6D042BC1"/>
    <w:rsid w:val="6E365A3C"/>
    <w:rsid w:val="6FCC3E6E"/>
    <w:rsid w:val="6FEFB7EB"/>
    <w:rsid w:val="6FFE2A5E"/>
    <w:rsid w:val="71D6011D"/>
    <w:rsid w:val="72694444"/>
    <w:rsid w:val="72AF14FA"/>
    <w:rsid w:val="73A0155B"/>
    <w:rsid w:val="73DF2968"/>
    <w:rsid w:val="73FDC8C0"/>
    <w:rsid w:val="74F90479"/>
    <w:rsid w:val="750C1C31"/>
    <w:rsid w:val="75B717BE"/>
    <w:rsid w:val="75DACFB4"/>
    <w:rsid w:val="7625601A"/>
    <w:rsid w:val="764053D0"/>
    <w:rsid w:val="77BF249E"/>
    <w:rsid w:val="77F42DC5"/>
    <w:rsid w:val="78D33F7B"/>
    <w:rsid w:val="798E36E0"/>
    <w:rsid w:val="7BDF157F"/>
    <w:rsid w:val="7C1A6A34"/>
    <w:rsid w:val="7CBD213A"/>
    <w:rsid w:val="7CBE4AD3"/>
    <w:rsid w:val="7CC4499D"/>
    <w:rsid w:val="7D1C7CE5"/>
    <w:rsid w:val="7D63EB3B"/>
    <w:rsid w:val="7D7A7B24"/>
    <w:rsid w:val="7E7E0B91"/>
    <w:rsid w:val="7ECB7E26"/>
    <w:rsid w:val="7F363046"/>
    <w:rsid w:val="7F7FF29C"/>
    <w:rsid w:val="7FEEB544"/>
    <w:rsid w:val="8EFFBC18"/>
    <w:rsid w:val="BEAA2D1E"/>
    <w:rsid w:val="CFF3ED16"/>
    <w:rsid w:val="E27FAC0E"/>
    <w:rsid w:val="E7A2F884"/>
    <w:rsid w:val="EFEE286F"/>
    <w:rsid w:val="F2FFD4DB"/>
    <w:rsid w:val="F7F218B1"/>
    <w:rsid w:val="F94D465B"/>
    <w:rsid w:val="F96B78CC"/>
    <w:rsid w:val="FBB93E9C"/>
    <w:rsid w:val="FBF77C20"/>
    <w:rsid w:val="FFB91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after="0" w:line="560" w:lineRule="exact"/>
      <w:ind w:firstLine="640" w:firstLineChars="200"/>
      <w:jc w:val="both"/>
    </w:pPr>
    <w:rPr>
      <w:rFonts w:ascii="仿宋_GB2312" w:hAnsi="仿宋_GB2312" w:eastAsia="仿宋_GB2312" w:cs="仿宋"/>
      <w:color w:val="000000" w:themeColor="text1"/>
      <w:kern w:val="2"/>
      <w:sz w:val="32"/>
      <w:szCs w:val="22"/>
      <w:lang w:val="en-US" w:eastAsia="zh-CN" w:bidi="ar-SA"/>
      <w14:textFill>
        <w14:solidFill>
          <w14:schemeClr w14:val="tx1"/>
        </w14:solidFill>
      </w14:textFill>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sz w:val="44"/>
    </w:rPr>
  </w:style>
  <w:style w:type="paragraph" w:styleId="3">
    <w:name w:val="heading 2"/>
    <w:basedOn w:val="1"/>
    <w:next w:val="1"/>
    <w:unhideWhenUsed/>
    <w:qFormat/>
    <w:uiPriority w:val="9"/>
    <w:pPr>
      <w:keepNext/>
      <w:keepLines/>
      <w:outlineLvl w:val="1"/>
    </w:pPr>
    <w:rPr>
      <w:rFonts w:ascii="楷体" w:hAnsi="楷体" w:eastAsia="黑体" w:cstheme="majorBidi"/>
      <w:bCs/>
      <w:szCs w:val="32"/>
    </w:rPr>
  </w:style>
  <w:style w:type="paragraph" w:styleId="4">
    <w:name w:val="heading 3"/>
    <w:basedOn w:val="1"/>
    <w:next w:val="1"/>
    <w:unhideWhenUsed/>
    <w:qFormat/>
    <w:uiPriority w:val="9"/>
    <w:pPr>
      <w:keepNext/>
      <w:keepLines/>
      <w:numPr>
        <w:ilvl w:val="0"/>
        <w:numId w:val="1"/>
      </w:numPr>
      <w:adjustRightInd w:val="0"/>
      <w:ind w:left="0"/>
      <w:outlineLvl w:val="2"/>
    </w:pPr>
    <w:rPr>
      <w:rFonts w:ascii="Arial" w:hAnsi="Arial" w:eastAsia="楷体_GB2312"/>
      <w:bCs/>
      <w:szCs w:val="32"/>
    </w:rPr>
  </w:style>
  <w:style w:type="paragraph" w:styleId="5">
    <w:name w:val="heading 4"/>
    <w:basedOn w:val="1"/>
    <w:next w:val="1"/>
    <w:unhideWhenUsed/>
    <w:qFormat/>
    <w:uiPriority w:val="9"/>
    <w:pPr>
      <w:keepNext/>
      <w:keepLines/>
      <w:ind w:firstLine="643"/>
      <w:outlineLvl w:val="3"/>
    </w:pPr>
    <w:rPr>
      <w:rFonts w:eastAsia="仿宋_GB2312"/>
    </w:rPr>
  </w:style>
  <w:style w:type="paragraph" w:styleId="6">
    <w:name w:val="heading 5"/>
    <w:basedOn w:val="1"/>
    <w:next w:val="1"/>
    <w:unhideWhenUsed/>
    <w:qFormat/>
    <w:uiPriority w:val="0"/>
    <w:pPr>
      <w:keepNext/>
      <w:keepLines/>
      <w:spacing w:beforeLines="0" w:beforeAutospacing="0" w:afterLines="0" w:afterAutospacing="0" w:line="560" w:lineRule="exact"/>
      <w:outlineLvl w:val="4"/>
    </w:pPr>
    <w:rPr>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99"/>
    <w:pPr>
      <w:ind w:firstLine="0" w:firstLineChars="0"/>
      <w:jc w:val="left"/>
    </w:pPr>
    <w:rPr>
      <w:sz w:val="24"/>
    </w:rPr>
  </w:style>
  <w:style w:type="paragraph" w:styleId="8">
    <w:name w:val="Body Text"/>
    <w:basedOn w:val="1"/>
    <w:next w:val="1"/>
    <w:qFormat/>
    <w:uiPriority w:val="0"/>
    <w:pPr>
      <w:spacing w:after="120"/>
    </w:pPr>
    <w:rPr>
      <w:rFonts w:ascii="Times New Roman" w:hAnsi="Times New Roman" w:eastAsia="宋体" w:cs="Times New Roman"/>
    </w:rPr>
  </w:style>
  <w:style w:type="paragraph" w:styleId="9">
    <w:name w:val="Body Text Indent"/>
    <w:basedOn w:val="1"/>
    <w:qFormat/>
    <w:uiPriority w:val="99"/>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footnote text"/>
    <w:basedOn w:val="1"/>
    <w:unhideWhenUsed/>
    <w:qFormat/>
    <w:uiPriority w:val="99"/>
    <w:pPr>
      <w:snapToGrid w:val="0"/>
      <w:spacing w:line="240" w:lineRule="auto"/>
      <w:ind w:firstLine="360"/>
    </w:pPr>
    <w:rPr>
      <w:sz w:val="18"/>
      <w:szCs w:val="18"/>
    </w:rPr>
  </w:style>
  <w:style w:type="paragraph" w:styleId="14">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15">
    <w:name w:val="Title"/>
    <w:qFormat/>
    <w:uiPriority w:val="0"/>
    <w:pPr>
      <w:widowControl w:val="0"/>
      <w:bidi w:val="0"/>
      <w:spacing w:before="240" w:beforeLines="0" w:beforeAutospacing="0" w:after="60" w:afterLines="0" w:afterAutospacing="0" w:line="560" w:lineRule="exact"/>
      <w:ind w:firstLine="640" w:firstLineChars="200"/>
      <w:jc w:val="center"/>
      <w:outlineLvl w:val="0"/>
    </w:pPr>
    <w:rPr>
      <w:rFonts w:ascii="Arial" w:hAnsi="Arial" w:eastAsia="仿宋_GB2312" w:cs="仿宋"/>
      <w:b/>
      <w:color w:val="000000" w:themeColor="text1"/>
      <w:kern w:val="2"/>
      <w:sz w:val="32"/>
      <w:szCs w:val="22"/>
      <w:lang w:val="en-US" w:eastAsia="zh-CN" w:bidi="ar-SA"/>
      <w14:textFill>
        <w14:solidFill>
          <w14:schemeClr w14:val="tx1"/>
        </w14:solidFill>
      </w14:textFill>
    </w:rPr>
  </w:style>
  <w:style w:type="paragraph" w:styleId="16">
    <w:name w:val="Body Text First Indent"/>
    <w:basedOn w:val="8"/>
    <w:next w:val="1"/>
    <w:qFormat/>
    <w:uiPriority w:val="99"/>
    <w:pPr>
      <w:ind w:firstLine="420" w:firstLineChars="100"/>
    </w:pPr>
  </w:style>
  <w:style w:type="paragraph" w:styleId="17">
    <w:name w:val="Body Text First Indent 2"/>
    <w:basedOn w:val="9"/>
    <w:qFormat/>
    <w:uiPriority w:val="99"/>
    <w:pPr>
      <w:adjustRightInd w:val="0"/>
      <w:spacing w:after="0"/>
      <w:ind w:left="0" w:leftChars="0" w:firstLine="1040"/>
    </w:pPr>
    <w:rPr>
      <w:rFonts w:ascii="黑体" w:hAnsi="黑体" w:cs="Times New Roman"/>
      <w:bCs/>
      <w:kern w:val="0"/>
      <w:szCs w:val="24"/>
    </w:rPr>
  </w:style>
  <w:style w:type="character" w:styleId="20">
    <w:name w:val="Strong"/>
    <w:basedOn w:val="19"/>
    <w:qFormat/>
    <w:uiPriority w:val="0"/>
    <w:rPr>
      <w:b/>
    </w:rPr>
  </w:style>
  <w:style w:type="character" w:styleId="21">
    <w:name w:val="footnote reference"/>
    <w:basedOn w:val="19"/>
    <w:unhideWhenUsed/>
    <w:qFormat/>
    <w:uiPriority w:val="99"/>
    <w:rPr>
      <w:vertAlign w:val="superscript"/>
    </w:rPr>
  </w:style>
  <w:style w:type="paragraph" w:customStyle="1" w:styleId="22">
    <w:name w:val="chart heading"/>
    <w:basedOn w:val="1"/>
    <w:qFormat/>
    <w:uiPriority w:val="0"/>
    <w:pPr>
      <w:spacing w:before="120" w:after="120"/>
      <w:jc w:val="center"/>
    </w:pPr>
    <w:rPr>
      <w:b/>
      <w:bCs/>
      <w:sz w:val="24"/>
      <w:szCs w:val="24"/>
    </w:rPr>
  </w:style>
  <w:style w:type="paragraph" w:customStyle="1" w:styleId="23">
    <w:name w:val="样式2"/>
    <w:basedOn w:val="15"/>
    <w:qFormat/>
    <w:uiPriority w:val="0"/>
    <w:pPr>
      <w:ind w:firstLine="0" w:firstLineChars="0"/>
    </w:pPr>
    <w:rPr>
      <w:rFonts w:ascii="方正小标宋简体" w:hAnsi="方正小标宋简体" w:eastAsia="方正小标宋简体" w:cs="方正小标宋简体"/>
      <w:b w:val="0"/>
      <w:sz w:val="44"/>
      <w:szCs w:val="44"/>
    </w:rPr>
  </w:style>
  <w:style w:type="table" w:customStyle="1" w:styleId="24">
    <w:name w:val="Grid Table 4 - Accent 61"/>
    <w:qFormat/>
    <w:uiPriority w:val="49"/>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character" w:customStyle="1" w:styleId="25">
    <w:name w:val="font41"/>
    <w:qFormat/>
    <w:uiPriority w:val="0"/>
    <w:rPr>
      <w:rFonts w:hint="eastAsia" w:ascii="仿宋_GB2312" w:eastAsia="仿宋_GB2312" w:cs="仿宋_GB2312"/>
      <w:color w:val="ED7D31"/>
      <w:sz w:val="28"/>
      <w:szCs w:val="28"/>
      <w:u w:val="none"/>
    </w:rPr>
  </w:style>
  <w:style w:type="character" w:customStyle="1" w:styleId="26">
    <w:name w:val="font21"/>
    <w:qFormat/>
    <w:uiPriority w:val="0"/>
    <w:rPr>
      <w:rFonts w:hint="eastAsia" w:ascii="仿宋_GB2312" w:eastAsia="仿宋_GB2312" w:cs="仿宋_GB2312"/>
      <w:color w:val="000000"/>
      <w:sz w:val="28"/>
      <w:szCs w:val="28"/>
      <w:u w:val="none"/>
    </w:rPr>
  </w:style>
  <w:style w:type="character" w:customStyle="1" w:styleId="27">
    <w:name w:val="font51"/>
    <w:qFormat/>
    <w:uiPriority w:val="0"/>
    <w:rPr>
      <w:rFonts w:ascii="方正书宋_GBK" w:hAnsi="方正书宋_GBK" w:eastAsia="方正书宋_GBK" w:cs="方正书宋_GBK"/>
      <w:color w:val="000000"/>
      <w:sz w:val="28"/>
      <w:szCs w:val="28"/>
      <w:u w:val="none"/>
    </w:rPr>
  </w:style>
  <w:style w:type="character" w:customStyle="1" w:styleId="28">
    <w:name w:val="font61"/>
    <w:qFormat/>
    <w:uiPriority w:val="0"/>
    <w:rPr>
      <w:rFonts w:hint="eastAsia" w:ascii="宋体" w:hAnsi="宋体" w:eastAsia="宋体" w:cs="宋体"/>
      <w:color w:val="000000"/>
      <w:sz w:val="28"/>
      <w:szCs w:val="28"/>
      <w:u w:val="none"/>
    </w:rPr>
  </w:style>
  <w:style w:type="paragraph" w:customStyle="1" w:styleId="2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font71"/>
    <w:qFormat/>
    <w:uiPriority w:val="0"/>
    <w:rPr>
      <w:rFonts w:hint="eastAsia" w:ascii="仿宋_GB2312" w:eastAsia="仿宋_GB2312" w:cs="仿宋_GB2312"/>
      <w:color w:val="333333"/>
      <w:sz w:val="28"/>
      <w:szCs w:val="28"/>
      <w:u w:val="none"/>
    </w:rPr>
  </w:style>
  <w:style w:type="character" w:customStyle="1" w:styleId="31">
    <w:name w:val="font81"/>
    <w:qFormat/>
    <w:uiPriority w:val="0"/>
    <w:rPr>
      <w:rFonts w:hint="default" w:ascii="Times New Roman" w:hAnsi="Times New Roman" w:cs="Times New Roman"/>
      <w:color w:val="333333"/>
      <w:sz w:val="28"/>
      <w:szCs w:val="28"/>
      <w:u w:val="none"/>
    </w:rPr>
  </w:style>
  <w:style w:type="character" w:customStyle="1" w:styleId="32">
    <w:name w:val="font91"/>
    <w:qFormat/>
    <w:uiPriority w:val="0"/>
    <w:rPr>
      <w:rFonts w:hint="eastAsia" w:ascii="宋体" w:hAnsi="宋体" w:eastAsia="宋体" w:cs="宋体"/>
      <w:color w:val="333333"/>
      <w:sz w:val="28"/>
      <w:szCs w:val="28"/>
      <w:u w:val="none"/>
    </w:rPr>
  </w:style>
  <w:style w:type="character" w:customStyle="1" w:styleId="33">
    <w:name w:val="font11"/>
    <w:qFormat/>
    <w:uiPriority w:val="0"/>
    <w:rPr>
      <w:rFonts w:hint="eastAsia" w:ascii="仿宋_GB2312" w:eastAsia="仿宋_GB2312" w:cs="仿宋_GB2312"/>
      <w:color w:val="000000"/>
      <w:sz w:val="28"/>
      <w:szCs w:val="28"/>
      <w:u w:val="none"/>
    </w:rPr>
  </w:style>
  <w:style w:type="character" w:customStyle="1" w:styleId="34">
    <w:name w:val="font101"/>
    <w:qFormat/>
    <w:uiPriority w:val="0"/>
    <w:rPr>
      <w:rFonts w:hint="eastAsia" w:ascii="仿宋_GB2312" w:eastAsia="仿宋_GB2312" w:cs="仿宋_GB2312"/>
      <w:color w:val="000000"/>
      <w:sz w:val="28"/>
      <w:szCs w:val="28"/>
      <w:u w:val="none"/>
    </w:rPr>
  </w:style>
  <w:style w:type="paragraph" w:customStyle="1" w:styleId="35">
    <w:name w:val="文件正文"/>
    <w:basedOn w:val="10"/>
    <w:qFormat/>
    <w:uiPriority w:val="2"/>
    <w:pPr>
      <w:spacing w:line="560" w:lineRule="exact"/>
      <w:ind w:firstLine="622" w:firstLineChars="200"/>
    </w:pPr>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5967</Words>
  <Characters>6211</Characters>
  <Lines>0</Lines>
  <Paragraphs>0</Paragraphs>
  <TotalTime>0</TotalTime>
  <ScaleCrop>false</ScaleCrop>
  <LinksUpToDate>false</LinksUpToDate>
  <CharactersWithSpaces>6227</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2025-07-07T18:47:00Z</dcterms:created>
  <dc:creator>黄佩琳</dc:creator>
  <cp:lastModifiedBy>吴佩庭</cp:lastModifiedBy>
  <cp:lastPrinted>2026-03-17T22:46:00Z</cp:lastPrinted>
  <dcterms:modified xsi:type="dcterms:W3CDTF">2026-06-23T10:29:05Z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18EBFC2A2A144A7B81107828AC4A451B_13</vt:lpwstr>
  </property>
  <property fmtid="{D5CDD505-2E9C-101B-9397-08002B2CF9AE}" pid="4" name="KSOTemplateDocerSaveRecord">
    <vt:lpwstr>eyJoZGlkIjoiY2NiNzc0ZWE4MzBjY2JmMGYyMmY4NjkxNmNhZGJlNDUiLCJ1c2VySWQiOiI4NzUyMjIyNTQifQ==</vt:lpwstr>
  </property>
</Properties>
</file>