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F8C7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bookmarkStart w:id="0" w:name="_Toc5810"/>
      <w:bookmarkStart w:id="1" w:name="_Toc13216"/>
      <w:bookmarkStart w:id="2" w:name="_Toc32562"/>
      <w:bookmarkStart w:id="3" w:name="_Toc125127182"/>
      <w:r>
        <w:rPr>
          <w:rFonts w:hint="eastAsia" w:ascii="黑体" w:hAnsi="黑体" w:eastAsia="黑体" w:cs="黑体"/>
          <w:color w:val="auto"/>
          <w:sz w:val="32"/>
          <w:szCs w:val="32"/>
          <w:highlight w:val="none"/>
          <w:lang w:val="en-US" w:eastAsia="zh-CN"/>
        </w:rPr>
        <w:t>附件</w:t>
      </w:r>
      <w:r>
        <w:rPr>
          <w:rFonts w:hint="default" w:ascii="黑体" w:hAnsi="黑体" w:eastAsia="黑体" w:cs="黑体"/>
          <w:color w:val="auto"/>
          <w:sz w:val="32"/>
          <w:szCs w:val="32"/>
          <w:highlight w:val="none"/>
          <w:lang w:val="en-US" w:eastAsia="zh-CN"/>
        </w:rPr>
        <w:t>6</w:t>
      </w:r>
    </w:p>
    <w:p w14:paraId="5BE438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eastAsia="zh-CN"/>
        </w:rPr>
      </w:pPr>
    </w:p>
    <w:bookmarkEnd w:id="0"/>
    <w:bookmarkEnd w:id="1"/>
    <w:bookmarkEnd w:id="2"/>
    <w:bookmarkEnd w:id="3"/>
    <w:p w14:paraId="67C98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深圳市2026年中央资金消费新业态新模式新场景试点（支持优质消费资源与知名IP跨界联名—“人工智能+消费”标杆场景资助项目）申报指南</w:t>
      </w:r>
    </w:p>
    <w:p w14:paraId="7D1A7A0D">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14:paraId="5496B437">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14:paraId="61C4C789">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促进人工智能等技术赋能消费场景，通过智能算法、大数据分析与先进硬件技术的融合应用，打造直接面向消费者的“人工智能+消费”标杆场景。</w:t>
      </w:r>
    </w:p>
    <w:p w14:paraId="4A83B80B">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15437"/>
      <w:bookmarkStart w:id="7" w:name="_Toc8852"/>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14:paraId="5604202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14:paraId="21B1EBAA">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14:paraId="1088A1F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14:paraId="2773C80C">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14:paraId="62818E16">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14:paraId="7DCB9863">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14:paraId="68425D45">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14:paraId="46A6757E">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14:paraId="1AAEDF31">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14:paraId="71C94692">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14:paraId="61DE1AF2">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14:paraId="083FFC9C">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14:paraId="5906C666">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14:paraId="2535A8E0">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14:paraId="22CF84E2">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14:paraId="7155EE8F">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14:paraId="2D162636">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074DC810">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14:paraId="4714F346">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14:paraId="2A548A56">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14:paraId="10E3C098">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14:paraId="21343D70">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14:paraId="5D8F0036">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申报项目须符合以下任一类型对应的全部专项条件：</w:t>
      </w:r>
    </w:p>
    <w:p w14:paraId="7AFC65C6">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业务覆盖5个及以上区（</w:t>
      </w:r>
      <w:r>
        <w:rPr>
          <w:rFonts w:hint="eastAsia"/>
          <w:color w:val="auto"/>
          <w:highlight w:val="none"/>
          <w:lang w:val="en-US" w:eastAsia="zh-CN"/>
        </w:rPr>
        <w:t>区是</w:t>
      </w:r>
      <w:r>
        <w:rPr>
          <w:rFonts w:hint="default"/>
          <w:color w:val="auto"/>
          <w:highlight w:val="none"/>
          <w:lang w:val="en-US" w:eastAsia="zh-CN"/>
        </w:rPr>
        <w:t>指各区及前海合作区、深汕特别合作区等12个区</w:t>
      </w:r>
      <w:r>
        <w:rPr>
          <w:rFonts w:hint="eastAsia"/>
          <w:color w:val="auto"/>
          <w:highlight w:val="none"/>
          <w:lang w:val="en-US" w:eastAsia="zh-CN"/>
        </w:rPr>
        <w:t>，下同</w:t>
      </w:r>
      <w:r>
        <w:rPr>
          <w:rFonts w:hint="default"/>
          <w:color w:val="auto"/>
          <w:highlight w:val="none"/>
          <w:lang w:val="en-US" w:eastAsia="zh-CN"/>
        </w:rPr>
        <w:t>）</w:t>
      </w:r>
    </w:p>
    <w:p w14:paraId="730D83E0">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（1）申报项目为运用人工智能技术赋能服务业态的创新消费场景；</w:t>
      </w:r>
    </w:p>
    <w:p w14:paraId="16E85A74">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（2）项目</w:t>
      </w:r>
      <w:r>
        <w:rPr>
          <w:rFonts w:hint="default"/>
          <w:color w:val="auto"/>
          <w:highlight w:val="none"/>
          <w:lang w:val="en-US" w:eastAsia="zh-CN"/>
        </w:rPr>
        <w:t>业务</w:t>
      </w:r>
      <w:r>
        <w:rPr>
          <w:rFonts w:hint="eastAsia"/>
          <w:color w:val="auto"/>
          <w:highlight w:val="none"/>
          <w:lang w:val="en-US" w:eastAsia="zh-CN"/>
        </w:rPr>
        <w:t>须</w:t>
      </w:r>
      <w:r>
        <w:rPr>
          <w:rFonts w:hint="default"/>
          <w:color w:val="auto"/>
          <w:highlight w:val="none"/>
          <w:lang w:val="en-US" w:eastAsia="zh-CN"/>
        </w:rPr>
        <w:t>覆盖</w:t>
      </w:r>
      <w:r>
        <w:rPr>
          <w:rFonts w:hint="eastAsia"/>
          <w:color w:val="auto"/>
          <w:highlight w:val="none"/>
          <w:lang w:val="en-US" w:eastAsia="zh-CN"/>
        </w:rPr>
        <w:t>深圳市</w:t>
      </w:r>
      <w:r>
        <w:rPr>
          <w:rFonts w:hint="default"/>
          <w:color w:val="auto"/>
          <w:highlight w:val="none"/>
          <w:lang w:val="en-US" w:eastAsia="zh-CN"/>
        </w:rPr>
        <w:t>5个及以上</w:t>
      </w:r>
      <w:r>
        <w:rPr>
          <w:rFonts w:hint="eastAsia"/>
          <w:color w:val="auto"/>
          <w:highlight w:val="none"/>
          <w:lang w:val="en-US" w:eastAsia="zh-CN"/>
        </w:rPr>
        <w:t>区；</w:t>
      </w:r>
    </w:p>
    <w:p w14:paraId="613D1FCB">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提供服务次数不低于5万次（统计周期为2025年</w:t>
      </w:r>
      <w:r>
        <w:rPr>
          <w:rFonts w:hint="eastAsia"/>
          <w:color w:val="auto"/>
          <w:highlight w:val="none"/>
          <w:lang w:val="en-US" w:eastAsia="zh-CN"/>
        </w:rPr>
        <w:t>9</w:t>
      </w:r>
      <w:r>
        <w:rPr>
          <w:rFonts w:hint="default"/>
          <w:color w:val="auto"/>
          <w:highlight w:val="none"/>
          <w:lang w:val="en-US" w:eastAsia="zh-CN"/>
        </w:rPr>
        <w:t>月</w:t>
      </w:r>
      <w:r>
        <w:rPr>
          <w:rFonts w:hint="eastAsia"/>
          <w:color w:val="auto"/>
          <w:highlight w:val="none"/>
          <w:lang w:val="en-US" w:eastAsia="zh-CN"/>
        </w:rPr>
        <w:t>30</w:t>
      </w:r>
      <w:r>
        <w:rPr>
          <w:rFonts w:hint="default"/>
          <w:color w:val="auto"/>
          <w:highlight w:val="none"/>
          <w:lang w:val="en-US" w:eastAsia="zh-CN"/>
        </w:rPr>
        <w:t>日至申报</w:t>
      </w:r>
      <w:r>
        <w:rPr>
          <w:rFonts w:hint="eastAsia"/>
          <w:color w:val="auto"/>
          <w:highlight w:val="none"/>
          <w:lang w:val="en-US" w:eastAsia="zh-CN"/>
        </w:rPr>
        <w:t>日前）；</w:t>
      </w:r>
    </w:p>
    <w:p w14:paraId="4C125C57">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ascii="仿宋_GB2312" w:eastAsia="仿宋_GB2312"/>
          <w:color w:val="auto"/>
          <w:highlight w:val="none"/>
          <w:lang w:val="en-US" w:eastAsia="zh-CN"/>
        </w:rPr>
      </w:pPr>
      <w:r>
        <w:rPr>
          <w:rFonts w:hint="eastAsia"/>
          <w:color w:val="auto"/>
          <w:highlight w:val="none"/>
          <w:lang w:val="en-US" w:eastAsia="zh-CN"/>
        </w:rPr>
        <w:t>（4）</w:t>
      </w:r>
      <w:r>
        <w:rPr>
          <w:rFonts w:hint="eastAsia" w:ascii="仿宋_GB2312" w:eastAsia="仿宋_GB2312"/>
          <w:color w:val="auto"/>
          <w:highlight w:val="none"/>
          <w:lang w:val="en-US" w:eastAsia="zh-CN"/>
        </w:rPr>
        <w:t>每个区支持项目不超过1个，</w:t>
      </w:r>
      <w:r>
        <w:rPr>
          <w:rFonts w:hint="eastAsia"/>
          <w:color w:val="auto"/>
          <w:highlight w:val="none"/>
          <w:lang w:val="en-US" w:eastAsia="zh-CN"/>
        </w:rPr>
        <w:t>评分表评分排名第1</w:t>
      </w:r>
      <w:r>
        <w:rPr>
          <w:rFonts w:hint="eastAsia" w:ascii="仿宋_GB2312" w:eastAsia="仿宋_GB2312"/>
          <w:color w:val="auto"/>
          <w:highlight w:val="none"/>
          <w:lang w:val="en-US" w:eastAsia="zh-CN"/>
        </w:rPr>
        <w:t>（评分表详见附录）</w:t>
      </w:r>
      <w:r>
        <w:rPr>
          <w:rFonts w:hint="eastAsia"/>
          <w:color w:val="auto"/>
          <w:highlight w:val="none"/>
          <w:lang w:val="en-US" w:eastAsia="zh-CN"/>
        </w:rPr>
        <w:t>；</w:t>
      </w:r>
    </w:p>
    <w:p w14:paraId="33219FBA">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（5）“人工智能+”板块须为面向消费者直接提供的付费内容。</w:t>
      </w:r>
    </w:p>
    <w:p w14:paraId="4A138DA8">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业务聚焦特定区域落地</w:t>
      </w:r>
    </w:p>
    <w:p w14:paraId="32A679AE">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（1）申报项目为运用人工智能技术赋能服务业态的创新消费场景；</w:t>
      </w:r>
    </w:p>
    <w:p w14:paraId="46B28632">
      <w:pPr>
        <w:keepNext w:val="0"/>
        <w:keepLines w:val="0"/>
        <w:pageBreakBefore w:val="0"/>
        <w:widowControl w:val="0"/>
        <w:kinsoku/>
        <w:wordWrap/>
        <w:overflowPunct/>
        <w:topLinePunct w:val="0"/>
        <w:autoSpaceDE/>
        <w:autoSpaceDN/>
        <w:bidi w:val="0"/>
        <w:adjustRightInd/>
        <w:snapToGrid/>
        <w:spacing w:before="0" w:after="0"/>
        <w:ind w:left="198" w:leftChars="62" w:firstLine="320" w:firstLineChars="100"/>
        <w:textAlignment w:val="auto"/>
        <w:rPr>
          <w:rFonts w:hint="eastAsia"/>
          <w:color w:val="auto"/>
          <w:highlight w:val="none"/>
          <w:lang w:val="en-US" w:eastAsia="zh-CN"/>
        </w:rPr>
      </w:pPr>
      <w:r>
        <w:rPr>
          <w:rFonts w:hint="eastAsia"/>
          <w:color w:val="auto"/>
          <w:highlight w:val="none"/>
          <w:lang w:val="en-US" w:eastAsia="zh-CN"/>
        </w:rPr>
        <w:t>（2）项目业务须聚焦在特定区域落地并实现常态化运营；</w:t>
      </w:r>
    </w:p>
    <w:p w14:paraId="2714E4AE">
      <w:pPr>
        <w:keepNext w:val="0"/>
        <w:keepLines w:val="0"/>
        <w:pageBreakBefore w:val="0"/>
        <w:widowControl w:val="0"/>
        <w:kinsoku/>
        <w:wordWrap/>
        <w:overflowPunct/>
        <w:topLinePunct w:val="0"/>
        <w:autoSpaceDE/>
        <w:autoSpaceDN/>
        <w:bidi w:val="0"/>
        <w:adjustRightInd/>
        <w:snapToGrid/>
        <w:spacing w:before="0" w:after="0"/>
        <w:ind w:left="198" w:leftChars="62" w:firstLine="320" w:firstLineChars="100"/>
        <w:textAlignment w:val="auto"/>
        <w:rPr>
          <w:rFonts w:hint="eastAsia" w:ascii="仿宋_GB2312" w:eastAsia="仿宋_GB2312"/>
          <w:color w:val="auto"/>
          <w:highlight w:val="none"/>
          <w:lang w:val="en-US" w:eastAsia="zh-CN"/>
        </w:rPr>
      </w:pPr>
      <w:r>
        <w:rPr>
          <w:rFonts w:hint="eastAsia"/>
          <w:color w:val="auto"/>
          <w:highlight w:val="none"/>
          <w:lang w:val="en-US" w:eastAsia="zh-CN"/>
        </w:rPr>
        <w:t>（3）</w:t>
      </w:r>
      <w:r>
        <w:rPr>
          <w:rFonts w:hint="eastAsia" w:ascii="仿宋_GB2312" w:eastAsia="仿宋_GB2312"/>
          <w:color w:val="auto"/>
          <w:highlight w:val="none"/>
          <w:lang w:val="en-US" w:eastAsia="zh-CN"/>
        </w:rPr>
        <w:t>每个区资助项目不超过3个</w:t>
      </w:r>
      <w:r>
        <w:rPr>
          <w:rFonts w:hint="eastAsia"/>
          <w:color w:val="auto"/>
          <w:highlight w:val="none"/>
          <w:lang w:val="en-US" w:eastAsia="zh-CN"/>
        </w:rPr>
        <w:t>，按评分表评分排序、累计计算</w:t>
      </w:r>
      <w:r>
        <w:rPr>
          <w:rFonts w:hint="eastAsia" w:ascii="仿宋_GB2312" w:eastAsia="仿宋_GB2312"/>
          <w:color w:val="auto"/>
          <w:highlight w:val="none"/>
          <w:lang w:val="en-US" w:eastAsia="zh-CN"/>
        </w:rPr>
        <w:t>（评分表详见附录）</w:t>
      </w:r>
      <w:r>
        <w:rPr>
          <w:rFonts w:hint="eastAsia"/>
          <w:color w:val="auto"/>
          <w:highlight w:val="none"/>
          <w:lang w:val="en-US" w:eastAsia="zh-CN"/>
        </w:rPr>
        <w:t>；</w:t>
      </w:r>
    </w:p>
    <w:p w14:paraId="5002A5A6">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ascii="仿宋_GB2312" w:eastAsia="仿宋_GB2312"/>
          <w:color w:val="auto"/>
          <w:highlight w:val="none"/>
          <w:lang w:val="en-US" w:eastAsia="zh-CN"/>
        </w:rPr>
      </w:pPr>
      <w:r>
        <w:rPr>
          <w:rFonts w:hint="eastAsia"/>
          <w:color w:val="auto"/>
          <w:highlight w:val="none"/>
          <w:lang w:val="en-US" w:eastAsia="zh-CN"/>
        </w:rPr>
        <w:t>（4）“人工智能+”板块须为面向消费者直接提供的付费内容。</w:t>
      </w:r>
    </w:p>
    <w:p w14:paraId="7F7624F2">
      <w:pPr>
        <w:keepNext w:val="0"/>
        <w:keepLines w:val="0"/>
        <w:pageBreakBefore w:val="0"/>
        <w:widowControl w:val="0"/>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cs="仿宋_GB2312"/>
          <w:color w:val="auto"/>
          <w:sz w:val="32"/>
          <w:szCs w:val="32"/>
          <w:highlight w:val="none"/>
          <w:lang w:val="en-US" w:eastAsia="zh-CN"/>
        </w:rPr>
        <w:t>，</w:t>
      </w:r>
      <w:r>
        <w:rPr>
          <w:rFonts w:hint="eastAsia"/>
          <w:color w:val="auto"/>
          <w:highlight w:val="none"/>
          <w:lang w:val="en-US" w:eastAsia="zh-CN"/>
        </w:rPr>
        <w:t>不包括前期软件、系统研发，不包括辐射应用于深圳市以外的项目投入部分，不包括人员、营销推广等投入</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14:paraId="064D19DF">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31102"/>
      <w:bookmarkStart w:id="13" w:name="_Toc7095"/>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14:paraId="2B1A87F9">
      <w:pPr>
        <w:bidi w:val="0"/>
        <w:rPr>
          <w:rFonts w:hint="eastAsia" w:ascii="仿宋_GB2312" w:eastAsia="仿宋_GB2312"/>
          <w:color w:val="auto"/>
          <w:highlight w:val="none"/>
          <w:lang w:val="en-US" w:eastAsia="zh-CN"/>
        </w:rPr>
      </w:pPr>
      <w:r>
        <w:rPr>
          <w:rFonts w:hint="eastAsia"/>
          <w:color w:val="auto"/>
          <w:highlight w:val="none"/>
          <w:lang w:val="en-US" w:eastAsia="zh-CN"/>
        </w:rPr>
        <w:t>（一）</w:t>
      </w:r>
      <w:r>
        <w:rPr>
          <w:rFonts w:hint="eastAsia" w:ascii="仿宋_GB2312" w:eastAsia="仿宋_GB2312"/>
          <w:color w:val="auto"/>
          <w:highlight w:val="none"/>
          <w:lang w:val="en-US" w:eastAsia="zh-CN"/>
        </w:rPr>
        <w:t>对符合条件、业务覆盖5个及以上辖区的项目按相关的实际投入部分20%给予资助，试点期间最高不超过800万元，每个区支持项目不超过1个，按评分排序择优支持。</w:t>
      </w:r>
    </w:p>
    <w:p w14:paraId="7B5F734A">
      <w:pPr>
        <w:bidi w:val="0"/>
        <w:rPr>
          <w:rFonts w:hint="eastAsia" w:ascii="仿宋_GB2312" w:eastAsia="仿宋_GB2312"/>
          <w:color w:val="auto"/>
          <w:highlight w:val="none"/>
          <w:lang w:val="en-US" w:eastAsia="zh-CN"/>
        </w:rPr>
      </w:pPr>
      <w:r>
        <w:rPr>
          <w:rFonts w:hint="eastAsia"/>
          <w:color w:val="auto"/>
          <w:highlight w:val="none"/>
          <w:lang w:val="en-US" w:eastAsia="zh-CN"/>
        </w:rPr>
        <w:t>（二）</w:t>
      </w:r>
      <w:r>
        <w:rPr>
          <w:rFonts w:hint="eastAsia" w:ascii="仿宋_GB2312" w:eastAsia="仿宋_GB2312"/>
          <w:color w:val="auto"/>
          <w:highlight w:val="none"/>
          <w:lang w:val="en-US" w:eastAsia="zh-CN"/>
        </w:rPr>
        <w:t>对符合条件、业务聚焦在特定区域落地的</w:t>
      </w:r>
      <w:r>
        <w:rPr>
          <w:rFonts w:hint="eastAsia"/>
          <w:color w:val="auto"/>
          <w:highlight w:val="none"/>
          <w:lang w:val="en-US" w:eastAsia="zh-CN"/>
        </w:rPr>
        <w:t>项目</w:t>
      </w:r>
      <w:r>
        <w:rPr>
          <w:rFonts w:hint="default"/>
          <w:color w:val="auto"/>
          <w:highlight w:val="none"/>
          <w:lang w:val="en-US" w:eastAsia="zh-CN"/>
        </w:rPr>
        <w:t>，按其</w:t>
      </w:r>
      <w:r>
        <w:rPr>
          <w:rFonts w:hint="eastAsia" w:ascii="仿宋_GB2312" w:eastAsia="仿宋_GB2312"/>
          <w:color w:val="auto"/>
          <w:highlight w:val="none"/>
          <w:lang w:val="en-US" w:eastAsia="zh-CN"/>
        </w:rPr>
        <w:t>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20%给予资助，试点期间最高不超过100万元，每个区资助项目不超过3个，按评分排序择优支持。</w:t>
      </w:r>
    </w:p>
    <w:p w14:paraId="3C55DE38">
      <w:pPr>
        <w:tabs>
          <w:tab w:val="center" w:pos="4153"/>
          <w:tab w:val="right" w:pos="8306"/>
        </w:tabs>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w:t>
      </w:r>
      <w:r>
        <w:rPr>
          <w:rStyle w:val="19"/>
          <w:rFonts w:hint="eastAsia"/>
          <w:color w:val="auto"/>
          <w:sz w:val="32"/>
          <w:szCs w:val="32"/>
          <w:highlight w:val="none"/>
          <w:lang w:val="en-US" w:eastAsia="zh-CN"/>
        </w:rPr>
        <w:t>“人工智能+消费”场景</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，在深项目已完成或阶段性完成部分相关投入，不包含各级财政投资部分，辐射应用于深圳市以外的项目投入部分，以及第四点第（二）条专项条件中明确不予支持部分。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14:paraId="39F768C2">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优质消费资源与知名IP跨界联名—“人工智能+消费”标杆场景资助项目</w:t>
      </w:r>
      <w:bookmarkStart w:id="40" w:name="_GoBack"/>
      <w:bookmarkEnd w:id="40"/>
      <w:r>
        <w:rPr>
          <w:rFonts w:hint="eastAsia"/>
          <w:color w:val="000000" w:themeColor="text1"/>
          <w:highlight w:val="none"/>
          <w:lang w:val="en-US" w:eastAsia="zh-CN"/>
          <w14:textFill>
            <w14:solidFill>
              <w14:schemeClr w14:val="tx1"/>
            </w14:solidFill>
          </w14:textFill>
        </w:rPr>
        <w:t>）”——选择深圳市-南山区后，按照相关事项提示流程和要求进行线上申报（特别提醒该事项办理需申报主体以法人账号登录提交，不接受个人账号提交），并按办理指南提交相关材料（包括并不限于）如下：</w:t>
      </w:r>
    </w:p>
    <w:p w14:paraId="7FF8FD58">
      <w:pPr>
        <w:bidi w:val="0"/>
        <w:rPr>
          <w:rFonts w:hint="eastAsia"/>
          <w:highlight w:val="none"/>
          <w:lang w:val="en-US" w:eastAsia="zh-CN"/>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2CBE3A82">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14:paraId="29B3370C">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14:paraId="4EE26AA5">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14:paraId="507E23F1">
      <w:pPr>
        <w:bidi w:val="0"/>
        <w:rPr>
          <w:rFonts w:hint="default"/>
          <w:color w:val="auto"/>
          <w:highlight w:val="none"/>
          <w:lang w:val="en-US" w:eastAsia="zh-CN"/>
        </w:rPr>
      </w:pPr>
      <w:r>
        <w:rPr>
          <w:rFonts w:hint="default"/>
          <w:color w:val="auto"/>
          <w:highlight w:val="none"/>
          <w:lang w:val="en-US" w:eastAsia="zh-CN"/>
        </w:rPr>
        <w:t>1.通用专项材料（两类方向均需提交）</w:t>
      </w:r>
      <w:r>
        <w:rPr>
          <w:rFonts w:hint="eastAsia"/>
          <w:color w:val="auto"/>
          <w:highlight w:val="none"/>
          <w:lang w:val="en-US" w:eastAsia="zh-CN"/>
        </w:rPr>
        <w:t>：</w:t>
      </w:r>
    </w:p>
    <w:p w14:paraId="3973611C">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评分表佐证材料</w:t>
      </w:r>
      <w:r>
        <w:rPr>
          <w:rFonts w:hint="eastAsia"/>
          <w:color w:val="auto"/>
          <w:highlight w:val="none"/>
          <w:lang w:val="en-US" w:eastAsia="zh-CN"/>
        </w:rPr>
        <w:t>：</w:t>
      </w:r>
      <w:r>
        <w:rPr>
          <w:rFonts w:hint="default"/>
          <w:color w:val="auto"/>
          <w:highlight w:val="none"/>
          <w:lang w:val="en-US" w:eastAsia="zh-CN"/>
        </w:rPr>
        <w:t>各申报单位应按照本指南附件《评分表》中所列指标及要求，完整提交对应佐证材料。</w:t>
      </w:r>
    </w:p>
    <w:p w14:paraId="0FA3ED28">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14:paraId="040666B0">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14:paraId="383FEF06">
      <w:pPr>
        <w:bidi w:val="0"/>
        <w:rPr>
          <w:rFonts w:hint="eastAsia"/>
          <w:color w:val="auto"/>
          <w:highlight w:val="none"/>
          <w:lang w:val="en-US" w:eastAsia="zh-CN"/>
        </w:rPr>
      </w:pPr>
      <w:r>
        <w:rPr>
          <w:rFonts w:hint="eastAsia"/>
          <w:color w:val="auto"/>
          <w:highlight w:val="none"/>
          <w:lang w:val="en-US" w:eastAsia="zh-CN"/>
        </w:rPr>
        <w:t>2.分类型专项材料（择一方向选择提交）：</w:t>
      </w:r>
    </w:p>
    <w:p w14:paraId="6A8497A7">
      <w:pPr>
        <w:bidi w:val="0"/>
        <w:rPr>
          <w:rFonts w:hint="eastAsia"/>
          <w:color w:val="auto"/>
          <w:highlight w:val="none"/>
          <w:lang w:val="en-US" w:eastAsia="zh-CN"/>
        </w:rPr>
      </w:pPr>
      <w:r>
        <w:rPr>
          <w:rFonts w:hint="eastAsia"/>
          <w:color w:val="auto"/>
          <w:highlight w:val="none"/>
          <w:lang w:val="en-US" w:eastAsia="zh-CN"/>
        </w:rPr>
        <w:t>一是</w:t>
      </w:r>
      <w:r>
        <w:rPr>
          <w:rStyle w:val="19"/>
          <w:rFonts w:hint="default" w:ascii="仿宋_GB2312" w:hAnsi="仿宋_GB2312" w:eastAsia="仿宋_GB2312" w:cs="仿宋_GB2312"/>
          <w:color w:val="auto"/>
          <w:sz w:val="32"/>
          <w:szCs w:val="32"/>
          <w:highlight w:val="none"/>
          <w:lang w:val="en-US" w:eastAsia="zh-CN"/>
        </w:rPr>
        <w:t>业务覆盖</w:t>
      </w:r>
      <w:r>
        <w:rPr>
          <w:rStyle w:val="19"/>
          <w:rFonts w:hint="eastAsia" w:ascii="仿宋_GB2312" w:hAnsi="仿宋_GB2312" w:eastAsia="仿宋_GB2312" w:cs="仿宋_GB2312"/>
          <w:color w:val="auto"/>
          <w:sz w:val="32"/>
          <w:szCs w:val="32"/>
          <w:highlight w:val="none"/>
          <w:lang w:val="en-US" w:eastAsia="zh-CN"/>
        </w:rPr>
        <w:t>5个</w:t>
      </w:r>
      <w:r>
        <w:rPr>
          <w:rStyle w:val="19"/>
          <w:rFonts w:hint="default" w:ascii="仿宋_GB2312" w:hAnsi="仿宋_GB2312" w:eastAsia="仿宋_GB2312" w:cs="仿宋_GB2312"/>
          <w:color w:val="auto"/>
          <w:sz w:val="32"/>
          <w:szCs w:val="32"/>
          <w:highlight w:val="none"/>
          <w:lang w:val="en-US" w:eastAsia="zh-CN"/>
        </w:rPr>
        <w:t>及</w:t>
      </w:r>
      <w:r>
        <w:rPr>
          <w:rStyle w:val="19"/>
          <w:rFonts w:hint="eastAsia" w:ascii="仿宋_GB2312" w:hAnsi="仿宋_GB2312" w:eastAsia="仿宋_GB2312" w:cs="仿宋_GB2312"/>
          <w:color w:val="auto"/>
          <w:sz w:val="32"/>
          <w:szCs w:val="32"/>
          <w:highlight w:val="none"/>
          <w:lang w:val="en-US" w:eastAsia="zh-CN"/>
        </w:rPr>
        <w:t>以上区</w:t>
      </w:r>
      <w:r>
        <w:rPr>
          <w:rFonts w:hint="eastAsia"/>
          <w:color w:val="auto"/>
          <w:highlight w:val="none"/>
          <w:lang w:val="en-US" w:eastAsia="zh-CN"/>
        </w:rPr>
        <w:t>“人工智能+消费”场景</w:t>
      </w:r>
    </w:p>
    <w:p w14:paraId="51FB3589">
      <w:pPr>
        <w:bidi w:val="0"/>
        <w:rPr>
          <w:rFonts w:hint="eastAsia"/>
          <w:color w:val="auto"/>
          <w:highlight w:val="none"/>
          <w:lang w:val="en-US" w:eastAsia="zh-CN"/>
        </w:rPr>
      </w:pPr>
      <w:r>
        <w:rPr>
          <w:rFonts w:hint="eastAsia"/>
          <w:color w:val="auto"/>
          <w:highlight w:val="none"/>
          <w:lang w:val="en-US" w:eastAsia="zh-CN"/>
        </w:rPr>
        <w:t>（1）业务覆盖范围佐证材料：明确项目业务覆盖的辖区清单，提供各辖区场景落地的佐证材料（如场地使用记录、服务记录等，须体现覆盖5个及以上区）。</w:t>
      </w:r>
    </w:p>
    <w:p w14:paraId="41C1894C">
      <w:pPr>
        <w:bidi w:val="0"/>
        <w:rPr>
          <w:rFonts w:hint="eastAsia"/>
          <w:color w:val="auto"/>
          <w:highlight w:val="none"/>
          <w:lang w:val="en-US" w:eastAsia="zh-CN"/>
        </w:rPr>
      </w:pPr>
      <w:r>
        <w:rPr>
          <w:rFonts w:hint="eastAsia"/>
          <w:color w:val="auto"/>
          <w:highlight w:val="none"/>
          <w:lang w:val="en-US" w:eastAsia="zh-CN"/>
        </w:rPr>
        <w:t>（2）服务次数佐证材料：后台服务记录、与消费者订单直接挂钩数据等（须体现不低于5万次）。</w:t>
      </w:r>
    </w:p>
    <w:p w14:paraId="7051F67D">
      <w:pPr>
        <w:bidi w:val="0"/>
        <w:rPr>
          <w:rFonts w:hint="eastAsia"/>
          <w:color w:val="auto"/>
          <w:highlight w:val="none"/>
          <w:lang w:val="en-US" w:eastAsia="zh-CN"/>
        </w:rPr>
      </w:pPr>
      <w:r>
        <w:rPr>
          <w:rFonts w:hint="eastAsia"/>
          <w:color w:val="auto"/>
          <w:highlight w:val="none"/>
          <w:lang w:val="en-US" w:eastAsia="zh-CN"/>
        </w:rPr>
        <w:t>二是</w:t>
      </w:r>
      <w:r>
        <w:rPr>
          <w:rStyle w:val="19"/>
          <w:rFonts w:hint="default" w:ascii="仿宋_GB2312" w:hAnsi="仿宋_GB2312" w:eastAsia="仿宋_GB2312" w:cs="仿宋_GB2312"/>
          <w:color w:val="auto"/>
          <w:sz w:val="32"/>
          <w:szCs w:val="32"/>
          <w:highlight w:val="none"/>
          <w:lang w:val="en-US" w:eastAsia="zh-CN"/>
        </w:rPr>
        <w:t>业务聚焦</w:t>
      </w:r>
      <w:r>
        <w:rPr>
          <w:rStyle w:val="19"/>
          <w:rFonts w:hint="eastAsia" w:ascii="仿宋_GB2312" w:hAnsi="仿宋_GB2312" w:eastAsia="仿宋_GB2312" w:cs="仿宋_GB2312"/>
          <w:color w:val="auto"/>
          <w:sz w:val="32"/>
          <w:szCs w:val="32"/>
          <w:highlight w:val="none"/>
          <w:lang w:val="en-US" w:eastAsia="zh-CN"/>
        </w:rPr>
        <w:t>在特定区域</w:t>
      </w:r>
      <w:r>
        <w:rPr>
          <w:rFonts w:hint="eastAsia"/>
          <w:color w:val="auto"/>
          <w:highlight w:val="none"/>
          <w:lang w:val="en-US" w:eastAsia="zh-CN"/>
        </w:rPr>
        <w:t>“人工智能+消费”场景</w:t>
      </w:r>
    </w:p>
    <w:p w14:paraId="522A3D94">
      <w:pPr>
        <w:bidi w:val="0"/>
        <w:rPr>
          <w:rFonts w:hint="eastAsia"/>
          <w:color w:val="auto"/>
          <w:highlight w:val="none"/>
          <w:lang w:val="en-US" w:eastAsia="zh-CN"/>
        </w:rPr>
      </w:pPr>
      <w:r>
        <w:rPr>
          <w:rFonts w:hint="eastAsia"/>
          <w:color w:val="auto"/>
          <w:highlight w:val="none"/>
          <w:lang w:val="en-US" w:eastAsia="zh-CN"/>
        </w:rPr>
        <w:t>（1）特定区域落地佐证材料：明确项目聚焦的具体区域，提供项目在该区域持续运营的佐证材料（如产权证书、租赁合同等）、场景落地实景资料。</w:t>
      </w:r>
    </w:p>
    <w:p w14:paraId="2B71F652">
      <w:pPr>
        <w:bidi w:val="0"/>
        <w:rPr>
          <w:rFonts w:hint="eastAsia"/>
          <w:color w:val="auto"/>
          <w:highlight w:val="none"/>
          <w:lang w:val="en-US" w:eastAsia="zh-CN"/>
        </w:rPr>
      </w:pPr>
      <w:r>
        <w:rPr>
          <w:rFonts w:hint="eastAsia"/>
          <w:color w:val="auto"/>
          <w:highlight w:val="none"/>
          <w:lang w:val="en-US" w:eastAsia="zh-CN"/>
        </w:rPr>
        <w:t>（2）常态化运营佐证材料：项目在特定区域的运营计划、服务频次、运营时长等，提供连续3个月及以上的运营台账、服务记录、现场运营照片/视频。</w:t>
      </w:r>
    </w:p>
    <w:p w14:paraId="64443829">
      <w:pPr>
        <w:bidi w:val="0"/>
        <w:rPr>
          <w:rFonts w:hint="eastAsia"/>
          <w:color w:val="auto"/>
          <w:highlight w:val="none"/>
          <w:lang w:val="en-US" w:eastAsia="zh-CN"/>
        </w:rPr>
      </w:pPr>
      <w:r>
        <w:rPr>
          <w:rFonts w:hint="default"/>
          <w:color w:val="auto"/>
          <w:highlight w:val="none"/>
          <w:lang w:val="en-US" w:eastAsia="zh-CN"/>
        </w:rPr>
        <w:t>以上申报材料按顺序一式四份（附可编辑电子版和PDF扫描件）连续编写页码装订成册，在封面加盖单位公章并加盖骑缝章（其中，申报指引及附件有明确要求加盖公章的资料需按要求执行）；规格为A4纸正反面打印/复印。</w:t>
      </w:r>
    </w:p>
    <w:p w14:paraId="61F65A6F">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19526"/>
      <w:bookmarkStart w:id="17" w:name="_Toc5711"/>
      <w:bookmarkStart w:id="18" w:name="_Toc11274"/>
      <w:bookmarkStart w:id="19" w:name="_Toc16198"/>
      <w:bookmarkStart w:id="20" w:name="_Toc125127183"/>
      <w:bookmarkStart w:id="21" w:name="_Toc10305"/>
      <w:bookmarkStart w:id="22" w:name="_Toc2137"/>
      <w:bookmarkStart w:id="23" w:name="_Toc161850809"/>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14:paraId="014257E7">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bookmarkStart w:id="24" w:name="_Toc13760"/>
      <w:bookmarkStart w:id="25" w:name="_Toc20121"/>
      <w:r>
        <w:rPr>
          <w:rFonts w:hint="eastAsia" w:hAnsi="Calibri" w:cs="Times New Roman"/>
          <w:color w:val="000000"/>
          <w:spacing w:val="0"/>
          <w:sz w:val="32"/>
          <w:szCs w:val="32"/>
          <w:highlight w:val="none"/>
          <w:lang w:eastAsia="zh-CN"/>
        </w:rPr>
        <w:t>按照</w:t>
      </w: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r>
        <w:rPr>
          <w:rFonts w:hint="eastAsia" w:cs="Times New Roman"/>
          <w:color w:val="000000"/>
          <w:spacing w:val="0"/>
          <w:sz w:val="32"/>
          <w:szCs w:val="32"/>
          <w:highlight w:val="none"/>
          <w:lang w:eastAsia="zh-CN"/>
        </w:rPr>
        <w:t>请在线上下载并填写《深圳市2026年中央资金消费新业态新模式新场景试点项目申报书》。</w:t>
      </w:r>
    </w:p>
    <w:p w14:paraId="516DF09F">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24"/>
      <w:bookmarkEnd w:id="25"/>
    </w:p>
    <w:p w14:paraId="364B4644">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14:paraId="51B867B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B006E7E">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75C0D40D">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14:paraId="0FF0CD85">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3691D816">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14:paraId="1112CF47">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6" w:name="_Toc1376"/>
      <w:bookmarkStart w:id="27" w:name="_Toc9722"/>
      <w:r>
        <w:rPr>
          <w:rFonts w:hint="eastAsia" w:hAnsi="宋体" w:cs="宋体"/>
          <w:color w:val="000000" w:themeColor="text1"/>
          <w:kern w:val="0"/>
          <w:sz w:val="32"/>
          <w:szCs w:val="32"/>
          <w:highlight w:val="none"/>
          <w:lang w:val="en-US" w:eastAsia="zh-CN"/>
          <w14:textFill>
            <w14:solidFill>
              <w14:schemeClr w14:val="tx1"/>
            </w14:solidFill>
          </w14:textFill>
        </w:rPr>
        <w:t>0755-88167804、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p>
    <w:p w14:paraId="4F9ADDD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九、申请决定机关</w:t>
      </w:r>
      <w:bookmarkEnd w:id="26"/>
      <w:bookmarkEnd w:id="27"/>
    </w:p>
    <w:p w14:paraId="45145673">
      <w:pPr>
        <w:keepNext/>
        <w:keepLines/>
        <w:widowControl w:val="0"/>
        <w:bidi w:val="0"/>
        <w:spacing w:before="0" w:beforeLines="0" w:beforeAutospacing="0" w:after="0" w:afterLines="0" w:afterAutospacing="0" w:line="560" w:lineRule="exact"/>
        <w:ind w:firstLine="640" w:firstLineChars="200"/>
        <w:jc w:val="both"/>
        <w:outlineLvl w:val="0"/>
        <w:rPr>
          <w:rFonts w:hint="eastAsia" w:hAnsi="宋体" w:cs="宋体"/>
          <w:color w:val="000000" w:themeColor="text1"/>
          <w:kern w:val="0"/>
          <w:sz w:val="32"/>
          <w:szCs w:val="32"/>
          <w:highlight w:val="none"/>
          <w:lang w:val="en-US" w:eastAsia="zh-CN"/>
          <w14:textFill>
            <w14:solidFill>
              <w14:schemeClr w14:val="tx1"/>
            </w14:solidFill>
          </w14:textFill>
        </w:rPr>
      </w:pPr>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79936E5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十、办理流程</w:t>
      </w:r>
      <w:bookmarkEnd w:id="18"/>
      <w:bookmarkEnd w:id="19"/>
    </w:p>
    <w:p w14:paraId="4B6A7F0F">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区级商务主管部门发布申报指南——申报单位网上申报——区级商务主管部门网上初审——申报单位向辖区政务服务中心收文窗口提交申请材料——区级商务部门开展形式审查——区级商务主管部门开展资质审查——区级商务主管部门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14:paraId="72081705">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14:paraId="207A5B8C">
      <w:pPr>
        <w:bidi w:val="0"/>
        <w:rPr>
          <w:rFonts w:hint="eastAsia"/>
          <w:color w:val="auto"/>
          <w:highlight w:val="none"/>
        </w:rPr>
      </w:pPr>
      <w:r>
        <w:rPr>
          <w:rFonts w:hint="eastAsia"/>
          <w:color w:val="auto"/>
          <w:highlight w:val="none"/>
          <w:lang w:val="en-US" w:eastAsia="zh-CN"/>
        </w:rPr>
        <w:t>180个工作日，不含特别程序。</w:t>
      </w:r>
    </w:p>
    <w:p w14:paraId="6975324B">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14:paraId="3178E866">
      <w:pPr>
        <w:bidi w:val="0"/>
        <w:rPr>
          <w:rFonts w:hint="eastAsia"/>
          <w:color w:val="auto"/>
          <w:highlight w:val="none"/>
        </w:rPr>
      </w:pPr>
      <w:r>
        <w:rPr>
          <w:rFonts w:hint="eastAsia"/>
          <w:color w:val="auto"/>
          <w:highlight w:val="none"/>
        </w:rPr>
        <w:t>证件：无</w:t>
      </w:r>
    </w:p>
    <w:p w14:paraId="23200ADD">
      <w:pPr>
        <w:bidi w:val="0"/>
        <w:rPr>
          <w:rFonts w:hint="eastAsia"/>
          <w:color w:val="auto"/>
          <w:highlight w:val="none"/>
        </w:rPr>
      </w:pPr>
      <w:r>
        <w:rPr>
          <w:rFonts w:hint="eastAsia"/>
          <w:color w:val="auto"/>
          <w:highlight w:val="none"/>
        </w:rPr>
        <w:t>有效期限：无</w:t>
      </w:r>
    </w:p>
    <w:p w14:paraId="2F06A2F5">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14:paraId="325ADF5C">
      <w:pPr>
        <w:bidi w:val="0"/>
        <w:rPr>
          <w:rFonts w:hint="eastAsia"/>
          <w:color w:val="auto"/>
          <w:highlight w:val="none"/>
        </w:rPr>
      </w:pPr>
      <w:r>
        <w:rPr>
          <w:rFonts w:hint="eastAsia"/>
          <w:color w:val="auto"/>
          <w:highlight w:val="none"/>
        </w:rPr>
        <w:t>无</w:t>
      </w:r>
    </w:p>
    <w:p w14:paraId="04A493E2">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14:paraId="6A8D0FEB">
      <w:pPr>
        <w:bidi w:val="0"/>
        <w:rPr>
          <w:rFonts w:hint="eastAsia"/>
          <w:color w:val="auto"/>
          <w:highlight w:val="none"/>
        </w:rPr>
      </w:pPr>
      <w:r>
        <w:rPr>
          <w:rFonts w:hint="eastAsia"/>
          <w:color w:val="auto"/>
          <w:highlight w:val="none"/>
        </w:rPr>
        <w:t>无</w:t>
      </w:r>
    </w:p>
    <w:p w14:paraId="2B4AAA06">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14:paraId="569A5895">
      <w:pPr>
        <w:bidi w:val="0"/>
        <w:rPr>
          <w:rFonts w:hint="eastAsia"/>
          <w:color w:val="auto"/>
          <w:highlight w:val="none"/>
        </w:rPr>
      </w:pPr>
      <w:r>
        <w:rPr>
          <w:rFonts w:hint="eastAsia"/>
          <w:color w:val="auto"/>
          <w:highlight w:val="none"/>
        </w:rPr>
        <w:t>无</w:t>
      </w:r>
      <w:bookmarkStart w:id="38" w:name="_Toc28762"/>
      <w:bookmarkStart w:id="39" w:name="_Toc20677"/>
    </w:p>
    <w:p w14:paraId="4DA2EE44">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14:paraId="4BAA9191">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14:paraId="71EEF942">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r>
        <w:rPr>
          <w:rFonts w:hint="default"/>
          <w:color w:val="auto"/>
          <w:highlight w:val="none"/>
          <w:lang w:val="en-US" w:eastAsia="zh-CN"/>
        </w:rPr>
        <w:t>，</w:t>
      </w:r>
      <w:r>
        <w:rPr>
          <w:rFonts w:hint="eastAsia"/>
          <w:color w:val="auto"/>
          <w:highlight w:val="none"/>
          <w:lang w:val="en-US" w:eastAsia="zh-CN"/>
        </w:rPr>
        <w:t>并按照有关规定处理；涉嫌犯罪的，依法移送有关机关处理：</w:t>
      </w:r>
    </w:p>
    <w:p w14:paraId="5E3D3B30">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14:paraId="7DA66A74">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14:paraId="088AF901">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14:paraId="6118F050">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14:paraId="24EBD0F6">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14:paraId="3C2A2C79">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3E43F00E">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14:paraId="5B64DF42">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（补充受理单位举报电话）</w:t>
      </w:r>
    </w:p>
    <w:p w14:paraId="28A1CF78">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14:paraId="0CE1A4B1">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val="en-US"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14:paraId="278B7CAD">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lang w:val="en-US" w:eastAsia="zh-CN"/>
        </w:rPr>
        <w:t>申报单位需确保所用人工智能技术合规，符合国家数据安全、隐私保护相关法规，保障用户消费信息安全。</w:t>
      </w:r>
    </w:p>
    <w:p w14:paraId="648BCB11">
      <w:pPr>
        <w:bidi w:val="0"/>
        <w:ind w:firstLine="0" w:firstLineChars="0"/>
        <w:rPr>
          <w:rFonts w:hint="eastAsia"/>
          <w:color w:val="auto"/>
          <w:highlight w:val="none"/>
          <w:lang w:val="en-US" w:eastAsia="zh-CN"/>
        </w:rPr>
      </w:pPr>
    </w:p>
    <w:bookmarkEnd w:id="20"/>
    <w:bookmarkEnd w:id="21"/>
    <w:bookmarkEnd w:id="22"/>
    <w:bookmarkEnd w:id="23"/>
    <w:p w14:paraId="27FF303C">
      <w:pPr>
        <w:pStyle w:val="17"/>
        <w:rPr>
          <w:rFonts w:hint="eastAsia" w:ascii="仿宋_GB2312" w:hAnsi="仿宋_GB2312"/>
          <w:color w:val="auto"/>
          <w:highlight w:val="none"/>
          <w:lang w:val="en-US" w:eastAsia="zh-CN"/>
        </w:rPr>
      </w:pPr>
      <w:r>
        <w:rPr>
          <w:rFonts w:hint="eastAsia" w:ascii="仿宋_GB2312" w:hAnsi="仿宋_GB2312"/>
          <w:color w:val="auto"/>
          <w:highlight w:val="none"/>
          <w:lang w:eastAsia="zh-CN"/>
        </w:rPr>
        <w:t>附录：</w:t>
      </w:r>
      <w:r>
        <w:rPr>
          <w:rFonts w:hint="eastAsia" w:ascii="仿宋_GB2312" w:hAnsi="仿宋_GB2312"/>
          <w:color w:val="auto"/>
          <w:highlight w:val="none"/>
          <w:lang w:val="en-US" w:eastAsia="zh-CN"/>
        </w:rPr>
        <w:t>1.名词解释</w:t>
      </w:r>
    </w:p>
    <w:p w14:paraId="2906E984">
      <w:pPr>
        <w:pStyle w:val="17"/>
        <w:ind w:left="1907" w:leftChars="496" w:hanging="320" w:hangingChars="100"/>
        <w:rPr>
          <w:rFonts w:hint="eastAsia" w:ascii="仿宋_GB2312" w:hAnsi="仿宋_GB2312"/>
          <w:color w:val="auto"/>
          <w:highlight w:val="none"/>
          <w:lang w:eastAsia="zh-CN"/>
        </w:rPr>
      </w:pPr>
      <w:r>
        <w:rPr>
          <w:rFonts w:hint="eastAsia" w:ascii="仿宋_GB2312" w:hAnsi="仿宋_GB2312"/>
          <w:color w:val="auto"/>
          <w:highlight w:val="none"/>
          <w:lang w:val="en-US" w:eastAsia="zh-CN"/>
        </w:rPr>
        <w:t>2.深圳市消费新业态新模式新场景试点优质消费资    源与知名IP跨界联合—“人工智能+消费”场景及集聚区项目评分表</w:t>
      </w:r>
    </w:p>
    <w:p w14:paraId="43841544">
      <w:pPr>
        <w:pStyle w:val="17"/>
        <w:spacing w:line="560" w:lineRule="exact"/>
        <w:rPr>
          <w:rFonts w:ascii="仿宋_GB2312" w:hAnsi="仿宋_GB2312"/>
          <w:color w:val="auto"/>
          <w:highlight w:val="none"/>
        </w:rPr>
        <w:sectPr>
          <w:headerReference r:id="rId5" w:type="default"/>
          <w:footerReference r:id="rId6" w:type="default"/>
          <w:pgSz w:w="11906" w:h="16838"/>
          <w:pgMar w:top="1814" w:right="1474" w:bottom="1814" w:left="1474" w:header="851" w:footer="992" w:gutter="0"/>
          <w:pgNumType w:fmt="decimal"/>
          <w:cols w:space="425" w:num="1"/>
          <w:docGrid w:type="lines" w:linePitch="312" w:charSpace="0"/>
        </w:sectPr>
      </w:pPr>
    </w:p>
    <w:p w14:paraId="34BE5A69">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  录1</w:t>
      </w:r>
    </w:p>
    <w:p w14:paraId="2D4FC77A">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pPr>
    </w:p>
    <w:p w14:paraId="3BA188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14:paraId="5095C41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14:paraId="18A7EE67">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14:paraId="6D49C94C">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2F69A031">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sectPr>
          <w:pgSz w:w="11906" w:h="16838"/>
          <w:pgMar w:top="1814" w:right="1474" w:bottom="1814" w:left="1474" w:header="851" w:footer="992" w:gutter="0"/>
          <w:pgNumType w:fmt="decimal"/>
          <w:cols w:space="425" w:num="1"/>
          <w:docGrid w:type="lines" w:linePitch="312" w:charSpace="0"/>
        </w:sectPr>
      </w:pPr>
    </w:p>
    <w:p w14:paraId="14A8C430">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  录2</w:t>
      </w:r>
    </w:p>
    <w:p w14:paraId="7C363C21">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p>
    <w:p w14:paraId="7461774D">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Style w:val="19"/>
          <w:rFonts w:hint="eastAsia" w:ascii="方正小标宋简体" w:hAnsi="方正小标宋简体" w:eastAsia="方正小标宋简体" w:cs="方正小标宋简体"/>
          <w:color w:val="auto"/>
          <w:sz w:val="44"/>
          <w:szCs w:val="44"/>
          <w:highlight w:val="none"/>
          <w:u w:val="none"/>
          <w:lang w:val="en-US" w:eastAsia="zh-CN"/>
        </w:rPr>
        <w:t>“人工智能+消费”标杆场景评分表</w:t>
      </w:r>
    </w:p>
    <w:p w14:paraId="48B2E090">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14:paraId="7FF672AE">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一、对于业务覆盖5个及以上区、提供服务次数不低于5万次的创新消费场景</w:t>
      </w:r>
    </w:p>
    <w:tbl>
      <w:tblPr>
        <w:tblStyle w:val="18"/>
        <w:tblpPr w:leftFromText="180" w:rightFromText="180" w:vertAnchor="text" w:tblpXSpec="center" w:tblpY="1"/>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3"/>
        <w:gridCol w:w="989"/>
        <w:gridCol w:w="6353"/>
        <w:gridCol w:w="1426"/>
        <w:gridCol w:w="3853"/>
      </w:tblGrid>
      <w:tr w14:paraId="3398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53" w:type="dxa"/>
            <w:tcBorders>
              <w:top w:val="single" w:color="000000" w:sz="4" w:space="0"/>
              <w:left w:val="single" w:color="000000" w:sz="4" w:space="0"/>
              <w:bottom w:val="single" w:color="000000" w:sz="4" w:space="0"/>
              <w:right w:val="single" w:color="000000" w:sz="4" w:space="0"/>
            </w:tcBorders>
            <w:noWrap/>
            <w:vAlign w:val="center"/>
          </w:tcPr>
          <w:p w14:paraId="2C18148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类型</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09F996E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维度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4A6C2B1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评分标准</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B9C7EE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分值</w:t>
            </w:r>
          </w:p>
        </w:tc>
        <w:tc>
          <w:tcPr>
            <w:tcW w:w="3853" w:type="dxa"/>
            <w:tcBorders>
              <w:top w:val="single" w:color="000000" w:sz="4" w:space="0"/>
              <w:left w:val="single" w:color="000000" w:sz="4" w:space="0"/>
              <w:bottom w:val="single" w:color="000000" w:sz="4" w:space="0"/>
              <w:right w:val="single" w:color="000000" w:sz="4" w:space="0"/>
            </w:tcBorders>
            <w:noWrap w:val="0"/>
            <w:vAlign w:val="center"/>
          </w:tcPr>
          <w:p w14:paraId="7E5E92F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rPr>
            </w:pPr>
            <w:r>
              <w:rPr>
                <w:rFonts w:hint="eastAsia" w:ascii="仿宋_GB2312" w:hAnsi="宋体" w:eastAsia="仿宋_GB2312" w:cs="仿宋_GB2312"/>
                <w:b/>
                <w:bCs/>
                <w:i w:val="0"/>
                <w:iCs w:val="0"/>
                <w:color w:val="auto"/>
                <w:kern w:val="0"/>
                <w:sz w:val="22"/>
                <w:szCs w:val="22"/>
                <w:highlight w:val="none"/>
                <w:u w:val="none"/>
                <w:lang w:val="en-US" w:eastAsia="zh-CN" w:bidi="ar"/>
              </w:rPr>
              <w:t>佐证材料参考</w:t>
            </w:r>
          </w:p>
        </w:tc>
      </w:tr>
      <w:tr w14:paraId="7E05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restart"/>
            <w:tcBorders>
              <w:left w:val="single" w:color="000000" w:sz="4" w:space="0"/>
              <w:right w:val="single" w:color="000000" w:sz="4" w:space="0"/>
            </w:tcBorders>
            <w:noWrap/>
            <w:vAlign w:val="center"/>
          </w:tcPr>
          <w:p w14:paraId="345E280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技术适配性</w:t>
            </w:r>
          </w:p>
        </w:tc>
        <w:tc>
          <w:tcPr>
            <w:tcW w:w="989" w:type="dxa"/>
            <w:vMerge w:val="restart"/>
            <w:tcBorders>
              <w:left w:val="single" w:color="000000" w:sz="4" w:space="0"/>
              <w:right w:val="single" w:color="000000" w:sz="4" w:space="0"/>
            </w:tcBorders>
            <w:noWrap w:val="0"/>
            <w:vAlign w:val="center"/>
          </w:tcPr>
          <w:p w14:paraId="648004D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技术成熟度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6245254B">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olor w:val="auto"/>
                <w:kern w:val="0"/>
                <w:sz w:val="22"/>
                <w:szCs w:val="28"/>
                <w:highlight w:val="none"/>
                <w:u w:val="none"/>
                <w:lang w:val="en-US" w:eastAsia="zh-CN" w:bidi="ar"/>
              </w:rPr>
              <w:t>实际应用≥4项新一代人工智能技术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38E55AF">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restart"/>
            <w:tcBorders>
              <w:left w:val="single" w:color="000000" w:sz="4" w:space="0"/>
              <w:right w:val="single" w:color="000000" w:sz="4" w:space="0"/>
            </w:tcBorders>
            <w:noWrap w:val="0"/>
            <w:vAlign w:val="center"/>
          </w:tcPr>
          <w:p w14:paraId="5F722426">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专利证书、软著证书；包括开源协议即符合使用条件说明、技术服务合同、授权使用文件等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14:paraId="178D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continue"/>
            <w:tcBorders>
              <w:left w:val="single" w:color="000000" w:sz="4" w:space="0"/>
              <w:right w:val="single" w:color="000000" w:sz="4" w:space="0"/>
            </w:tcBorders>
            <w:noWrap/>
            <w:vAlign w:val="center"/>
          </w:tcPr>
          <w:p w14:paraId="0FF0C17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58D5F62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032D8009">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实际应用3项新一代人工智能技术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AFB0D2">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left w:val="single" w:color="000000" w:sz="4" w:space="0"/>
              <w:right w:val="single" w:color="000000" w:sz="4" w:space="0"/>
            </w:tcBorders>
            <w:noWrap w:val="0"/>
            <w:vAlign w:val="center"/>
          </w:tcPr>
          <w:p w14:paraId="4E3EBC1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5837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019016D6">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restart"/>
            <w:tcBorders>
              <w:top w:val="single" w:color="000000" w:sz="4" w:space="0"/>
              <w:left w:val="single" w:color="000000" w:sz="4" w:space="0"/>
              <w:right w:val="single" w:color="000000" w:sz="4" w:space="0"/>
            </w:tcBorders>
            <w:noWrap w:val="0"/>
            <w:vAlign w:val="center"/>
          </w:tcPr>
          <w:p w14:paraId="02B995D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AI技术实现层级与应用形态</w:t>
            </w:r>
          </w:p>
          <w:p w14:paraId="01D9878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（可重复得分）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6D75DA4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bidi="ar"/>
              </w:rPr>
              <w:t>项目实现自主智能作业：应用具身智能、无人系统等核心技术，实现AI自主感知、自主决策、物理执行的全链路闭环。由AI直接操控硬件设备、机器人终端等物理载体，在实际服务场景中自主完成核心服务动作（如自动配送、自主作业、智能巡检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7599B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14:paraId="3C0D8B4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技术方案说明</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、功能说明书、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演示视频等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14:paraId="6DAD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3022549B">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14:paraId="21D3154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14:paraId="4DDA978A">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生成式智能交互：应用AIGC（生成式人工智能）、大语言模型、多模态模型等核心技术，实现实时内容生成、多模态智能交互。系统可根据用户个性化输入，动态生成文本、图像、视频或定制化解决方案，为用户提供深度语义交互、沉浸式虚拟体验或个性化服务匹配。</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72C6300">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right w:val="single" w:color="000000" w:sz="4" w:space="0"/>
            </w:tcBorders>
            <w:noWrap w:val="0"/>
            <w:vAlign w:val="center"/>
          </w:tcPr>
          <w:p w14:paraId="0640F62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255A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49334EED">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14:paraId="22EAB47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14:paraId="5DFB4996">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项目实现决策智能优化：应用机器学习、运筹优化、大数据分析等算法技术，实现后台资源智能调度、供需动态匹配、业务流程自动化等决策层优化。</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642F27F">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bottom w:val="single" w:color="auto" w:sz="4" w:space="0"/>
              <w:right w:val="single" w:color="000000" w:sz="4" w:space="0"/>
            </w:tcBorders>
            <w:noWrap w:val="0"/>
            <w:vAlign w:val="center"/>
          </w:tcPr>
          <w:p w14:paraId="2016D53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4CE8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auto" w:sz="4" w:space="0"/>
              <w:right w:val="single" w:color="auto" w:sz="4" w:space="0"/>
            </w:tcBorders>
            <w:noWrap/>
            <w:vAlign w:val="center"/>
          </w:tcPr>
          <w:p w14:paraId="6B08E42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市场实效性</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09E6C5D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规模覆盖能力</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2707B9C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深圳全市</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bidi="ar"/>
              </w:rPr>
              <w:t>≥</w:t>
            </w: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t>6</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bidi="ar"/>
              </w:rPr>
              <w:t>个</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eastAsia="zh-CN" w:bidi="ar"/>
              </w:rPr>
              <w:t>区</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（指各区及前海合作区、深汕特别合作区等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12个区域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2AD09FB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5BD4757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落地网点清单（含地址）、覆盖区域分布地图、用户规模统计表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1BF9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77000FE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4DDE2A6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362A837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t>深圳全市落地5</w:t>
            </w: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bidi="ar"/>
              </w:rPr>
              <w:t>个</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eastAsia="zh-CN" w:bidi="ar"/>
              </w:rPr>
              <w:t>区</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（指各区及前海合作区、深汕特别合作区等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12个区域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3BA27F7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6237664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707C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7E75D4E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14:paraId="3C08315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终端数/场景数</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7823642E">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运营终端数或消费场景数（取高值）：≥50个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48D85304">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6D57DB5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终端设备清单、场景部署清单、现场照片等材料</w:t>
            </w:r>
          </w:p>
        </w:tc>
      </w:tr>
      <w:tr w14:paraId="1C25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4D20488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265588C6">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2EF84A4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019E0B4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21DB39C7">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606F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6BB9FA4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1CD63BA7">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1BA65BC5">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6E8B491D">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7C54D679">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6416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C4DD9E6">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5C8293B4">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7FAD3D51">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0AC84108">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3</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3DAB83A2">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1056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2B3CD336">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14:paraId="013389FD">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0278F0DD">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0117DF3D">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47B09916">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4A3A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163ABD4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14:paraId="2F847310">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累计服务次数</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0D1D69B0">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累计服务次数：≥7万次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4AAA869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1FB66DB5">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后台服务记录、消费订单数据（脱敏）、系统日志等材料</w:t>
            </w:r>
          </w:p>
        </w:tc>
      </w:tr>
      <w:tr w14:paraId="54C7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094D26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3D33AB4B">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415ED70F">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≥6万次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3783BA30">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20BA6F89">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0A35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3B0DC2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14C26090">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0008D5AD">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≥5万次（门槛）</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3D44FD4F">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7837E25A">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33C0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73F9503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14:paraId="4736F687">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5836058F">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&lt;5万次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1CB8D43C">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532485B1">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3287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366048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tcBorders>
              <w:top w:val="single" w:color="auto" w:sz="4" w:space="0"/>
              <w:left w:val="single" w:color="000000" w:sz="4" w:space="0"/>
              <w:right w:val="single" w:color="000000" w:sz="4" w:space="0"/>
            </w:tcBorders>
            <w:noWrap w:val="0"/>
            <w:vAlign w:val="center"/>
          </w:tcPr>
          <w:p w14:paraId="02512BB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深圳科创消费特色</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AFF146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深圳为全国首个落地城市</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74DE614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20</w:t>
            </w:r>
          </w:p>
        </w:tc>
        <w:tc>
          <w:tcPr>
            <w:tcW w:w="3853" w:type="dxa"/>
            <w:tcBorders>
              <w:top w:val="single" w:color="auto" w:sz="4" w:space="0"/>
              <w:left w:val="single" w:color="000000" w:sz="4" w:space="0"/>
              <w:right w:val="single" w:color="000000" w:sz="4" w:space="0"/>
            </w:tcBorders>
            <w:noWrap w:val="0"/>
            <w:vAlign w:val="center"/>
          </w:tcPr>
          <w:p w14:paraId="11C2C63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需附有官方媒体新闻稿截图</w:t>
            </w:r>
          </w:p>
        </w:tc>
      </w:tr>
      <w:tr w14:paraId="17B5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14:paraId="54A6F01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推广可行性</w:t>
            </w:r>
          </w:p>
        </w:tc>
        <w:tc>
          <w:tcPr>
            <w:tcW w:w="989" w:type="dxa"/>
            <w:vMerge w:val="restart"/>
            <w:tcBorders>
              <w:top w:val="single" w:color="auto" w:sz="4" w:space="0"/>
              <w:left w:val="single" w:color="000000" w:sz="4" w:space="0"/>
              <w:right w:val="single" w:color="000000" w:sz="4" w:space="0"/>
            </w:tcBorders>
            <w:noWrap w:val="0"/>
            <w:vAlign w:val="center"/>
          </w:tcPr>
          <w:p w14:paraId="5C1C862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模式可复制性</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437E5B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已形成</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标准化运营手册（含硬件部署、软件配置、人员培训、供应链）</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3CF614F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auto" w:sz="4" w:space="0"/>
              <w:left w:val="single" w:color="000000" w:sz="4" w:space="0"/>
              <w:right w:val="single" w:color="000000" w:sz="4" w:space="0"/>
            </w:tcBorders>
            <w:noWrap w:val="0"/>
            <w:vAlign w:val="center"/>
          </w:tcPr>
          <w:p w14:paraId="7E6560A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推广方案、商业计划书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等材料</w:t>
            </w:r>
          </w:p>
        </w:tc>
      </w:tr>
      <w:tr w14:paraId="6729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4FBE059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000000" w:sz="4" w:space="0"/>
              <w:right w:val="single" w:color="000000" w:sz="4" w:space="0"/>
            </w:tcBorders>
            <w:noWrap w:val="0"/>
            <w:vAlign w:val="center"/>
          </w:tcPr>
          <w:p w14:paraId="6D32EF6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F92696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有初步</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方案或商业计划书</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021B26F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14AAC28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0DDE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56027F5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bottom w:val="single" w:color="auto" w:sz="4" w:space="0"/>
              <w:right w:val="single" w:color="000000" w:sz="4" w:space="0"/>
            </w:tcBorders>
            <w:noWrap w:val="0"/>
            <w:vAlign w:val="center"/>
          </w:tcPr>
          <w:p w14:paraId="3F626131">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6E563521">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无标准化文档，商业模式不清晰</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4FC2A2B8">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14:paraId="5E391CB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p>
        </w:tc>
      </w:tr>
      <w:tr w14:paraId="2802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14:paraId="2CC5BB1C">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可持续发展</w:t>
            </w:r>
          </w:p>
        </w:tc>
        <w:tc>
          <w:tcPr>
            <w:tcW w:w="989" w:type="dxa"/>
            <w:vMerge w:val="restart"/>
            <w:tcBorders>
              <w:top w:val="single" w:color="000000" w:sz="4" w:space="0"/>
              <w:left w:val="single" w:color="000000" w:sz="4" w:space="0"/>
              <w:right w:val="single" w:color="000000" w:sz="4" w:space="0"/>
            </w:tcBorders>
            <w:noWrap w:val="0"/>
            <w:vAlign w:val="center"/>
          </w:tcPr>
          <w:p w14:paraId="702BA140">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Style w:val="19"/>
                <w:rFonts w:hint="eastAsia" w:ascii="仿宋_GB2312" w:hAnsi="宋体" w:eastAsia="仿宋_GB2312" w:cs="仿宋_GB2312"/>
                <w:b/>
                <w:bCs/>
                <w:i w:val="0"/>
                <w:iCs w:val="0"/>
                <w:caps w:val="0"/>
                <w:color w:val="auto"/>
                <w:spacing w:val="0"/>
                <w:kern w:val="0"/>
                <w:sz w:val="22"/>
                <w:szCs w:val="22"/>
                <w:highlight w:val="none"/>
                <w:u w:val="none"/>
                <w:shd w:val="clear" w:color="auto" w:fill="FFFFFF"/>
                <w:lang w:bidi="ar"/>
              </w:rPr>
              <w:t>可持续运营能力</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1F562A2F">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50</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w:t>
            </w:r>
          </w:p>
          <w:p w14:paraId="1D389DE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提供≥1年详细运营规划和资金预算</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安排情况</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3F9FD68">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14:paraId="3C8B769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运营团队花名册（含职责分工）、社保缴纳记录、资金保障材料、未来1年运营规划方案、近3个月营收报表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5B59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260694E4">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5B98CC1D">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aps w:val="0"/>
                <w:color w:val="auto"/>
                <w:spacing w:val="0"/>
                <w:kern w:val="0"/>
                <w:sz w:val="22"/>
                <w:szCs w:val="22"/>
                <w:highlight w:val="none"/>
                <w:u w:val="none"/>
                <w:shd w:val="clear" w:color="auto" w:fill="auto"/>
                <w:lang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0D3BF77F">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≥20</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w:t>
            </w:r>
          </w:p>
          <w:p w14:paraId="0B27D92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有≥6个月运营规划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C0E44F">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14:paraId="3371561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520E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14:paraId="2410F079">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14:paraId="44027E72">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18257E6B">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无专职运营团队</w:t>
            </w:r>
          </w:p>
          <w:p w14:paraId="2DB08490">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或无长期运营规划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3DF0998">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000000" w:sz="4" w:space="0"/>
              <w:right w:val="single" w:color="000000" w:sz="4" w:space="0"/>
            </w:tcBorders>
            <w:noWrap w:val="0"/>
            <w:vAlign w:val="center"/>
          </w:tcPr>
          <w:p w14:paraId="2B2B46C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r>
      <w:tr w14:paraId="3C71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14:paraId="34E45612">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风险防控</w:t>
            </w:r>
          </w:p>
        </w:tc>
        <w:tc>
          <w:tcPr>
            <w:tcW w:w="989" w:type="dxa"/>
            <w:vMerge w:val="restart"/>
            <w:tcBorders>
              <w:top w:val="single" w:color="000000" w:sz="4" w:space="0"/>
              <w:left w:val="single" w:color="000000" w:sz="4" w:space="0"/>
              <w:right w:val="single" w:color="000000" w:sz="4" w:space="0"/>
            </w:tcBorders>
            <w:noWrap w:val="0"/>
            <w:vAlign w:val="center"/>
          </w:tcPr>
          <w:p w14:paraId="4A495EA0">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风险应对与应急处理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37AFD80F">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已制定完整的AI技术故障、消费纠纷、数据安全、舆情应对四类应急预案，明确处置流程、责任人及24小时响应机制，近6个月无重大风险事故（数据泄露、重大舆情、群体性投诉）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42F39D2">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restart"/>
            <w:tcBorders>
              <w:top w:val="single" w:color="000000" w:sz="4" w:space="0"/>
              <w:left w:val="single" w:color="000000" w:sz="4" w:space="0"/>
              <w:right w:val="single" w:color="000000" w:sz="4" w:space="0"/>
            </w:tcBorders>
            <w:noWrap w:val="0"/>
            <w:vAlign w:val="center"/>
          </w:tcPr>
          <w:p w14:paraId="0030557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风险防控应急预案文件、风险处置责任分工及通讯录、近6个月系统运维及投诉处理记录</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122B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45B32535">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11EDFD19">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6013005E">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有基础应急预案，覆盖核心风险场景（≥2类），但处置流程不完整或响应机制不明确</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CE1A24">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11AE450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12AC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auto" w:sz="4" w:space="0"/>
              <w:right w:val="single" w:color="000000" w:sz="4" w:space="0"/>
            </w:tcBorders>
            <w:noWrap/>
            <w:vAlign w:val="center"/>
          </w:tcPr>
          <w:p w14:paraId="6560121E">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auto" w:sz="4" w:space="0"/>
              <w:right w:val="single" w:color="000000" w:sz="4" w:space="0"/>
            </w:tcBorders>
            <w:noWrap w:val="0"/>
            <w:vAlign w:val="center"/>
          </w:tcPr>
          <w:p w14:paraId="5FC77F57">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auto" w:sz="4" w:space="0"/>
              <w:right w:val="single" w:color="000000" w:sz="4" w:space="0"/>
            </w:tcBorders>
            <w:noWrap w:val="0"/>
            <w:vAlign w:val="center"/>
          </w:tcPr>
          <w:p w14:paraId="0A9318F3">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无应急预案，或近6个月内发生过重大风险事故</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521E73">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14:paraId="779ABA1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4280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14:paraId="6D17FF84">
            <w:pPr>
              <w:snapToGrid w:val="0"/>
              <w:spacing w:before="0" w:after="0" w:line="560" w:lineRule="exact"/>
              <w:ind w:left="0" w:leftChars="0" w:right="0" w:rightChars="0" w:firstLine="0" w:firstLineChars="0"/>
              <w:jc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企业资质及示范引领作用</w:t>
            </w:r>
          </w:p>
        </w:tc>
        <w:tc>
          <w:tcPr>
            <w:tcW w:w="989" w:type="dxa"/>
            <w:vMerge w:val="restart"/>
            <w:tcBorders>
              <w:top w:val="single" w:color="auto" w:sz="4" w:space="0"/>
              <w:left w:val="single" w:color="000000" w:sz="4" w:space="0"/>
              <w:right w:val="single" w:color="000000" w:sz="4" w:space="0"/>
            </w:tcBorders>
            <w:noWrap w:val="0"/>
            <w:vAlign w:val="center"/>
          </w:tcPr>
          <w:p w14:paraId="76557279">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加分项（可重复得分）</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46FD3AF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获得国家级/省级科技企业资质或荣誉（包括但不限于：国家高新技术企业、专精特新“小巨人”企业、专精特新中小企业、创新型中小企业、国家技术创新示范企业、科技型中小企业、瞪羚企业、知识产权优势/示范企业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187226">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restart"/>
            <w:tcBorders>
              <w:top w:val="single" w:color="auto" w:sz="4" w:space="0"/>
              <w:left w:val="single" w:color="000000" w:sz="4" w:space="0"/>
              <w:right w:val="single" w:color="000000" w:sz="4" w:space="0"/>
            </w:tcBorders>
            <w:noWrap w:val="0"/>
            <w:vAlign w:val="center"/>
          </w:tcPr>
          <w:p w14:paraId="6DFFA057">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相关荣誉证书、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主流媒体报道截图或链接</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等</w:t>
            </w:r>
          </w:p>
        </w:tc>
      </w:tr>
      <w:tr w14:paraId="2808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3DDB51B1">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5836D76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014ED8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国家级</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荣誉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53ECACD">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162122C1">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33A7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38AB81B1">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2A6E62E3">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42A623D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省部级科技奖项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7414A8">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0FEC5CFE">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5374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19AB0A40">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3EFC072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57DCDD3A">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被国家级政府部门列为典型案例推广或被国家级主流媒体（央视、人民日报）专题报道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7896E87">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5454213C">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12A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14:paraId="29478B4B">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14:paraId="32CE8083">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000000" w:sz="4" w:space="0"/>
              <w:right w:val="single" w:color="000000" w:sz="4" w:space="0"/>
            </w:tcBorders>
            <w:noWrap w:val="0"/>
            <w:vAlign w:val="center"/>
          </w:tcPr>
          <w:p w14:paraId="0E6F7E03">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被省级政府部门列为典型案例推广或被省级主流媒体专题报道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5B9667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bottom w:val="single" w:color="000000" w:sz="4" w:space="0"/>
              <w:right w:val="single" w:color="000000" w:sz="4" w:space="0"/>
            </w:tcBorders>
            <w:noWrap w:val="0"/>
            <w:vAlign w:val="center"/>
          </w:tcPr>
          <w:p w14:paraId="59D6493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bl>
    <w:p w14:paraId="029CCE95">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注：新一代人工智能技术包括但不限于智算芯片、具身智能、高阶智驾、端侧轻量化模型、多模态模型等方向。</w:t>
      </w:r>
    </w:p>
    <w:p w14:paraId="336FD488">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14:paraId="5F85DE96">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14:paraId="73B67DC3">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二、对于业务聚焦在特定区域落地、常态化运营的创新消费场景</w:t>
      </w:r>
    </w:p>
    <w:tbl>
      <w:tblPr>
        <w:tblStyle w:val="18"/>
        <w:tblpPr w:leftFromText="180" w:rightFromText="180" w:vertAnchor="text" w:tblpXSpec="center" w:tblpY="1"/>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3"/>
        <w:gridCol w:w="989"/>
        <w:gridCol w:w="6353"/>
        <w:gridCol w:w="1426"/>
        <w:gridCol w:w="3853"/>
      </w:tblGrid>
      <w:tr w14:paraId="3707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53" w:type="dxa"/>
            <w:tcBorders>
              <w:top w:val="single" w:color="000000" w:sz="4" w:space="0"/>
              <w:left w:val="single" w:color="000000" w:sz="4" w:space="0"/>
              <w:bottom w:val="single" w:color="000000" w:sz="4" w:space="0"/>
              <w:right w:val="single" w:color="000000" w:sz="4" w:space="0"/>
            </w:tcBorders>
            <w:noWrap/>
            <w:vAlign w:val="center"/>
          </w:tcPr>
          <w:p w14:paraId="3371DA8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类型</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694E10A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维度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280B123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评分标准</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0377F0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分值</w:t>
            </w:r>
          </w:p>
        </w:tc>
        <w:tc>
          <w:tcPr>
            <w:tcW w:w="3853" w:type="dxa"/>
            <w:tcBorders>
              <w:top w:val="single" w:color="000000" w:sz="4" w:space="0"/>
              <w:left w:val="single" w:color="000000" w:sz="4" w:space="0"/>
              <w:bottom w:val="single" w:color="000000" w:sz="4" w:space="0"/>
              <w:right w:val="single" w:color="000000" w:sz="4" w:space="0"/>
            </w:tcBorders>
            <w:noWrap w:val="0"/>
            <w:vAlign w:val="center"/>
          </w:tcPr>
          <w:p w14:paraId="656AD4C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佐证材料</w:t>
            </w:r>
          </w:p>
        </w:tc>
      </w:tr>
      <w:tr w14:paraId="2719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restart"/>
            <w:tcBorders>
              <w:left w:val="single" w:color="000000" w:sz="4" w:space="0"/>
              <w:right w:val="single" w:color="000000" w:sz="4" w:space="0"/>
            </w:tcBorders>
            <w:noWrap/>
            <w:vAlign w:val="center"/>
          </w:tcPr>
          <w:p w14:paraId="0319437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技术适配性</w:t>
            </w:r>
          </w:p>
        </w:tc>
        <w:tc>
          <w:tcPr>
            <w:tcW w:w="989" w:type="dxa"/>
            <w:vMerge w:val="restart"/>
            <w:tcBorders>
              <w:left w:val="single" w:color="000000" w:sz="4" w:space="0"/>
              <w:right w:val="single" w:color="000000" w:sz="4" w:space="0"/>
            </w:tcBorders>
            <w:noWrap w:val="0"/>
            <w:vAlign w:val="center"/>
          </w:tcPr>
          <w:p w14:paraId="54EFF63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技术成熟度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68CE1AB2">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olor w:val="auto"/>
                <w:kern w:val="0"/>
                <w:sz w:val="22"/>
                <w:szCs w:val="28"/>
                <w:highlight w:val="none"/>
                <w:u w:val="none"/>
                <w:lang w:val="en-US" w:eastAsia="zh-CN" w:bidi="ar"/>
              </w:rPr>
              <w:t>实际应用≥3项新一代人工智能技术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8D3DCD">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restart"/>
            <w:tcBorders>
              <w:left w:val="single" w:color="000000" w:sz="4" w:space="0"/>
              <w:right w:val="single" w:color="000000" w:sz="4" w:space="0"/>
            </w:tcBorders>
            <w:noWrap w:val="0"/>
            <w:vAlign w:val="center"/>
          </w:tcPr>
          <w:p w14:paraId="32DB3B8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专利证书、软著证书；包括开源协议即符合使用条件说明、技术服务合同、授权使用文件等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14:paraId="7B79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continue"/>
            <w:tcBorders>
              <w:left w:val="single" w:color="000000" w:sz="4" w:space="0"/>
              <w:right w:val="single" w:color="000000" w:sz="4" w:space="0"/>
            </w:tcBorders>
            <w:noWrap/>
            <w:vAlign w:val="center"/>
          </w:tcPr>
          <w:p w14:paraId="0F60930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7080FD5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7E73D579">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实际应用2项新一代人工智能技术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EA99BC7">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left w:val="single" w:color="000000" w:sz="4" w:space="0"/>
              <w:right w:val="single" w:color="000000" w:sz="4" w:space="0"/>
            </w:tcBorders>
            <w:noWrap w:val="0"/>
            <w:vAlign w:val="center"/>
          </w:tcPr>
          <w:p w14:paraId="316768D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1A01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77BE73CE">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restart"/>
            <w:tcBorders>
              <w:top w:val="single" w:color="000000" w:sz="4" w:space="0"/>
              <w:left w:val="single" w:color="000000" w:sz="4" w:space="0"/>
              <w:right w:val="single" w:color="000000" w:sz="4" w:space="0"/>
            </w:tcBorders>
            <w:noWrap w:val="0"/>
            <w:vAlign w:val="center"/>
          </w:tcPr>
          <w:p w14:paraId="1E5E1D4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AI技术实现层级与应用形态</w:t>
            </w:r>
          </w:p>
          <w:p w14:paraId="17F3B57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（可重复得分）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7A31A08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bidi="ar"/>
              </w:rPr>
              <w:t>项目实现自主智能作业：应用具身智能、无人系统等核心技术，实现AI自主感知、自主决策、物理执行的全链路闭环。由AI直接操控硬件设备、机器人终端等物理载体，在实际服务场景中自主完成核心服务动作（如自动配送、自主作业、智能巡检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D173D2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sz w:val="22"/>
                <w:szCs w:val="22"/>
                <w:highlight w:val="none"/>
                <w:u w:val="none"/>
                <w:lang w:val="en-US" w:eastAsia="zh-CN"/>
              </w:rPr>
              <w:t>5</w:t>
            </w:r>
          </w:p>
        </w:tc>
        <w:tc>
          <w:tcPr>
            <w:tcW w:w="3853" w:type="dxa"/>
            <w:vMerge w:val="restart"/>
            <w:tcBorders>
              <w:top w:val="single" w:color="000000" w:sz="4" w:space="0"/>
              <w:left w:val="single" w:color="000000" w:sz="4" w:space="0"/>
              <w:right w:val="single" w:color="000000" w:sz="4" w:space="0"/>
            </w:tcBorders>
            <w:noWrap w:val="0"/>
            <w:vAlign w:val="center"/>
          </w:tcPr>
          <w:p w14:paraId="1906DB8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技术方案说明</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、功能说明书、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演示视频等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14:paraId="2B24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09C9FEDD">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14:paraId="08E8D1D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14:paraId="3D754696">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生成式智能交互：应用AIGC（生成式人工智能）、大语言模型、多模态模型等核心技术，实现实时内容生成、多模态智能交互。系统可根据用户个性化输入，动态生成文本、图像、视频或定制化解决方案，为用户提供深度语义交互、沉浸式虚拟体验或个性化服务匹配。</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23B33C5">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right w:val="single" w:color="000000" w:sz="4" w:space="0"/>
            </w:tcBorders>
            <w:noWrap w:val="0"/>
            <w:vAlign w:val="center"/>
          </w:tcPr>
          <w:p w14:paraId="1B09B9A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083D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08B2B7E5">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14:paraId="4D1077E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14:paraId="039C969E">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项目实现决策智能优化：应用机器学习、运筹优化、大数据分析等算法技术，实现后台资源智能调度、供需动态匹配、业务流程自动化等决策层优化。</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6D27B5F">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bottom w:val="single" w:color="auto" w:sz="4" w:space="0"/>
              <w:right w:val="single" w:color="000000" w:sz="4" w:space="0"/>
            </w:tcBorders>
            <w:noWrap w:val="0"/>
            <w:vAlign w:val="center"/>
          </w:tcPr>
          <w:p w14:paraId="5788AF9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047F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auto" w:sz="4" w:space="0"/>
              <w:right w:val="single" w:color="auto" w:sz="4" w:space="0"/>
            </w:tcBorders>
            <w:noWrap/>
            <w:vAlign w:val="center"/>
          </w:tcPr>
          <w:p w14:paraId="123A311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市场实效性</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C666871">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规模覆盖能力</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67912C4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在目标区域内落地网点≥5个，或累计服务区域常驻用户≥3万人</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75C5FD86">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1588B68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落地网点清单（含地址）、覆盖区域分布地图、用户规模统计表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7896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170AD44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901399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4E4BC227">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落地网点3-4个，或服务用户1万-3万人</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4F26DDE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3352ACB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2444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666CA8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4C803C88">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27623B2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落地网点≤2个，或服务用户&lt;1万人</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27CBF8D9">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58F0E0E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49B7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4204B8D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14:paraId="00C92E67">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终端数/场景数</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4E34288F">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运营终端数或消费场景数（取高值）：≥30个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7FD591A1">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56768917">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终端设备清单、场景部署清单、现场照片等材料</w:t>
            </w:r>
          </w:p>
        </w:tc>
      </w:tr>
      <w:tr w14:paraId="7BAB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5C6CD4A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2BE374F1">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0A6CEE4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035C1C20">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12219115">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5CAE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554FFD0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6E803851">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58D4547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3D8CF3E4">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56E7D57B">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54C8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406485D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7744B7DF">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39AC43B0">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12559254">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3</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49EDDE67">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3826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1BD72C8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14:paraId="6D6459D4">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4037F22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&lt;5个</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5BE82B05">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3A550D3F">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3657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4F1ACE75">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14:paraId="4FC4CDEF">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累计服务次数</w:t>
            </w:r>
          </w:p>
          <w:p w14:paraId="2B40981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（2025年9月30日以来）</w:t>
            </w:r>
          </w:p>
        </w:tc>
        <w:tc>
          <w:tcPr>
            <w:tcW w:w="6353" w:type="dxa"/>
            <w:tcBorders>
              <w:top w:val="single" w:color="auto" w:sz="4" w:space="0"/>
              <w:left w:val="single" w:color="auto" w:sz="4" w:space="0"/>
              <w:bottom w:val="single" w:color="auto" w:sz="4" w:space="0"/>
              <w:right w:val="single" w:color="auto" w:sz="4" w:space="0"/>
            </w:tcBorders>
            <w:noWrap w:val="0"/>
            <w:vAlign w:val="center"/>
          </w:tcPr>
          <w:p w14:paraId="135B3EE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≥2000次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1CFEE48B">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14:paraId="634523F5">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后台服务记录、消费订单数据（脱敏）、系统日志等材料</w:t>
            </w:r>
          </w:p>
        </w:tc>
      </w:tr>
      <w:tr w14:paraId="4837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58EEC73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4CAD0509">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7ADCB3D5">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≥1500次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1F216CA5">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4316A67A">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4EF1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3725D0F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14:paraId="5F55D131">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69CC42E6">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≥1000次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273826ED">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3D318306">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7BC9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6850F573">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14:paraId="5B08F12A">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14:paraId="13F4584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&lt;1000次</w:t>
            </w:r>
          </w:p>
        </w:tc>
        <w:tc>
          <w:tcPr>
            <w:tcW w:w="1426" w:type="dxa"/>
            <w:tcBorders>
              <w:top w:val="single" w:color="000000" w:sz="4" w:space="0"/>
              <w:left w:val="single" w:color="auto" w:sz="4" w:space="0"/>
              <w:bottom w:val="single" w:color="000000" w:sz="4" w:space="0"/>
              <w:right w:val="single" w:color="auto" w:sz="4" w:space="0"/>
            </w:tcBorders>
            <w:noWrap/>
            <w:vAlign w:val="center"/>
          </w:tcPr>
          <w:p w14:paraId="30B75A0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14:paraId="55F68975">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14:paraId="5A0E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14:paraId="0974DDC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tcBorders>
              <w:top w:val="single" w:color="auto" w:sz="4" w:space="0"/>
              <w:left w:val="single" w:color="000000" w:sz="4" w:space="0"/>
              <w:right w:val="single" w:color="000000" w:sz="4" w:space="0"/>
            </w:tcBorders>
            <w:noWrap w:val="0"/>
            <w:vAlign w:val="center"/>
          </w:tcPr>
          <w:p w14:paraId="322C5162">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深圳科创消费特色</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111C71F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深圳为全国首个落地城市</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3F60270D">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20</w:t>
            </w:r>
          </w:p>
        </w:tc>
        <w:tc>
          <w:tcPr>
            <w:tcW w:w="3853" w:type="dxa"/>
            <w:tcBorders>
              <w:top w:val="single" w:color="auto" w:sz="4" w:space="0"/>
              <w:left w:val="single" w:color="000000" w:sz="4" w:space="0"/>
              <w:right w:val="single" w:color="000000" w:sz="4" w:space="0"/>
            </w:tcBorders>
            <w:noWrap w:val="0"/>
            <w:vAlign w:val="center"/>
          </w:tcPr>
          <w:p w14:paraId="4036B20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需附有官方媒体新闻稿截图</w:t>
            </w:r>
          </w:p>
        </w:tc>
      </w:tr>
      <w:tr w14:paraId="52EA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14:paraId="3433AAF6">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推广可行性</w:t>
            </w:r>
          </w:p>
        </w:tc>
        <w:tc>
          <w:tcPr>
            <w:tcW w:w="989" w:type="dxa"/>
            <w:vMerge w:val="restart"/>
            <w:tcBorders>
              <w:top w:val="single" w:color="auto" w:sz="4" w:space="0"/>
              <w:left w:val="single" w:color="000000" w:sz="4" w:space="0"/>
              <w:right w:val="single" w:color="000000" w:sz="4" w:space="0"/>
            </w:tcBorders>
            <w:noWrap w:val="0"/>
            <w:vAlign w:val="center"/>
          </w:tcPr>
          <w:p w14:paraId="1B14C91D">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模式可复制性</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63A4701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形成的技术解决方案或运营模式已输出给≥1个其他区域作为参考借鉴（有正式交流纪要或合作协议）</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13F2880B">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auto" w:sz="4" w:space="0"/>
              <w:left w:val="single" w:color="000000" w:sz="4" w:space="0"/>
              <w:right w:val="single" w:color="000000" w:sz="4" w:space="0"/>
            </w:tcBorders>
            <w:noWrap w:val="0"/>
            <w:vAlign w:val="center"/>
          </w:tcPr>
          <w:p w14:paraId="4F53D07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推广方案、商业计划书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等材料</w:t>
            </w:r>
          </w:p>
        </w:tc>
      </w:tr>
      <w:tr w14:paraId="058B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7A6E578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14:paraId="129EEF53">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09B5887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已形成可公开的行业白皮书/操作指南</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19BA5EA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14:paraId="62C615B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340C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56CB649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000000" w:sz="4" w:space="0"/>
              <w:right w:val="single" w:color="000000" w:sz="4" w:space="0"/>
            </w:tcBorders>
            <w:noWrap w:val="0"/>
            <w:vAlign w:val="center"/>
          </w:tcPr>
          <w:p w14:paraId="0FA2BB9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50235E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有详细的技术方案文档，具备参考价值但尚未输出</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0AB32D1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05DB6AD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20E7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22B4DEDE">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bottom w:val="single" w:color="auto" w:sz="4" w:space="0"/>
              <w:right w:val="single" w:color="000000" w:sz="4" w:space="0"/>
            </w:tcBorders>
            <w:noWrap w:val="0"/>
            <w:vAlign w:val="center"/>
          </w:tcPr>
          <w:p w14:paraId="0386EA3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5A9FDBF3">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无标准化文档，商业模式不清晰</w:t>
            </w:r>
          </w:p>
        </w:tc>
        <w:tc>
          <w:tcPr>
            <w:tcW w:w="1426" w:type="dxa"/>
            <w:tcBorders>
              <w:top w:val="single" w:color="auto" w:sz="4" w:space="0"/>
              <w:left w:val="single" w:color="000000" w:sz="4" w:space="0"/>
              <w:bottom w:val="single" w:color="auto" w:sz="4" w:space="0"/>
              <w:right w:val="single" w:color="000000" w:sz="4" w:space="0"/>
            </w:tcBorders>
            <w:noWrap/>
            <w:vAlign w:val="center"/>
          </w:tcPr>
          <w:p w14:paraId="42430BE0">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14:paraId="1A47D7CA">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p>
        </w:tc>
      </w:tr>
      <w:tr w14:paraId="1171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14:paraId="7375381D">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可持续发展</w:t>
            </w:r>
          </w:p>
        </w:tc>
        <w:tc>
          <w:tcPr>
            <w:tcW w:w="989" w:type="dxa"/>
            <w:vMerge w:val="restart"/>
            <w:tcBorders>
              <w:top w:val="single" w:color="000000" w:sz="4" w:space="0"/>
              <w:left w:val="single" w:color="000000" w:sz="4" w:space="0"/>
              <w:right w:val="single" w:color="000000" w:sz="4" w:space="0"/>
            </w:tcBorders>
            <w:noWrap w:val="0"/>
            <w:vAlign w:val="center"/>
          </w:tcPr>
          <w:p w14:paraId="4B8F1FF2">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Style w:val="19"/>
                <w:rFonts w:hint="eastAsia" w:ascii="仿宋_GB2312" w:hAnsi="宋体" w:eastAsia="仿宋_GB2312" w:cs="仿宋_GB2312"/>
                <w:b/>
                <w:bCs/>
                <w:i w:val="0"/>
                <w:iCs w:val="0"/>
                <w:caps w:val="0"/>
                <w:color w:val="auto"/>
                <w:spacing w:val="0"/>
                <w:kern w:val="0"/>
                <w:sz w:val="22"/>
                <w:szCs w:val="22"/>
                <w:highlight w:val="none"/>
                <w:u w:val="none"/>
                <w:shd w:val="clear" w:color="auto" w:fill="FFFFFF"/>
                <w:lang w:bidi="ar"/>
              </w:rPr>
              <w:t>可持续运营能力</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6799B4F7">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配备专职运营团队≥10人</w:t>
            </w:r>
          </w:p>
          <w:p w14:paraId="318E9129">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提供≥1年详细运营规划和资金预算安排情况</w:t>
            </w:r>
          </w:p>
          <w:p w14:paraId="3EB13CDD">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且项目已实现稳定盈利（连续3个月净利润为正）</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E525356">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14:paraId="3FBBB260">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运营团队花名册（含职责分工）、社保缴纳记录、资金保障材料、未来1年运营规划方案、近3个月营收报表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5F2B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5129962C">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458C1CC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aps w:val="0"/>
                <w:color w:val="auto"/>
                <w:spacing w:val="0"/>
                <w:kern w:val="0"/>
                <w:sz w:val="22"/>
                <w:szCs w:val="22"/>
                <w:highlight w:val="none"/>
                <w:u w:val="none"/>
                <w:shd w:val="clear" w:color="auto" w:fill="auto"/>
                <w:lang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3187AE9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配备专职运营团队3-9人</w:t>
            </w:r>
          </w:p>
          <w:p w14:paraId="0CA8D183">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有≥6个月运营规划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624CD3">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14:paraId="3746227F">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34E2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14:paraId="62676365">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14:paraId="16933D7B">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30E0661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无专职运营团队</w:t>
            </w:r>
          </w:p>
          <w:p w14:paraId="1474821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或无长期运营规划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33E6EF">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000000" w:sz="4" w:space="0"/>
              <w:right w:val="single" w:color="000000" w:sz="4" w:space="0"/>
            </w:tcBorders>
            <w:noWrap w:val="0"/>
            <w:vAlign w:val="center"/>
          </w:tcPr>
          <w:p w14:paraId="10DE7D64">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r>
      <w:tr w14:paraId="12E5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14:paraId="36A27673">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风险防控</w:t>
            </w:r>
          </w:p>
        </w:tc>
        <w:tc>
          <w:tcPr>
            <w:tcW w:w="989" w:type="dxa"/>
            <w:vMerge w:val="restart"/>
            <w:tcBorders>
              <w:top w:val="single" w:color="000000" w:sz="4" w:space="0"/>
              <w:left w:val="single" w:color="000000" w:sz="4" w:space="0"/>
              <w:right w:val="single" w:color="000000" w:sz="4" w:space="0"/>
            </w:tcBorders>
            <w:noWrap w:val="0"/>
            <w:vAlign w:val="center"/>
          </w:tcPr>
          <w:p w14:paraId="1FC4FB7C">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风险应对与应急处理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3BA0ACE1">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已制定完整的AI技术故障、消费纠纷、数据安全、舆情应对四类应急预案，明确处置流程、责任人及24小时响应机制，近6个月无重大风险事故（数据泄露、重大舆情、群体性投诉）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FC772E2">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restart"/>
            <w:tcBorders>
              <w:top w:val="single" w:color="000000" w:sz="4" w:space="0"/>
              <w:left w:val="single" w:color="000000" w:sz="4" w:space="0"/>
              <w:right w:val="single" w:color="000000" w:sz="4" w:space="0"/>
            </w:tcBorders>
            <w:noWrap w:val="0"/>
            <w:vAlign w:val="center"/>
          </w:tcPr>
          <w:p w14:paraId="78DA5722">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风险防控应急预案文件、风险处置责任分工及通讯录、近6个月系统运维及投诉处理记录</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14:paraId="13DB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01B3A6E7">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7E4C5C3C">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14:paraId="0493EAF1">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有基础应急预案，覆盖核心风险场景（≥2类），但处置流程不完整或响应机制不明确</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DC4DDD0">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485F3A57">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033F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auto" w:sz="4" w:space="0"/>
              <w:right w:val="single" w:color="000000" w:sz="4" w:space="0"/>
            </w:tcBorders>
            <w:noWrap/>
            <w:vAlign w:val="center"/>
          </w:tcPr>
          <w:p w14:paraId="20D230AA">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auto" w:sz="4" w:space="0"/>
              <w:right w:val="single" w:color="000000" w:sz="4" w:space="0"/>
            </w:tcBorders>
            <w:noWrap w:val="0"/>
            <w:vAlign w:val="center"/>
          </w:tcPr>
          <w:p w14:paraId="56262F28">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auto" w:sz="4" w:space="0"/>
              <w:right w:val="single" w:color="000000" w:sz="4" w:space="0"/>
            </w:tcBorders>
            <w:noWrap w:val="0"/>
            <w:vAlign w:val="center"/>
          </w:tcPr>
          <w:p w14:paraId="276070EC">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无应急预案，或近6个月内发生过重大风险事故</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03C9BAD">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14:paraId="28F3D49C">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14:paraId="0008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14:paraId="2CE5AC18">
            <w:pPr>
              <w:snapToGrid w:val="0"/>
              <w:spacing w:before="0" w:after="0" w:line="560" w:lineRule="exact"/>
              <w:ind w:left="0" w:leftChars="0" w:right="0" w:rightChars="0" w:firstLine="0" w:firstLineChars="0"/>
              <w:jc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企业资质及示范引领作用</w:t>
            </w:r>
          </w:p>
        </w:tc>
        <w:tc>
          <w:tcPr>
            <w:tcW w:w="989" w:type="dxa"/>
            <w:vMerge w:val="restart"/>
            <w:tcBorders>
              <w:top w:val="single" w:color="auto" w:sz="4" w:space="0"/>
              <w:left w:val="single" w:color="000000" w:sz="4" w:space="0"/>
              <w:right w:val="single" w:color="000000" w:sz="4" w:space="0"/>
            </w:tcBorders>
            <w:noWrap w:val="0"/>
            <w:vAlign w:val="center"/>
          </w:tcPr>
          <w:p w14:paraId="72A082FD">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加分项（可重复得分）</w:t>
            </w: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509C0024">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获得国家级/省级科技企业资质或荣誉（包括但不限于：国家高新技术企业、专精特新“小巨人”企业、专精特新中小企业、创新型中小企业、国家技术创新示范企业、科技型中小企业、瞪羚企业、知识产权优势/示范企业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AB5991C">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restart"/>
            <w:tcBorders>
              <w:top w:val="single" w:color="auto" w:sz="4" w:space="0"/>
              <w:left w:val="single" w:color="000000" w:sz="4" w:space="0"/>
              <w:right w:val="single" w:color="000000" w:sz="4" w:space="0"/>
            </w:tcBorders>
            <w:noWrap w:val="0"/>
            <w:vAlign w:val="center"/>
          </w:tcPr>
          <w:p w14:paraId="2B171091">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相关荣誉证书、主流媒体报道截图或链接等</w:t>
            </w:r>
          </w:p>
        </w:tc>
      </w:tr>
      <w:tr w14:paraId="4507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42ABEC72">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514B40E2">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0A01BCB5">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国家级</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荣誉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8E5BD10">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2F1687B8">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7074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6EF27D86">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14455C69">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6EC6F553">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省部级科技奖项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964F42">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4CB13481">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1D08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14:paraId="3388B85F">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14:paraId="32D05A27">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14:paraId="3E05BE87">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被国家级政府部门列为典型案例推广或被国家级主流媒体（央视、</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《人民日报》</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3E0D3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14:paraId="13D83E07">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14:paraId="5C9F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14:paraId="2507CCB0">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14:paraId="5008335C">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000000" w:sz="4" w:space="0"/>
              <w:right w:val="single" w:color="000000" w:sz="4" w:space="0"/>
            </w:tcBorders>
            <w:noWrap w:val="0"/>
            <w:vAlign w:val="center"/>
          </w:tcPr>
          <w:p w14:paraId="0D89C884">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被省级政府部门列为典型案例推广或被省级主流媒体专题报道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94ACE1A">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bottom w:val="single" w:color="000000" w:sz="4" w:space="0"/>
              <w:right w:val="single" w:color="000000" w:sz="4" w:space="0"/>
            </w:tcBorders>
            <w:noWrap w:val="0"/>
            <w:vAlign w:val="center"/>
          </w:tcPr>
          <w:p w14:paraId="7289DF0E">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bl>
    <w:p w14:paraId="4DF45F7F">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注：新一代人工智能技术包括但不限于智算芯片、具身智能、高阶智驾、端侧轻量化模型、多模态模型等方向。</w:t>
      </w:r>
    </w:p>
    <w:p w14:paraId="25EB23C9">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14:paraId="219C66C8">
      <w:pPr>
        <w:rPr>
          <w:color w:val="auto"/>
          <w:highlight w:val="none"/>
        </w:rPr>
      </w:pPr>
    </w:p>
    <w:sectPr>
      <w:headerReference r:id="rId7" w:type="default"/>
      <w:pgSz w:w="16838" w:h="11906" w:orient="landscape"/>
      <w:pgMar w:top="1474" w:right="1814" w:bottom="1474" w:left="181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9CE5">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8E624">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A8E624">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7A9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3F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05E716C"/>
    <w:rsid w:val="012A09FA"/>
    <w:rsid w:val="02803A46"/>
    <w:rsid w:val="02CB1CF7"/>
    <w:rsid w:val="02DA63DE"/>
    <w:rsid w:val="02E93786"/>
    <w:rsid w:val="032C6A46"/>
    <w:rsid w:val="03B55433"/>
    <w:rsid w:val="05036B9E"/>
    <w:rsid w:val="052D305E"/>
    <w:rsid w:val="052E6828"/>
    <w:rsid w:val="06426774"/>
    <w:rsid w:val="064C2F18"/>
    <w:rsid w:val="06825C75"/>
    <w:rsid w:val="068A4895"/>
    <w:rsid w:val="070F7027"/>
    <w:rsid w:val="08461CA3"/>
    <w:rsid w:val="0A0D52EB"/>
    <w:rsid w:val="0A2D6324"/>
    <w:rsid w:val="0A302337"/>
    <w:rsid w:val="0A58254D"/>
    <w:rsid w:val="0A6C5760"/>
    <w:rsid w:val="0A8D4688"/>
    <w:rsid w:val="0B35692F"/>
    <w:rsid w:val="0B4456D1"/>
    <w:rsid w:val="0BAD1FAB"/>
    <w:rsid w:val="0BE1742C"/>
    <w:rsid w:val="0CE26E99"/>
    <w:rsid w:val="0D0E36C4"/>
    <w:rsid w:val="0D1F0CED"/>
    <w:rsid w:val="0E511A57"/>
    <w:rsid w:val="0E913392"/>
    <w:rsid w:val="0EB47F46"/>
    <w:rsid w:val="0F95719B"/>
    <w:rsid w:val="0FBB6FC1"/>
    <w:rsid w:val="0FE131A1"/>
    <w:rsid w:val="0FED3255"/>
    <w:rsid w:val="10BF0BFF"/>
    <w:rsid w:val="10F308A0"/>
    <w:rsid w:val="11A73770"/>
    <w:rsid w:val="124226AB"/>
    <w:rsid w:val="126D73E5"/>
    <w:rsid w:val="13A40095"/>
    <w:rsid w:val="14053C83"/>
    <w:rsid w:val="15C958A9"/>
    <w:rsid w:val="160A19AA"/>
    <w:rsid w:val="163D2AB4"/>
    <w:rsid w:val="16FA8BE0"/>
    <w:rsid w:val="172A2DF8"/>
    <w:rsid w:val="17B005EC"/>
    <w:rsid w:val="185533C0"/>
    <w:rsid w:val="187E0EC3"/>
    <w:rsid w:val="18AB1F57"/>
    <w:rsid w:val="190653E0"/>
    <w:rsid w:val="197B53D3"/>
    <w:rsid w:val="1A595627"/>
    <w:rsid w:val="1C210334"/>
    <w:rsid w:val="1C964CCC"/>
    <w:rsid w:val="1CB753A9"/>
    <w:rsid w:val="1CFC17D2"/>
    <w:rsid w:val="1D0D00C6"/>
    <w:rsid w:val="1D641A53"/>
    <w:rsid w:val="1D7D3E55"/>
    <w:rsid w:val="1DCBAF54"/>
    <w:rsid w:val="1EBE0883"/>
    <w:rsid w:val="1F615BEE"/>
    <w:rsid w:val="205A510F"/>
    <w:rsid w:val="21127D99"/>
    <w:rsid w:val="21A5207B"/>
    <w:rsid w:val="22C22819"/>
    <w:rsid w:val="23AE7537"/>
    <w:rsid w:val="246A3FA3"/>
    <w:rsid w:val="26B13C0B"/>
    <w:rsid w:val="26E72CF4"/>
    <w:rsid w:val="272E1910"/>
    <w:rsid w:val="2976170C"/>
    <w:rsid w:val="29862CCB"/>
    <w:rsid w:val="2A104310"/>
    <w:rsid w:val="2A1A1904"/>
    <w:rsid w:val="2A4B3E74"/>
    <w:rsid w:val="2BA068F1"/>
    <w:rsid w:val="2C2A1457"/>
    <w:rsid w:val="2CAE0A32"/>
    <w:rsid w:val="2EF028BC"/>
    <w:rsid w:val="2F0A3862"/>
    <w:rsid w:val="2FFC0AFB"/>
    <w:rsid w:val="302C0287"/>
    <w:rsid w:val="31A95387"/>
    <w:rsid w:val="31B31F93"/>
    <w:rsid w:val="31B83DD4"/>
    <w:rsid w:val="321653A8"/>
    <w:rsid w:val="322E20A6"/>
    <w:rsid w:val="329C19A3"/>
    <w:rsid w:val="32F52701"/>
    <w:rsid w:val="341A4C22"/>
    <w:rsid w:val="347B2CCE"/>
    <w:rsid w:val="352B3694"/>
    <w:rsid w:val="35AA0056"/>
    <w:rsid w:val="363C0287"/>
    <w:rsid w:val="3654545B"/>
    <w:rsid w:val="36565190"/>
    <w:rsid w:val="366C2500"/>
    <w:rsid w:val="382C7B34"/>
    <w:rsid w:val="387303F9"/>
    <w:rsid w:val="392F53FC"/>
    <w:rsid w:val="392F6470"/>
    <w:rsid w:val="39FD4890"/>
    <w:rsid w:val="3AE03440"/>
    <w:rsid w:val="3B0E3D0E"/>
    <w:rsid w:val="3BFC17F2"/>
    <w:rsid w:val="3C0C0B0D"/>
    <w:rsid w:val="3CFD6976"/>
    <w:rsid w:val="3D4A73E3"/>
    <w:rsid w:val="3D5D42F6"/>
    <w:rsid w:val="3DB808BA"/>
    <w:rsid w:val="3F2E6041"/>
    <w:rsid w:val="3FAC643B"/>
    <w:rsid w:val="3FDDF272"/>
    <w:rsid w:val="407A2ECB"/>
    <w:rsid w:val="418D6C3A"/>
    <w:rsid w:val="423806ED"/>
    <w:rsid w:val="423865DE"/>
    <w:rsid w:val="428230B1"/>
    <w:rsid w:val="42FB5880"/>
    <w:rsid w:val="437A5877"/>
    <w:rsid w:val="43BB3CEC"/>
    <w:rsid w:val="4412784D"/>
    <w:rsid w:val="4419481C"/>
    <w:rsid w:val="443C2562"/>
    <w:rsid w:val="44A91A1A"/>
    <w:rsid w:val="44D052C5"/>
    <w:rsid w:val="45B74C48"/>
    <w:rsid w:val="46A70EF9"/>
    <w:rsid w:val="46AE1F3D"/>
    <w:rsid w:val="473C23B2"/>
    <w:rsid w:val="4743523B"/>
    <w:rsid w:val="474450E0"/>
    <w:rsid w:val="47781E40"/>
    <w:rsid w:val="48541414"/>
    <w:rsid w:val="4900762E"/>
    <w:rsid w:val="49EC7FDD"/>
    <w:rsid w:val="4A6B0082"/>
    <w:rsid w:val="4AB56AE2"/>
    <w:rsid w:val="4B0038EE"/>
    <w:rsid w:val="4B6E7935"/>
    <w:rsid w:val="4BB87F0C"/>
    <w:rsid w:val="4D3521BB"/>
    <w:rsid w:val="4E7E74BD"/>
    <w:rsid w:val="4E805B64"/>
    <w:rsid w:val="4E853694"/>
    <w:rsid w:val="4EE07D75"/>
    <w:rsid w:val="4F0F02C3"/>
    <w:rsid w:val="4F214F20"/>
    <w:rsid w:val="4F9660BB"/>
    <w:rsid w:val="4FB87893"/>
    <w:rsid w:val="4FC2745B"/>
    <w:rsid w:val="509A0D5C"/>
    <w:rsid w:val="50CB0BE4"/>
    <w:rsid w:val="51A47BE3"/>
    <w:rsid w:val="52252BFC"/>
    <w:rsid w:val="540939FA"/>
    <w:rsid w:val="543117F2"/>
    <w:rsid w:val="54D06548"/>
    <w:rsid w:val="54E753F5"/>
    <w:rsid w:val="554FA15E"/>
    <w:rsid w:val="563F7F48"/>
    <w:rsid w:val="56F7427F"/>
    <w:rsid w:val="57630B12"/>
    <w:rsid w:val="5779221D"/>
    <w:rsid w:val="584A4BC5"/>
    <w:rsid w:val="584C4C5F"/>
    <w:rsid w:val="589B5008"/>
    <w:rsid w:val="58A326D8"/>
    <w:rsid w:val="59466376"/>
    <w:rsid w:val="5A6327D8"/>
    <w:rsid w:val="5AA370C6"/>
    <w:rsid w:val="5AEF58D9"/>
    <w:rsid w:val="5BF51433"/>
    <w:rsid w:val="5D3A2B61"/>
    <w:rsid w:val="5EAB332E"/>
    <w:rsid w:val="5EDA3C27"/>
    <w:rsid w:val="5F6568F7"/>
    <w:rsid w:val="5FFBFD4E"/>
    <w:rsid w:val="5FFF8D5C"/>
    <w:rsid w:val="60C802BC"/>
    <w:rsid w:val="61DE0EB4"/>
    <w:rsid w:val="623151CA"/>
    <w:rsid w:val="625F3421"/>
    <w:rsid w:val="63A419D8"/>
    <w:rsid w:val="64D37E08"/>
    <w:rsid w:val="64DB7056"/>
    <w:rsid w:val="6575B814"/>
    <w:rsid w:val="65BFEBEA"/>
    <w:rsid w:val="66982F4F"/>
    <w:rsid w:val="66F0546D"/>
    <w:rsid w:val="67486004"/>
    <w:rsid w:val="683B3E0E"/>
    <w:rsid w:val="6888651F"/>
    <w:rsid w:val="6894168D"/>
    <w:rsid w:val="68E34454"/>
    <w:rsid w:val="68EB6152"/>
    <w:rsid w:val="69B52798"/>
    <w:rsid w:val="6A7451AD"/>
    <w:rsid w:val="6AC14C27"/>
    <w:rsid w:val="6AD17E5E"/>
    <w:rsid w:val="6B3EB88D"/>
    <w:rsid w:val="6B6B4CB3"/>
    <w:rsid w:val="6BC41409"/>
    <w:rsid w:val="6C030E4B"/>
    <w:rsid w:val="6C5C62E3"/>
    <w:rsid w:val="6CAB30BC"/>
    <w:rsid w:val="6CED51AD"/>
    <w:rsid w:val="6D042BC1"/>
    <w:rsid w:val="6DEEA043"/>
    <w:rsid w:val="6E365A3C"/>
    <w:rsid w:val="6FCC3E6E"/>
    <w:rsid w:val="6FEE0232"/>
    <w:rsid w:val="6FEFB7EB"/>
    <w:rsid w:val="6FFF1537"/>
    <w:rsid w:val="6FFF9156"/>
    <w:rsid w:val="71D6011D"/>
    <w:rsid w:val="72694444"/>
    <w:rsid w:val="72AF14FA"/>
    <w:rsid w:val="72CCF95A"/>
    <w:rsid w:val="738FA7E8"/>
    <w:rsid w:val="73A0155B"/>
    <w:rsid w:val="74BE521F"/>
    <w:rsid w:val="74F90479"/>
    <w:rsid w:val="750C1C31"/>
    <w:rsid w:val="760B2FB7"/>
    <w:rsid w:val="7625601A"/>
    <w:rsid w:val="76463F55"/>
    <w:rsid w:val="76976C92"/>
    <w:rsid w:val="76E7A51A"/>
    <w:rsid w:val="76EF2560"/>
    <w:rsid w:val="77775C59"/>
    <w:rsid w:val="77BF249E"/>
    <w:rsid w:val="77BF93F3"/>
    <w:rsid w:val="78070238"/>
    <w:rsid w:val="78D33F7B"/>
    <w:rsid w:val="798E36E0"/>
    <w:rsid w:val="7AAE0691"/>
    <w:rsid w:val="7BCB6CA6"/>
    <w:rsid w:val="7BFEB912"/>
    <w:rsid w:val="7C160625"/>
    <w:rsid w:val="7C1A6A34"/>
    <w:rsid w:val="7CBE4AD3"/>
    <w:rsid w:val="7CF93ECE"/>
    <w:rsid w:val="7D1C7CE5"/>
    <w:rsid w:val="7EFF667A"/>
    <w:rsid w:val="7F363046"/>
    <w:rsid w:val="7F37A9D1"/>
    <w:rsid w:val="7F57AF46"/>
    <w:rsid w:val="7F6FAAF8"/>
    <w:rsid w:val="7FE945FD"/>
    <w:rsid w:val="8EFFBC18"/>
    <w:rsid w:val="AC2DB864"/>
    <w:rsid w:val="AD5E79E0"/>
    <w:rsid w:val="AFF12026"/>
    <w:rsid w:val="B2F75F1D"/>
    <w:rsid w:val="B7CD38DF"/>
    <w:rsid w:val="BE5F0EAB"/>
    <w:rsid w:val="BFDF6CE9"/>
    <w:rsid w:val="CFFB07A0"/>
    <w:rsid w:val="DAA7F856"/>
    <w:rsid w:val="DEF3A296"/>
    <w:rsid w:val="DF7E72E6"/>
    <w:rsid w:val="DFFF8C5C"/>
    <w:rsid w:val="E0FDEE4E"/>
    <w:rsid w:val="E56AB755"/>
    <w:rsid w:val="E8EFA96F"/>
    <w:rsid w:val="EBF7B39F"/>
    <w:rsid w:val="F3D1CF89"/>
    <w:rsid w:val="F72F75A0"/>
    <w:rsid w:val="F7772E64"/>
    <w:rsid w:val="FBED48AB"/>
    <w:rsid w:val="FBF9F7D1"/>
    <w:rsid w:val="FD9FAED7"/>
    <w:rsid w:val="FDEF3408"/>
    <w:rsid w:val="FEFBCB58"/>
    <w:rsid w:val="FF773750"/>
    <w:rsid w:val="FF77E1E5"/>
    <w:rsid w:val="FFC4A885"/>
    <w:rsid w:val="FFD9CCFF"/>
    <w:rsid w:val="FFEFB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character" w:customStyle="1" w:styleId="35">
    <w:name w:val="font01"/>
    <w:qFormat/>
    <w:uiPriority w:val="0"/>
    <w:rPr>
      <w:rFonts w:hint="eastAsia" w:ascii="宋体" w:hAnsi="宋体" w:eastAsia="宋体" w:cs="宋体"/>
      <w:color w:val="000000"/>
      <w:sz w:val="22"/>
      <w:szCs w:val="22"/>
      <w:u w:val="none"/>
    </w:rPr>
  </w:style>
  <w:style w:type="paragraph" w:customStyle="1" w:styleId="36">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5059</Words>
  <Characters>5215</Characters>
  <Lines>0</Lines>
  <Paragraphs>0</Paragraphs>
  <TotalTime>2</TotalTime>
  <ScaleCrop>false</ScaleCrop>
  <LinksUpToDate>false</LinksUpToDate>
  <CharactersWithSpaces>5223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2025-07-08T18:47:00Z</dcterms:created>
  <dc:creator>黄佩琳</dc:creator>
  <cp:lastModifiedBy>吴佩庭</cp:lastModifiedBy>
  <cp:lastPrinted>2026-03-29T06:49:00Z</cp:lastPrinted>
  <dcterms:modified xsi:type="dcterms:W3CDTF">2026-06-23T10:36:30Z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BCE87815C3504CF1ACCBEE19063BD71E_13</vt:lpwstr>
  </property>
  <property fmtid="{D5CDD505-2E9C-101B-9397-08002B2CF9AE}" pid="4" name="KSOTemplateDocerSaveRecord">
    <vt:lpwstr>eyJoZGlkIjoiY2NiNzc0ZWE4MzBjY2JmMGYyMmY4NjkxNmNhZGJlNDUiLCJ1c2VySWQiOiI4NzUyMjIyNTQifQ==</vt:lpwstr>
  </property>
</Properties>
</file>