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bookmarkStart w:id="0" w:name="_Toc32562"/>
      <w:bookmarkStart w:id="1" w:name="_Toc13216"/>
      <w:bookmarkStart w:id="2" w:name="_Toc5810"/>
      <w:bookmarkStart w:id="3" w:name="_Toc125127182"/>
      <w:r>
        <w:rPr>
          <w:rFonts w:hint="eastAsia" w:ascii="黑体" w:hAnsi="黑体" w:eastAsia="黑体" w:cs="黑体"/>
          <w:color w:val="auto"/>
          <w:sz w:val="32"/>
          <w:szCs w:val="32"/>
          <w:highlight w:val="none"/>
          <w:lang w:val="en-US" w:eastAsia="zh-CN"/>
        </w:rPr>
        <w:t>附件4</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联名—优质消费资源与知名IP跨界联合</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单体场景资助项目）申报指南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支持具备影响力和粉丝基础的IP（包含影视、游戏、动漫、国潮文化等）与消费场景深度融合，通过场景搭建、业态创新和互动设计，打造具有一定规模、影响力、兼具情感共鸣与沉浸式体验的新型消费空间。</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1.支持新开设IP主题文化消费店铺</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（1）申报项目以IP主题衍生品销售、IP文化体验等为核心业务；</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（2）拥有自主知识产权或正规授权、IP衍生品产品类型不少于3类；</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（3）月均提供服务次数不低于1000次（统计周期为2025年9月30日至申报受理前一个月月末；月均值按该期间实际运营数据计算，不足一个月的部分，按日均值折算为月均值）。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2.支持新开设IP焕新体验空间</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highlight w:val="none"/>
          <w:lang w:val="en-US" w:eastAsia="zh-CN"/>
        </w:rPr>
        <w:t>（1）</w:t>
      </w:r>
      <w:r>
        <w:rPr>
          <w:rFonts w:hint="eastAsia"/>
          <w:color w:val="auto"/>
          <w:lang w:val="en-US" w:eastAsia="zh-CN"/>
        </w:rPr>
        <w:t>申报</w:t>
      </w:r>
      <w:r>
        <w:rPr>
          <w:rFonts w:hint="eastAsia"/>
          <w:color w:val="auto"/>
          <w:lang w:eastAsia="zh-CN"/>
        </w:rPr>
        <w:t>项目</w:t>
      </w:r>
      <w:r>
        <w:rPr>
          <w:rFonts w:hint="eastAsia"/>
          <w:color w:val="auto"/>
          <w:lang w:val="en-US" w:eastAsia="zh-CN"/>
        </w:rPr>
        <w:t>须对现有商业空间进行跨界联名、主题升级、内容共创等IP化改造与内容焕新，成功打造兼具情感共鸣与沉浸式体验的新型消费场景；</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lang w:val="en-US" w:eastAsia="zh-CN"/>
        </w:rPr>
        <w:t>（2）场景主题明确，拥有自主知识产权或正规授权。</w:t>
      </w:r>
    </w:p>
    <w:p>
      <w:pPr>
        <w:pStyle w:val="36"/>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color w:val="auto"/>
          <w:highlight w:val="none"/>
          <w:lang w:val="en-US" w:eastAsia="zh-CN"/>
        </w:rPr>
      </w:pPr>
      <w:r>
        <w:rPr>
          <w:rFonts w:hint="eastAsia"/>
          <w:color w:val="auto"/>
          <w:highlight w:val="none"/>
          <w:lang w:val="en-US" w:eastAsia="zh-CN"/>
        </w:rPr>
        <w:t>（一）支持新开设IP主题文化消费店铺，按项目相关的实际有效投入的20%给予资助，试点期间最高不超过100万元。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（二）支持新开设IP焕新体验空间，按项目相关的实际有效投入的20%给予资助，试点期间最高不超过100万元</w:t>
      </w:r>
      <w:r>
        <w:rPr>
          <w:rFonts w:hint="eastAsia" w:ascii="仿宋_GB2312" w:eastAsia="仿宋_GB2312"/>
          <w:color w:val="auto"/>
          <w:highlight w:val="none"/>
          <w:lang w:val="en-US" w:eastAsia="zh-CN"/>
        </w:rPr>
        <w:t>。</w:t>
      </w:r>
    </w:p>
    <w:p>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IP单体场景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登录广东政务服务网在线下载填报申请书（网址：http://www.gdzwfw.gov.cn/—选择“深圳市”—龙华区—龙华区商务局—“深圳市消费新业态新模式新场景试点项目（支持优质消费资源与知名IP跨界联名—优质消费资源与知名IP跨界联合单体场景资助项目）</w:t>
      </w:r>
      <w:r>
        <w:rPr>
          <w:rFonts w:hint="eastAsia"/>
          <w:color w:val="auto"/>
          <w:highlight w:val="none"/>
          <w:lang w:val="en-US" w:eastAsia="zh-CN"/>
        </w:rPr>
        <w:t>”</w:t>
      </w:r>
      <w:r>
        <w:rPr>
          <w:rFonts w:hint="default"/>
          <w:color w:val="auto"/>
          <w:highlight w:val="none"/>
          <w:lang w:val="en-US" w:eastAsia="zh-CN"/>
        </w:rPr>
        <w:t>—点击“在线办理”—登录后按要求填报并上传申请材料—点击提交），初审通过后提供申请书纸质文件原件并将本指南第六条要求的项目申报材料一并线下交给区商务部门。</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（1）项目成效总结（详见项目申报书）。</w:t>
      </w:r>
    </w:p>
    <w:p>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IP授权证明</w:t>
      </w:r>
      <w:r>
        <w:rPr>
          <w:rFonts w:hint="eastAsia"/>
          <w:color w:val="auto"/>
          <w:highlight w:val="none"/>
          <w:lang w:val="en-US" w:eastAsia="zh-CN"/>
        </w:rPr>
        <w:t>：</w:t>
      </w:r>
      <w:r>
        <w:rPr>
          <w:rFonts w:hint="default"/>
          <w:color w:val="auto"/>
          <w:highlight w:val="none"/>
          <w:lang w:val="en-US" w:eastAsia="zh-CN"/>
        </w:rPr>
        <w:tab/>
      </w:r>
      <w:r>
        <w:rPr>
          <w:rFonts w:hint="default"/>
          <w:color w:val="auto"/>
          <w:highlight w:val="none"/>
          <w:lang w:val="en-US" w:eastAsia="zh-CN"/>
        </w:rPr>
        <w:t>IP方出具的正式授权书或合作协议</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（4）固定经营场所佐证材料：不动产权证书、租赁合同或场地使用文件。</w:t>
      </w:r>
    </w:p>
    <w:p>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分类型专项材料（选择</w:t>
      </w:r>
      <w:r>
        <w:rPr>
          <w:rFonts w:hint="eastAsia"/>
          <w:color w:val="auto"/>
          <w:highlight w:val="none"/>
          <w:lang w:val="en-US" w:eastAsia="zh-CN"/>
        </w:rPr>
        <w:t>一类型</w:t>
      </w:r>
      <w:r>
        <w:rPr>
          <w:rFonts w:hint="default"/>
          <w:color w:val="auto"/>
          <w:highlight w:val="none"/>
          <w:lang w:val="en-US" w:eastAsia="zh-CN"/>
        </w:rPr>
        <w:t>提交）</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一是</w:t>
      </w:r>
      <w:r>
        <w:rPr>
          <w:rFonts w:hint="default"/>
          <w:color w:val="auto"/>
          <w:highlight w:val="none"/>
          <w:lang w:val="en-US" w:eastAsia="zh-CN"/>
        </w:rPr>
        <w:t>IP主题文化消费店铺</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（1）核心业务材料：项目说明（须体现以IP衍生品销售、IP文化体验为核心业务）。</w:t>
      </w:r>
    </w:p>
    <w:p>
      <w:pPr>
        <w:bidi w:val="0"/>
        <w:rPr>
          <w:rFonts w:hint="eastAsia"/>
          <w:color w:val="auto"/>
          <w:highlight w:val="none"/>
          <w:lang w:val="en-US" w:eastAsia="zh-CN"/>
        </w:rPr>
      </w:pPr>
      <w:r>
        <w:rPr>
          <w:rFonts w:hint="eastAsia"/>
          <w:color w:val="auto"/>
          <w:highlight w:val="none"/>
          <w:lang w:val="en-US" w:eastAsia="zh-CN"/>
        </w:rPr>
        <w:t>（2）产品类型佐证材料：IP衍生品清单（须体现产品类型不少于3类）。</w:t>
      </w:r>
    </w:p>
    <w:p>
      <w:pPr>
        <w:bidi w:val="0"/>
        <w:rPr>
          <w:rFonts w:hint="eastAsia"/>
          <w:color w:val="auto"/>
          <w:highlight w:val="none"/>
          <w:lang w:val="en-US" w:eastAsia="zh-CN"/>
        </w:rPr>
      </w:pPr>
      <w:r>
        <w:rPr>
          <w:rFonts w:hint="eastAsia"/>
          <w:color w:val="auto"/>
          <w:highlight w:val="none"/>
          <w:lang w:val="en-US" w:eastAsia="zh-CN"/>
        </w:rPr>
        <w:t>（3）服务次数佐证材料：后台服务记录、消费订单数据等（须体现月均不低于1000次）。</w:t>
      </w:r>
    </w:p>
    <w:p>
      <w:pPr>
        <w:bidi w:val="0"/>
        <w:rPr>
          <w:rFonts w:hint="eastAsia"/>
          <w:color w:val="auto"/>
          <w:highlight w:val="none"/>
          <w:lang w:val="en-US" w:eastAsia="zh-CN"/>
        </w:rPr>
      </w:pPr>
      <w:r>
        <w:rPr>
          <w:rFonts w:hint="eastAsia"/>
          <w:color w:val="auto"/>
          <w:highlight w:val="none"/>
          <w:lang w:val="en-US" w:eastAsia="zh-CN"/>
        </w:rPr>
        <w:t>（4）开设时间佐证材料：营业执照或开业登记、媒体报道等材料（须体现为2025年9月30日（含）之后新开设店铺）。</w:t>
      </w:r>
    </w:p>
    <w:p>
      <w:pPr>
        <w:bidi w:val="0"/>
        <w:rPr>
          <w:rFonts w:hint="default"/>
          <w:color w:val="auto"/>
          <w:highlight w:val="none"/>
          <w:lang w:val="en-US" w:eastAsia="zh-CN"/>
        </w:rPr>
      </w:pPr>
      <w:r>
        <w:rPr>
          <w:rFonts w:hint="eastAsia"/>
          <w:color w:val="auto"/>
          <w:highlight w:val="none"/>
          <w:lang w:val="en-US" w:eastAsia="zh-CN"/>
        </w:rPr>
        <w:t>二是</w:t>
      </w:r>
      <w:r>
        <w:rPr>
          <w:rFonts w:hint="default"/>
          <w:color w:val="auto"/>
          <w:highlight w:val="none"/>
          <w:lang w:val="en-US" w:eastAsia="zh-CN"/>
        </w:rPr>
        <w:t>IP焕新体验空间</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（1）焕新体验说明材料：详细说明跨界联名、主题升级、内容共创等改造升级内容，附改造前后对比照片、改造方案、施工记录等。</w:t>
      </w:r>
    </w:p>
    <w:p>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场景主题佐证材料：明确场景IP主题，提供主题设计方案、实景呈现资料</w:t>
      </w:r>
      <w:r>
        <w:rPr>
          <w:rFonts w:hint="eastAsia"/>
          <w:color w:val="auto"/>
          <w:highlight w:val="none"/>
          <w:lang w:val="en-US" w:eastAsia="zh-CN"/>
        </w:rPr>
        <w:t>等。</w:t>
      </w:r>
    </w:p>
    <w:p>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开设时间佐证材料：营业执照</w:t>
      </w:r>
      <w:r>
        <w:rPr>
          <w:rFonts w:hint="eastAsia"/>
          <w:color w:val="auto"/>
          <w:highlight w:val="none"/>
          <w:lang w:val="en-US" w:eastAsia="zh-CN"/>
        </w:rPr>
        <w:t>或开业登记、媒体报道等材料（须体现为2025年9月30日（含）之后新开设店铺）。</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bookmarkStart w:id="18" w:name="_Toc20121"/>
      <w:bookmarkStart w:id="19" w:name="_Toc13760"/>
      <w:r>
        <w:rPr>
          <w:rFonts w:hint="default" w:hAnsi="Calibri" w:cs="Times New Roman"/>
          <w:color w:val="auto"/>
          <w:sz w:val="32"/>
          <w:szCs w:val="32"/>
          <w:highlight w:val="none"/>
          <w:lang w:eastAsia="zh-CN"/>
        </w:rPr>
        <w:t>本指南第六条（一）规定登录广东政务服务网在线填报申请书，网址：</w:t>
      </w:r>
      <w:r>
        <w:rPr>
          <w:rFonts w:hint="default" w:hAnsi="Calibri" w:cs="Times New Roman"/>
          <w:color w:val="auto"/>
          <w:sz w:val="32"/>
          <w:szCs w:val="32"/>
          <w:highlight w:val="none"/>
          <w:u w:val="none"/>
          <w:lang w:eastAsia="zh-CN"/>
        </w:rPr>
        <w:fldChar w:fldCharType="begin"/>
      </w:r>
      <w:r>
        <w:rPr>
          <w:rFonts w:hint="default" w:hAnsi="Calibri" w:cs="Times New Roman"/>
          <w:color w:val="auto"/>
          <w:sz w:val="32"/>
          <w:szCs w:val="32"/>
          <w:highlight w:val="none"/>
          <w:u w:val="none"/>
          <w:lang w:eastAsia="zh-CN"/>
        </w:rPr>
        <w:instrText xml:space="preserve"> HYPERLINK "https://www.gdzwfw.gov.cn/。" </w:instrText>
      </w:r>
      <w:r>
        <w:rPr>
          <w:rFonts w:hint="default" w:hAnsi="Calibri" w:cs="Times New Roman"/>
          <w:color w:val="auto"/>
          <w:sz w:val="32"/>
          <w:szCs w:val="32"/>
          <w:highlight w:val="none"/>
          <w:u w:val="none"/>
          <w:lang w:eastAsia="zh-CN"/>
        </w:rPr>
        <w:fldChar w:fldCharType="separate"/>
      </w:r>
      <w:r>
        <w:rPr>
          <w:rStyle w:val="21"/>
          <w:rFonts w:hint="default" w:hAnsi="Calibri" w:cs="Times New Roman"/>
          <w:color w:val="auto"/>
          <w:sz w:val="32"/>
          <w:szCs w:val="32"/>
          <w:highlight w:val="none"/>
          <w:u w:val="none"/>
          <w:lang w:eastAsia="zh-CN"/>
        </w:rPr>
        <w:t>https://www.gdzwfw.gov.cn/。</w:t>
      </w:r>
      <w:r>
        <w:rPr>
          <w:rFonts w:hint="default" w:hAnsi="Calibri" w:cs="Times New Roman"/>
          <w:color w:val="auto"/>
          <w:sz w:val="32"/>
          <w:szCs w:val="32"/>
          <w:highlight w:val="none"/>
          <w:u w:val="none"/>
          <w:lang w:eastAsia="zh-CN"/>
        </w:rPr>
        <w:fldChar w:fldCharType="end"/>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r>
        <w:rPr>
          <w:rFonts w:hint="eastAsia" w:cs="仿宋_GB2312"/>
          <w:color w:val="auto"/>
          <w:sz w:val="32"/>
          <w:szCs w:val="32"/>
          <w:lang w:val="en-US" w:eastAsia="zh-CN"/>
        </w:rPr>
        <w:t>龙华区商务局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hint="default"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rPr>
        <w:t>（三）</w:t>
      </w:r>
      <w:r>
        <w:rPr>
          <w:rFonts w:hint="eastAsia" w:ascii="楷体_GB2312" w:hAnsi="楷体_GB2312" w:eastAsia="楷体_GB2312" w:cs="楷体_GB2312"/>
          <w:color w:val="auto"/>
          <w:sz w:val="32"/>
          <w:szCs w:val="32"/>
          <w:highlight w:val="none"/>
          <w:lang w:val="en-US" w:eastAsia="zh-CN"/>
        </w:rPr>
        <w:t>材料接收</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hAnsi="Calibri" w:cs="Times New Roman"/>
          <w:color w:val="auto"/>
          <w:sz w:val="32"/>
          <w:szCs w:val="32"/>
          <w:highlight w:val="none"/>
          <w:lang w:val="en-US" w:eastAsia="zh-CN"/>
        </w:rPr>
      </w:pPr>
      <w:r>
        <w:rPr>
          <w:rFonts w:hint="eastAsia" w:hAnsi="Calibri" w:cs="Times New Roman"/>
          <w:color w:val="auto"/>
          <w:sz w:val="32"/>
          <w:szCs w:val="32"/>
          <w:highlight w:val="none"/>
          <w:lang w:val="en-US" w:eastAsia="zh-CN"/>
        </w:rPr>
        <w:t>深圳市龙华区龙华大道2281号国鸿大厦A座龙华区政务服务中心一楼。</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bookmarkStart w:id="20" w:name="_Toc1376"/>
      <w:bookmarkStart w:id="21" w:name="_Toc9722"/>
      <w:r>
        <w:rPr>
          <w:rFonts w:hint="eastAsia" w:cs="仿宋_GB2312"/>
          <w:color w:val="auto"/>
          <w:sz w:val="32"/>
          <w:szCs w:val="32"/>
          <w:lang w:val="en-US" w:eastAsia="zh-CN"/>
        </w:rPr>
        <w:t>0755-23335596。</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000000" w:themeColor="text1"/>
          <w:kern w:val="0"/>
          <w:sz w:val="32"/>
          <w:szCs w:val="32"/>
          <w:highlight w:val="none"/>
          <w:lang w:val="en-US" w:eastAsia="zh-CN"/>
          <w14:textFill>
            <w14:solidFill>
              <w14:schemeClr w14:val="tx1"/>
            </w14:solidFill>
          </w14:textFill>
        </w:rPr>
      </w:pPr>
      <w:bookmarkStart w:id="22" w:name="_Toc11274"/>
      <w:bookmarkStart w:id="23" w:name="_Toc16198"/>
      <w:bookmarkStart w:id="24" w:name="_Toc161850809"/>
      <w:bookmarkStart w:id="25" w:name="_Toc10305"/>
      <w:bookmarkStart w:id="26" w:name="_Toc125127183"/>
      <w:bookmarkStart w:id="27" w:name="_Toc2137"/>
      <w:r>
        <w:rPr>
          <w:rFonts w:hint="eastAsia" w:hAnsi="宋体" w:cs="宋体"/>
          <w:color w:val="000000" w:themeColor="text1"/>
          <w:kern w:val="0"/>
          <w:sz w:val="32"/>
          <w:szCs w:val="32"/>
          <w:highlight w:val="none"/>
          <w:lang w:val="en-US" w:eastAsia="zh-CN"/>
          <w14:textFill>
            <w14:solidFill>
              <w14:schemeClr w14:val="tx1"/>
            </w14:solidFill>
          </w14:textFill>
        </w:rPr>
        <w:t>龙华区商务局</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22"/>
      <w:bookmarkEnd w:id="23"/>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ind w:firstLine="0" w:firstLineChars="0"/>
        <w:rPr>
          <w:rFonts w:hint="eastAsia"/>
          <w:color w:val="auto"/>
          <w:highlight w:val="none"/>
          <w:lang w:val="en-US" w:eastAsia="zh-CN"/>
        </w:rPr>
      </w:pPr>
    </w:p>
    <w:bookmarkEnd w:id="24"/>
    <w:bookmarkEnd w:id="25"/>
    <w:bookmarkEnd w:id="26"/>
    <w:bookmarkEnd w:id="27"/>
    <w:p>
      <w:pPr>
        <w:pStyle w:val="17"/>
        <w:rPr>
          <w:rFonts w:hint="eastAsia" w:ascii="仿宋_GB2312" w:hAnsi="仿宋_GB2312"/>
          <w:color w:val="auto"/>
          <w:highlight w:val="none"/>
          <w:lang w:eastAsia="zh-CN"/>
        </w:rPr>
      </w:pPr>
      <w:r>
        <w:rPr>
          <w:rFonts w:hint="eastAsia" w:ascii="仿宋_GB2312" w:hAnsi="仿宋_GB2312"/>
          <w:color w:val="auto"/>
          <w:highlight w:val="none"/>
          <w:lang w:eastAsia="zh-CN"/>
        </w:rPr>
        <w:t>附录：名词解释</w:t>
      </w:r>
    </w:p>
    <w:p>
      <w:pPr>
        <w:rPr>
          <w:rFonts w:hint="eastAsia" w:ascii="仿宋_GB2312" w:hAnsi="仿宋_GB2312"/>
          <w:color w:val="auto"/>
          <w:highlight w:val="none"/>
          <w:lang w:eastAsia="zh-CN"/>
        </w:rPr>
      </w:pPr>
      <w:r>
        <w:rPr>
          <w:rFonts w:hint="eastAsia" w:ascii="仿宋_GB2312" w:hAnsi="仿宋_GB2312"/>
          <w:color w:val="auto"/>
          <w:highlight w:val="none"/>
          <w:lang w:eastAsia="zh-CN"/>
        </w:rPr>
        <w:br w:type="page"/>
      </w:r>
    </w:p>
    <w:p>
      <w:pPr>
        <w:pStyle w:val="17"/>
        <w:ind w:firstLine="0" w:firstLineChars="0"/>
        <w:rPr>
          <w:rFonts w:hint="eastAsia" w:ascii="黑体" w:hAnsi="黑体" w:eastAsia="黑体" w:cs="黑体"/>
          <w:color w:val="auto"/>
          <w:highlight w:val="none"/>
          <w:lang w:eastAsia="zh-CN"/>
        </w:rPr>
      </w:pPr>
      <w:r>
        <w:rPr>
          <w:rFonts w:hint="eastAsia" w:ascii="黑体" w:hAnsi="黑体" w:eastAsia="黑体" w:cs="黑体"/>
          <w:color w:val="auto"/>
          <w:highlight w:val="none"/>
          <w:lang w:eastAsia="zh-CN"/>
        </w:rPr>
        <w:t>附</w:t>
      </w:r>
      <w:r>
        <w:rPr>
          <w:rFonts w:hint="eastAsia" w:ascii="黑体" w:hAnsi="黑体" w:eastAsia="黑体" w:cs="黑体"/>
          <w:color w:val="auto"/>
          <w:highlight w:val="none"/>
          <w:lang w:val="en-US" w:eastAsia="zh-CN"/>
        </w:rPr>
        <w:t xml:space="preserve">  </w:t>
      </w:r>
      <w:r>
        <w:rPr>
          <w:rFonts w:hint="eastAsia" w:ascii="黑体" w:hAnsi="黑体" w:eastAsia="黑体" w:cs="黑体"/>
          <w:color w:val="auto"/>
          <w:highlight w:val="none"/>
          <w:lang w:eastAsia="zh-CN"/>
        </w:rPr>
        <w:t>录</w:t>
      </w:r>
    </w:p>
    <w:p>
      <w:pPr>
        <w:pStyle w:val="17"/>
        <w:ind w:firstLine="0" w:firstLineChars="0"/>
        <w:rPr>
          <w:rFonts w:hint="eastAsia" w:ascii="仿宋_GB2312" w:hAnsi="仿宋_GB2312"/>
          <w:color w:val="auto"/>
          <w:highlight w:val="none"/>
          <w:lang w:eastAsia="zh-CN"/>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_GB2312" w:hAnsi="仿宋_GB2312" w:eastAsia="仿宋_GB2312" w:cs="仿宋_GB2312"/>
          <w:color w:val="auto"/>
          <w:sz w:val="32"/>
          <w:szCs w:val="32"/>
          <w:highlight w:val="none"/>
          <w:lang w:val="en-US" w:eastAsia="zh-CN"/>
        </w:rPr>
      </w:pPr>
      <w:bookmarkStart w:id="40" w:name="_GoBack"/>
      <w:r>
        <w:rPr>
          <w:rFonts w:hint="eastAsia" w:ascii="方正小标宋简体" w:hAnsi="方正小标宋简体" w:eastAsia="方正小标宋简体" w:cs="方正小标宋简体"/>
          <w:color w:val="auto"/>
          <w:sz w:val="44"/>
          <w:szCs w:val="44"/>
          <w:highlight w:val="none"/>
          <w:lang w:val="en-US" w:eastAsia="zh-CN"/>
        </w:rPr>
        <w:t>名词解释</w:t>
      </w:r>
    </w:p>
    <w:bookmarkEnd w:id="40"/>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、IP衍生品产品类型</w:t>
      </w:r>
      <w:r>
        <w:rPr>
          <w:rStyle w:val="19"/>
          <w:rFonts w:hint="default" w:ascii="仿宋_GB2312" w:hAnsi="仿宋_GB2312" w:eastAsia="仿宋_GB2312" w:cs="仿宋_GB2312"/>
          <w:b/>
          <w:bCs/>
          <w:color w:val="auto"/>
          <w:sz w:val="32"/>
          <w:szCs w:val="32"/>
          <w:highlight w:val="none"/>
          <w:lang w:val="en-US" w:eastAsia="zh-CN"/>
        </w:rPr>
        <w:t>：</w:t>
      </w:r>
      <w:r>
        <w:rPr>
          <w:rStyle w:val="19"/>
          <w:rFonts w:hint="default" w:ascii="仿宋_GB2312" w:hAnsi="仿宋_GB2312" w:eastAsia="仿宋_GB2312" w:cs="仿宋_GB2312"/>
          <w:color w:val="auto"/>
          <w:sz w:val="32"/>
          <w:szCs w:val="32"/>
          <w:highlight w:val="none"/>
          <w:lang w:val="en-US" w:eastAsia="zh-CN"/>
        </w:rPr>
        <w:t>涵盖</w:t>
      </w:r>
      <w:r>
        <w:rPr>
          <w:rStyle w:val="19"/>
          <w:rFonts w:hint="eastAsia" w:ascii="仿宋_GB2312" w:hAnsi="仿宋_GB2312" w:eastAsia="仿宋_GB2312" w:cs="仿宋_GB2312"/>
          <w:color w:val="auto"/>
          <w:sz w:val="32"/>
          <w:szCs w:val="32"/>
          <w:highlight w:val="none"/>
          <w:lang w:val="en-US" w:eastAsia="zh-CN"/>
        </w:rPr>
        <w:t>文创潮玩、服饰配饰、数码周边、家居生活、食品饮品、美妆个护等品类</w:t>
      </w:r>
      <w:r>
        <w:rPr>
          <w:rStyle w:val="19"/>
          <w:rFonts w:hint="default"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pStyle w:val="17"/>
        <w:ind w:firstLine="0" w:firstLineChars="0"/>
        <w:rPr>
          <w:rFonts w:hint="eastAsia" w:ascii="仿宋_GB2312" w:hAnsi="仿宋_GB2312"/>
          <w:color w:val="auto"/>
          <w:highlight w:val="none"/>
          <w:lang w:eastAsia="zh-CN"/>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2803A46"/>
    <w:rsid w:val="02CB1CF7"/>
    <w:rsid w:val="02DA63DE"/>
    <w:rsid w:val="02E93786"/>
    <w:rsid w:val="032C6A46"/>
    <w:rsid w:val="03B55433"/>
    <w:rsid w:val="04033440"/>
    <w:rsid w:val="04123AB3"/>
    <w:rsid w:val="05036B9E"/>
    <w:rsid w:val="052D305E"/>
    <w:rsid w:val="052E6828"/>
    <w:rsid w:val="06426774"/>
    <w:rsid w:val="06825C75"/>
    <w:rsid w:val="068A4895"/>
    <w:rsid w:val="070F7027"/>
    <w:rsid w:val="08461CA3"/>
    <w:rsid w:val="09E3305C"/>
    <w:rsid w:val="0A2D6324"/>
    <w:rsid w:val="0A302337"/>
    <w:rsid w:val="0A58254D"/>
    <w:rsid w:val="0A6C5760"/>
    <w:rsid w:val="0B35692F"/>
    <w:rsid w:val="0B4456D1"/>
    <w:rsid w:val="0BAD1FAB"/>
    <w:rsid w:val="0BE1742C"/>
    <w:rsid w:val="0D0E36C4"/>
    <w:rsid w:val="0D1F0CED"/>
    <w:rsid w:val="0E511A57"/>
    <w:rsid w:val="0E913392"/>
    <w:rsid w:val="0EC118DA"/>
    <w:rsid w:val="0F95719B"/>
    <w:rsid w:val="0FE131A1"/>
    <w:rsid w:val="0FED3255"/>
    <w:rsid w:val="10BF0BFF"/>
    <w:rsid w:val="11A73770"/>
    <w:rsid w:val="124226AB"/>
    <w:rsid w:val="126D73E5"/>
    <w:rsid w:val="13A40095"/>
    <w:rsid w:val="14053C83"/>
    <w:rsid w:val="15C958A9"/>
    <w:rsid w:val="160A19AA"/>
    <w:rsid w:val="163D2AB4"/>
    <w:rsid w:val="16DD6486"/>
    <w:rsid w:val="172A2DF8"/>
    <w:rsid w:val="17B005EC"/>
    <w:rsid w:val="18354C7F"/>
    <w:rsid w:val="185533C0"/>
    <w:rsid w:val="187E0EC3"/>
    <w:rsid w:val="18AB1F57"/>
    <w:rsid w:val="190653E0"/>
    <w:rsid w:val="197B53D3"/>
    <w:rsid w:val="198F1873"/>
    <w:rsid w:val="1A595627"/>
    <w:rsid w:val="1C210334"/>
    <w:rsid w:val="1C964CCC"/>
    <w:rsid w:val="1CFC17D2"/>
    <w:rsid w:val="1EBE0883"/>
    <w:rsid w:val="205A510F"/>
    <w:rsid w:val="209827B1"/>
    <w:rsid w:val="20BA48E3"/>
    <w:rsid w:val="21127D99"/>
    <w:rsid w:val="21A5207B"/>
    <w:rsid w:val="22C22819"/>
    <w:rsid w:val="246A3FA3"/>
    <w:rsid w:val="26E72CF4"/>
    <w:rsid w:val="272E1910"/>
    <w:rsid w:val="2976170C"/>
    <w:rsid w:val="2A104310"/>
    <w:rsid w:val="2A1A1904"/>
    <w:rsid w:val="2A4B3E74"/>
    <w:rsid w:val="2BA068F1"/>
    <w:rsid w:val="2C2A1457"/>
    <w:rsid w:val="2C961EBF"/>
    <w:rsid w:val="2CAE0A32"/>
    <w:rsid w:val="2F0A3862"/>
    <w:rsid w:val="2FFC0AFB"/>
    <w:rsid w:val="302C0287"/>
    <w:rsid w:val="30EE38E6"/>
    <w:rsid w:val="31A95387"/>
    <w:rsid w:val="31B31F93"/>
    <w:rsid w:val="31BF20C5"/>
    <w:rsid w:val="321653A8"/>
    <w:rsid w:val="322E20A6"/>
    <w:rsid w:val="329C19A3"/>
    <w:rsid w:val="32F52701"/>
    <w:rsid w:val="341A4C22"/>
    <w:rsid w:val="347B2CCE"/>
    <w:rsid w:val="352B3694"/>
    <w:rsid w:val="363C0287"/>
    <w:rsid w:val="3654545B"/>
    <w:rsid w:val="36565190"/>
    <w:rsid w:val="366C2500"/>
    <w:rsid w:val="37355261"/>
    <w:rsid w:val="382C7B34"/>
    <w:rsid w:val="387303F9"/>
    <w:rsid w:val="38EF3D95"/>
    <w:rsid w:val="3AE03440"/>
    <w:rsid w:val="3B0E3D0E"/>
    <w:rsid w:val="3BFC17F2"/>
    <w:rsid w:val="3C0C0B0D"/>
    <w:rsid w:val="3CFD6976"/>
    <w:rsid w:val="3D4A73E3"/>
    <w:rsid w:val="3D5D42F6"/>
    <w:rsid w:val="3DAF2F73"/>
    <w:rsid w:val="3DB808BA"/>
    <w:rsid w:val="3FAC643B"/>
    <w:rsid w:val="407A2ECB"/>
    <w:rsid w:val="410B0D5A"/>
    <w:rsid w:val="418D6C3A"/>
    <w:rsid w:val="423806ED"/>
    <w:rsid w:val="428230B1"/>
    <w:rsid w:val="437A5877"/>
    <w:rsid w:val="43BB3CEC"/>
    <w:rsid w:val="4412784D"/>
    <w:rsid w:val="44A91A1A"/>
    <w:rsid w:val="44D052C5"/>
    <w:rsid w:val="46A70EF9"/>
    <w:rsid w:val="46AE1F3D"/>
    <w:rsid w:val="473C23B2"/>
    <w:rsid w:val="4743523B"/>
    <w:rsid w:val="474450E0"/>
    <w:rsid w:val="47781E40"/>
    <w:rsid w:val="48541414"/>
    <w:rsid w:val="4900762E"/>
    <w:rsid w:val="4A6B0082"/>
    <w:rsid w:val="4AB56AE2"/>
    <w:rsid w:val="4B0038EE"/>
    <w:rsid w:val="4B6E7935"/>
    <w:rsid w:val="4C7C4174"/>
    <w:rsid w:val="4DF504FF"/>
    <w:rsid w:val="4E7E74BD"/>
    <w:rsid w:val="4E805B64"/>
    <w:rsid w:val="4F214F20"/>
    <w:rsid w:val="4F9660BB"/>
    <w:rsid w:val="4FB87893"/>
    <w:rsid w:val="4FC2745B"/>
    <w:rsid w:val="500B1C9B"/>
    <w:rsid w:val="50642A2E"/>
    <w:rsid w:val="509A0D5C"/>
    <w:rsid w:val="50CB0BE4"/>
    <w:rsid w:val="50D07C14"/>
    <w:rsid w:val="51A47BE3"/>
    <w:rsid w:val="52252BFC"/>
    <w:rsid w:val="52A362AC"/>
    <w:rsid w:val="543117F2"/>
    <w:rsid w:val="54D06548"/>
    <w:rsid w:val="54E753F5"/>
    <w:rsid w:val="55E8634D"/>
    <w:rsid w:val="56074C5D"/>
    <w:rsid w:val="563F7F48"/>
    <w:rsid w:val="56F7427F"/>
    <w:rsid w:val="575C572B"/>
    <w:rsid w:val="5779221D"/>
    <w:rsid w:val="584C4C5F"/>
    <w:rsid w:val="589B5008"/>
    <w:rsid w:val="58A326D8"/>
    <w:rsid w:val="59466376"/>
    <w:rsid w:val="5AE03675"/>
    <w:rsid w:val="5BF51433"/>
    <w:rsid w:val="5D3A2B61"/>
    <w:rsid w:val="5E7F4C2B"/>
    <w:rsid w:val="5EB06176"/>
    <w:rsid w:val="5EC06A18"/>
    <w:rsid w:val="5F23F087"/>
    <w:rsid w:val="5F6568F7"/>
    <w:rsid w:val="5FFF8D5C"/>
    <w:rsid w:val="60C802BC"/>
    <w:rsid w:val="610E0E32"/>
    <w:rsid w:val="61DE0EB4"/>
    <w:rsid w:val="623151CA"/>
    <w:rsid w:val="625059B8"/>
    <w:rsid w:val="62FE10F2"/>
    <w:rsid w:val="6321154B"/>
    <w:rsid w:val="6393434F"/>
    <w:rsid w:val="63A419D8"/>
    <w:rsid w:val="64D37E08"/>
    <w:rsid w:val="64DB7056"/>
    <w:rsid w:val="65FD25F5"/>
    <w:rsid w:val="66982F4F"/>
    <w:rsid w:val="66C07C02"/>
    <w:rsid w:val="66F0546D"/>
    <w:rsid w:val="67486004"/>
    <w:rsid w:val="67DB1C97"/>
    <w:rsid w:val="6888651F"/>
    <w:rsid w:val="6894168D"/>
    <w:rsid w:val="68EB6152"/>
    <w:rsid w:val="69B52798"/>
    <w:rsid w:val="6A7451AD"/>
    <w:rsid w:val="6AC14C27"/>
    <w:rsid w:val="6BC41409"/>
    <w:rsid w:val="6C030E4B"/>
    <w:rsid w:val="6C5C62E3"/>
    <w:rsid w:val="6CAB30BC"/>
    <w:rsid w:val="6CED51AD"/>
    <w:rsid w:val="6D042BC1"/>
    <w:rsid w:val="6E365A3C"/>
    <w:rsid w:val="6FCC3E6E"/>
    <w:rsid w:val="6FEFB7EB"/>
    <w:rsid w:val="71D6011D"/>
    <w:rsid w:val="72694444"/>
    <w:rsid w:val="72AF14FA"/>
    <w:rsid w:val="73A0155B"/>
    <w:rsid w:val="73DF2968"/>
    <w:rsid w:val="73FDC8C0"/>
    <w:rsid w:val="74F90479"/>
    <w:rsid w:val="750C1C31"/>
    <w:rsid w:val="75B717BE"/>
    <w:rsid w:val="75DACFB4"/>
    <w:rsid w:val="7625601A"/>
    <w:rsid w:val="764053D0"/>
    <w:rsid w:val="77BF249E"/>
    <w:rsid w:val="78D33F7B"/>
    <w:rsid w:val="798E36E0"/>
    <w:rsid w:val="79E77A09"/>
    <w:rsid w:val="7BDF157F"/>
    <w:rsid w:val="7C1A6A34"/>
    <w:rsid w:val="7CBD213A"/>
    <w:rsid w:val="7CBE4AD3"/>
    <w:rsid w:val="7CC4499D"/>
    <w:rsid w:val="7D1C7CE5"/>
    <w:rsid w:val="7D63EB3B"/>
    <w:rsid w:val="7ECB7E26"/>
    <w:rsid w:val="7F363046"/>
    <w:rsid w:val="7F7FF29C"/>
    <w:rsid w:val="7FEEB544"/>
    <w:rsid w:val="8EFFBC18"/>
    <w:rsid w:val="D79FE509"/>
    <w:rsid w:val="E7A2F884"/>
    <w:rsid w:val="EFEE286F"/>
    <w:rsid w:val="F2FFD4DB"/>
    <w:rsid w:val="F94D465B"/>
    <w:rsid w:val="F96B78CC"/>
    <w:rsid w:val="FBB93E9C"/>
    <w:rsid w:val="FFB9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3887</Words>
  <Characters>4072</Characters>
  <Lines>0</Lines>
  <Paragraphs>0</Paragraphs>
  <TotalTime>4</TotalTime>
  <ScaleCrop>false</ScaleCrop>
  <LinksUpToDate>false</LinksUpToDate>
  <CharactersWithSpaces>4076</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2025-07-07T02:47:00Z</dcterms:created>
  <dc:creator>黄佩琳</dc:creator>
  <cp:lastModifiedBy>huawei</cp:lastModifiedBy>
  <cp:lastPrinted>2026-03-17T06:46:00Z</cp:lastPrinted>
  <dcterms:modified xsi:type="dcterms:W3CDTF">2026-06-23T09:17:13Z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18EBFC2A2A144A7B81107828AC4A451B_13</vt:lpwstr>
  </property>
  <property fmtid="{D5CDD505-2E9C-101B-9397-08002B2CF9AE}" pid="4" name="KSOTemplateDocerSaveRecord">
    <vt:lpwstr>eyJoZGlkIjoiM2EyOTU1MWUyNjgxMDkwYjgyNGJkZThiZTZhYmMyMDEiLCJ1c2VySWQiOiI3NzE4ODE3NDMifQ==</vt:lpwstr>
  </property>
</Properties>
</file>