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40C913">
      <w:pPr>
        <w:rPr>
          <w:rFonts w:hint="eastAsia" w:ascii="黑体" w:hAnsi="黑体" w:eastAsia="黑体" w:cs="宋体"/>
          <w:sz w:val="32"/>
          <w:szCs w:val="32"/>
        </w:rPr>
      </w:pPr>
      <w:bookmarkStart w:id="0" w:name="_Hlk177576218"/>
      <w:r>
        <w:rPr>
          <w:rFonts w:hint="eastAsia" w:ascii="黑体" w:hAnsi="黑体" w:eastAsia="黑体" w:cs="宋体"/>
          <w:sz w:val="32"/>
          <w:szCs w:val="32"/>
        </w:rPr>
        <w:t>附件1</w:t>
      </w:r>
    </w:p>
    <w:p w14:paraId="3239A633">
      <w:pPr>
        <w:adjustRightInd w:val="0"/>
        <w:snapToGrid w:val="0"/>
        <w:spacing w:line="560" w:lineRule="exact"/>
        <w:jc w:val="center"/>
        <w:outlineLvl w:val="0"/>
        <w:rPr>
          <w:rFonts w:hint="eastAsia" w:ascii="宋体" w:hAnsi="宋体" w:eastAsia="方正小标宋简体"/>
          <w:kern w:val="36"/>
          <w:sz w:val="44"/>
          <w:szCs w:val="48"/>
          <w:lang w:bidi="ar"/>
        </w:rPr>
      </w:pPr>
    </w:p>
    <w:p w14:paraId="481D2A64">
      <w:pPr>
        <w:adjustRightInd w:val="0"/>
        <w:snapToGrid w:val="0"/>
        <w:spacing w:line="560" w:lineRule="exact"/>
        <w:jc w:val="center"/>
        <w:outlineLvl w:val="0"/>
        <w:rPr>
          <w:rFonts w:hint="eastAsia" w:ascii="宋体" w:hAnsi="宋体" w:eastAsia="方正小标宋简体"/>
          <w:kern w:val="36"/>
          <w:sz w:val="44"/>
          <w:szCs w:val="48"/>
        </w:rPr>
      </w:pPr>
      <w:r>
        <w:rPr>
          <w:rFonts w:hint="eastAsia" w:ascii="宋体" w:hAnsi="宋体" w:eastAsia="方正小标宋简体"/>
          <w:kern w:val="36"/>
          <w:sz w:val="44"/>
          <w:szCs w:val="48"/>
          <w:lang w:bidi="ar"/>
        </w:rPr>
        <w:t>深圳市前海深港现代服务业合作区管理局</w:t>
      </w:r>
    </w:p>
    <w:p w14:paraId="23CE16B7">
      <w:pPr>
        <w:adjustRightInd w:val="0"/>
        <w:snapToGrid w:val="0"/>
        <w:spacing w:line="560" w:lineRule="exact"/>
        <w:jc w:val="center"/>
        <w:outlineLvl w:val="0"/>
        <w:rPr>
          <w:rFonts w:hint="eastAsia" w:ascii="宋体" w:hAnsi="宋体" w:eastAsia="方正小标宋简体"/>
          <w:kern w:val="36"/>
          <w:sz w:val="44"/>
          <w:szCs w:val="48"/>
        </w:rPr>
      </w:pPr>
      <w:r>
        <w:rPr>
          <w:rFonts w:hint="eastAsia" w:ascii="宋体" w:hAnsi="宋体" w:eastAsia="方正小标宋简体"/>
          <w:kern w:val="36"/>
          <w:sz w:val="44"/>
          <w:szCs w:val="48"/>
          <w:lang w:bidi="ar"/>
        </w:rPr>
        <w:t>关于支持科技服务业高质量发展</w:t>
      </w:r>
    </w:p>
    <w:p w14:paraId="6302DA3A">
      <w:pPr>
        <w:adjustRightInd w:val="0"/>
        <w:snapToGrid w:val="0"/>
        <w:spacing w:line="560" w:lineRule="exact"/>
        <w:jc w:val="center"/>
        <w:rPr>
          <w:rFonts w:hint="eastAsia" w:ascii="楷体_GB2312" w:hAnsi="楷体_GB2312" w:eastAsia="楷体_GB2312" w:cs="楷体_GB2312"/>
          <w:szCs w:val="24"/>
        </w:rPr>
      </w:pPr>
      <w:r>
        <w:rPr>
          <w:rFonts w:hint="eastAsia" w:ascii="宋体" w:hAnsi="宋体" w:eastAsia="方正小标宋简体"/>
          <w:kern w:val="36"/>
          <w:sz w:val="44"/>
          <w:szCs w:val="48"/>
          <w:lang w:bidi="ar"/>
        </w:rPr>
        <w:t>的若干措施（试行）</w:t>
      </w:r>
    </w:p>
    <w:p w14:paraId="16095B58">
      <w:pPr>
        <w:adjustRightInd w:val="0"/>
        <w:snapToGrid w:val="0"/>
        <w:spacing w:line="560" w:lineRule="exact"/>
        <w:ind w:firstLine="420" w:firstLineChars="200"/>
        <w:rPr>
          <w:szCs w:val="24"/>
          <w:lang w:bidi="ar"/>
        </w:rPr>
      </w:pPr>
    </w:p>
    <w:p w14:paraId="13A40EA9">
      <w:pPr>
        <w:autoSpaceDE w:val="0"/>
        <w:adjustRightInd w:val="0"/>
        <w:snapToGrid w:val="0"/>
        <w:spacing w:line="560" w:lineRule="exact"/>
        <w:ind w:firstLine="640" w:firstLineChars="200"/>
        <w:rPr>
          <w:rFonts w:eastAsia="仿宋_GB2312"/>
          <w:kern w:val="2"/>
          <w:sz w:val="32"/>
          <w:szCs w:val="32"/>
        </w:rPr>
      </w:pPr>
      <w:r>
        <w:rPr>
          <w:rFonts w:hint="eastAsia" w:ascii="仿宋_GB2312" w:eastAsia="仿宋_GB2312"/>
          <w:kern w:val="2"/>
          <w:sz w:val="32"/>
          <w:szCs w:val="32"/>
        </w:rPr>
        <w:t>为深入贯彻落实《全面深化前海深港现代服务业合作区改革开放方案》和《前海深港现代服务业合作区总体发展规划》，加快科技服务业高质量发展，推动科技创新与产业创新深度融合，推动科技成果转化，培育经济发展新动能，助力建设粤港澳大湾区国际科技创新中心，制定以下措施。</w:t>
      </w:r>
    </w:p>
    <w:p w14:paraId="17D315AE">
      <w:pPr>
        <w:autoSpaceDE w:val="0"/>
        <w:adjustRightInd w:val="0"/>
        <w:snapToGrid w:val="0"/>
        <w:spacing w:line="560" w:lineRule="exact"/>
        <w:ind w:firstLine="640" w:firstLineChars="200"/>
        <w:outlineLvl w:val="0"/>
        <w:rPr>
          <w:rFonts w:hint="eastAsia" w:ascii="黑体" w:hAnsi="宋体" w:eastAsia="黑体" w:cs="Calibri"/>
          <w:kern w:val="2"/>
          <w:sz w:val="32"/>
          <w:szCs w:val="32"/>
        </w:rPr>
      </w:pPr>
      <w:r>
        <w:rPr>
          <w:rFonts w:hint="eastAsia" w:ascii="黑体" w:hAnsi="黑体" w:eastAsia="黑体" w:cs="Calibri"/>
          <w:kern w:val="2"/>
          <w:sz w:val="32"/>
          <w:szCs w:val="32"/>
        </w:rPr>
        <w:t>一、支持科技服务业重点领域加快布局</w:t>
      </w:r>
    </w:p>
    <w:p w14:paraId="17F3751A">
      <w:pPr>
        <w:autoSpaceDE w:val="0"/>
        <w:adjustRightInd w:val="0"/>
        <w:snapToGrid w:val="0"/>
        <w:spacing w:line="560" w:lineRule="exact"/>
        <w:ind w:firstLine="640" w:firstLineChars="200"/>
        <w:rPr>
          <w:rFonts w:ascii="楷体_GB2312" w:eastAsia="楷体_GB2312" w:cs="Calibri"/>
          <w:kern w:val="2"/>
          <w:sz w:val="32"/>
          <w:szCs w:val="32"/>
        </w:rPr>
      </w:pPr>
      <w:r>
        <w:rPr>
          <w:rFonts w:hint="eastAsia" w:ascii="楷体_GB2312" w:eastAsia="楷体_GB2312" w:cs="Calibri"/>
          <w:kern w:val="2"/>
          <w:sz w:val="32"/>
          <w:szCs w:val="32"/>
        </w:rPr>
        <w:t>（一）推动布局高能级研究开发机构</w:t>
      </w:r>
    </w:p>
    <w:p w14:paraId="71E02575">
      <w:pPr>
        <w:autoSpaceDE w:val="0"/>
        <w:snapToGrid w:val="0"/>
        <w:spacing w:line="560" w:lineRule="exact"/>
        <w:ind w:firstLine="640" w:firstLineChars="200"/>
        <w:rPr>
          <w:rFonts w:ascii="仿宋_GB2312" w:eastAsia="仿宋_GB2312" w:cs="Calibri"/>
          <w:kern w:val="2"/>
          <w:sz w:val="32"/>
          <w:szCs w:val="32"/>
        </w:rPr>
      </w:pPr>
      <w:r>
        <w:rPr>
          <w:rFonts w:hint="eastAsia" w:ascii="仿宋_GB2312" w:eastAsia="仿宋_GB2312" w:cs="Calibri"/>
          <w:kern w:val="2"/>
          <w:sz w:val="32"/>
          <w:szCs w:val="32"/>
        </w:rPr>
        <w:t>支持链主企业围绕创新链和产业链在前海合作区布局研发服务链，培育壮大研发服务主体规模。对入选“深圳市引进重点研发机构”或“深圳市引进重点创新型企业”的科技服务业机构，予以一次性50万元奖励，每家机构享受一次支持。</w:t>
      </w:r>
    </w:p>
    <w:p w14:paraId="3F09F07E">
      <w:pPr>
        <w:autoSpaceDE w:val="0"/>
        <w:snapToGrid w:val="0"/>
        <w:spacing w:line="560" w:lineRule="exact"/>
        <w:ind w:firstLine="640" w:firstLineChars="200"/>
        <w:rPr>
          <w:rFonts w:ascii="仿宋_GB2312" w:eastAsia="仿宋_GB2312" w:cs="Calibri"/>
          <w:kern w:val="2"/>
          <w:sz w:val="32"/>
          <w:szCs w:val="32"/>
        </w:rPr>
      </w:pPr>
      <w:r>
        <w:rPr>
          <w:rFonts w:hint="eastAsia" w:ascii="仿宋_GB2312" w:eastAsia="仿宋_GB2312" w:cs="Calibri"/>
          <w:kern w:val="2"/>
          <w:sz w:val="32"/>
          <w:szCs w:val="32"/>
        </w:rPr>
        <w:t>鼓励符合条件的研发中心申报前海管理局支持研发中心发展有关政策。</w:t>
      </w:r>
    </w:p>
    <w:p w14:paraId="7B5BD654">
      <w:pPr>
        <w:autoSpaceDE w:val="0"/>
        <w:snapToGrid w:val="0"/>
        <w:spacing w:line="560" w:lineRule="exact"/>
        <w:ind w:firstLine="640" w:firstLineChars="200"/>
        <w:rPr>
          <w:rFonts w:ascii="仿宋_GB2312" w:eastAsia="仿宋_GB2312" w:cs="Calibri"/>
          <w:kern w:val="2"/>
          <w:sz w:val="32"/>
          <w:szCs w:val="32"/>
        </w:rPr>
      </w:pPr>
      <w:r>
        <w:rPr>
          <w:rFonts w:hint="eastAsia" w:ascii="楷体_GB2312" w:eastAsia="楷体_GB2312" w:cs="Calibri"/>
          <w:kern w:val="2"/>
          <w:sz w:val="32"/>
          <w:szCs w:val="32"/>
        </w:rPr>
        <w:t>（二）推动知识产权与科技创新、产业发展深度融合</w:t>
      </w:r>
    </w:p>
    <w:p w14:paraId="0D3A5C70">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支持知识产权服务机构向国际化、高端化发展，鼓励开展知识产权专业人才国际化培训，引导知识产权服务机构拓展海外服务网络，加强知识产权服务国际合作。符合以下条件的，按照相关标准予以支持，其中第2、3项不能重复享受：</w:t>
      </w:r>
    </w:p>
    <w:p w14:paraId="12F8FB59">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1.对国家级产业知识产权运营中心、产业知识产权创新联合体等国家级知识产权平台，予以每年100</w:t>
      </w:r>
      <w:r>
        <w:rPr>
          <w:rFonts w:hint="eastAsia" w:ascii="仿宋_GB2312" w:hAnsi="Times New Roman" w:eastAsia="仿宋_GB2312"/>
          <w:kern w:val="2"/>
          <w:sz w:val="32"/>
          <w:szCs w:val="32"/>
        </w:rPr>
        <w:t>万元</w:t>
      </w:r>
      <w:r>
        <w:rPr>
          <w:rFonts w:hint="eastAsia" w:ascii="仿宋_GB2312" w:eastAsia="仿宋_GB2312" w:cs="Calibri"/>
          <w:kern w:val="2"/>
          <w:sz w:val="32"/>
          <w:szCs w:val="32"/>
        </w:rPr>
        <w:t>奖励，累计支持不超过2年。</w:t>
      </w:r>
    </w:p>
    <w:p w14:paraId="74CF43D2">
      <w:pPr>
        <w:autoSpaceDE w:val="0"/>
        <w:adjustRightInd w:val="0"/>
        <w:snapToGrid w:val="0"/>
        <w:spacing w:line="560" w:lineRule="exact"/>
        <w:ind w:firstLine="640" w:firstLineChars="200"/>
        <w:outlineLvl w:val="0"/>
        <w:rPr>
          <w:rFonts w:ascii="仿宋_GB2312" w:eastAsia="仿宋_GB2312"/>
          <w:kern w:val="2"/>
          <w:sz w:val="32"/>
          <w:szCs w:val="32"/>
        </w:rPr>
      </w:pPr>
      <w:r>
        <w:rPr>
          <w:rFonts w:hint="eastAsia" w:ascii="仿宋_GB2312" w:eastAsia="仿宋_GB2312"/>
          <w:kern w:val="2"/>
          <w:sz w:val="32"/>
          <w:szCs w:val="32"/>
        </w:rPr>
        <w:t>2.对拥有专利代理师10名以上，具有执业资质的专利代理机构，予以一次性50万元支持；对拥有50名以上专利代理师且申请代理量累计20000件以上的专利代理机构，</w:t>
      </w:r>
      <w:r>
        <w:rPr>
          <w:rFonts w:hint="eastAsia" w:ascii="仿宋_GB2312" w:eastAsia="仿宋_GB2312" w:cs="Calibri"/>
          <w:kern w:val="2"/>
          <w:sz w:val="32"/>
          <w:szCs w:val="32"/>
        </w:rPr>
        <w:t>予以每年100</w:t>
      </w:r>
      <w:r>
        <w:rPr>
          <w:rFonts w:hint="eastAsia" w:ascii="仿宋_GB2312" w:hAnsi="Times New Roman" w:eastAsia="仿宋_GB2312"/>
          <w:kern w:val="2"/>
          <w:sz w:val="32"/>
          <w:szCs w:val="32"/>
        </w:rPr>
        <w:t>万元</w:t>
      </w:r>
      <w:r>
        <w:rPr>
          <w:rFonts w:hint="eastAsia" w:ascii="仿宋_GB2312" w:eastAsia="仿宋_GB2312" w:cs="Calibri"/>
          <w:kern w:val="2"/>
          <w:sz w:val="32"/>
          <w:szCs w:val="32"/>
        </w:rPr>
        <w:t>奖励，累计支持不超过3年</w:t>
      </w:r>
      <w:r>
        <w:rPr>
          <w:rFonts w:hint="eastAsia" w:ascii="仿宋_GB2312" w:eastAsia="仿宋_GB2312"/>
          <w:kern w:val="2"/>
          <w:sz w:val="32"/>
          <w:szCs w:val="32"/>
        </w:rPr>
        <w:t>。专利代理机构专利代理师增加且符合条件的，可以申请补差。</w:t>
      </w:r>
    </w:p>
    <w:p w14:paraId="4E69BBDC">
      <w:pPr>
        <w:autoSpaceDE w:val="0"/>
        <w:adjustRightInd w:val="0"/>
        <w:snapToGrid w:val="0"/>
        <w:spacing w:line="560" w:lineRule="exact"/>
        <w:ind w:firstLine="640" w:firstLineChars="200"/>
        <w:outlineLvl w:val="0"/>
        <w:rPr>
          <w:rFonts w:ascii="仿宋_GB2312" w:eastAsia="仿宋_GB2312"/>
          <w:kern w:val="2"/>
          <w:sz w:val="32"/>
          <w:szCs w:val="32"/>
        </w:rPr>
      </w:pPr>
      <w:r>
        <w:rPr>
          <w:rFonts w:hint="eastAsia" w:ascii="仿宋_GB2312" w:eastAsia="仿宋_GB2312"/>
          <w:kern w:val="2"/>
          <w:sz w:val="32"/>
          <w:szCs w:val="32"/>
        </w:rPr>
        <w:t>3.对专利代理机构拥有50名以上专利代理师且申请代理量累计20000件以上的，其在前海合作区设立的分支机构，</w:t>
      </w:r>
      <w:r>
        <w:rPr>
          <w:rFonts w:hint="eastAsia" w:ascii="仿宋_GB2312" w:eastAsia="仿宋_GB2312" w:cs="Calibri"/>
          <w:kern w:val="2"/>
          <w:sz w:val="32"/>
          <w:szCs w:val="32"/>
        </w:rPr>
        <w:t>予以每年50</w:t>
      </w:r>
      <w:r>
        <w:rPr>
          <w:rFonts w:hint="eastAsia" w:ascii="仿宋_GB2312" w:hAnsi="Times New Roman" w:eastAsia="仿宋_GB2312"/>
          <w:kern w:val="2"/>
          <w:sz w:val="32"/>
          <w:szCs w:val="32"/>
        </w:rPr>
        <w:t>万元</w:t>
      </w:r>
      <w:r>
        <w:rPr>
          <w:rFonts w:hint="eastAsia" w:ascii="仿宋_GB2312" w:eastAsia="仿宋_GB2312" w:cs="Calibri"/>
          <w:kern w:val="2"/>
          <w:sz w:val="32"/>
          <w:szCs w:val="32"/>
        </w:rPr>
        <w:t>奖励，累计支持不超过2年</w:t>
      </w:r>
      <w:r>
        <w:rPr>
          <w:rFonts w:hint="eastAsia" w:ascii="仿宋_GB2312" w:eastAsia="仿宋_GB2312"/>
          <w:kern w:val="2"/>
          <w:sz w:val="32"/>
          <w:szCs w:val="32"/>
        </w:rPr>
        <w:t>。同一家专利代理机构及其在前海的多个分支机构，仅一家机构可享受支持。</w:t>
      </w:r>
    </w:p>
    <w:p w14:paraId="4958C867">
      <w:pPr>
        <w:autoSpaceDE w:val="0"/>
        <w:adjustRightInd w:val="0"/>
        <w:snapToGrid w:val="0"/>
        <w:spacing w:line="560" w:lineRule="exact"/>
        <w:ind w:firstLine="640" w:firstLineChars="200"/>
        <w:outlineLvl w:val="0"/>
        <w:rPr>
          <w:rFonts w:ascii="楷体_GB2312" w:eastAsia="楷体_GB2312" w:cs="Calibri"/>
          <w:kern w:val="2"/>
          <w:sz w:val="32"/>
          <w:szCs w:val="32"/>
        </w:rPr>
      </w:pPr>
      <w:r>
        <w:rPr>
          <w:rFonts w:hint="eastAsia" w:ascii="楷体_GB2312" w:eastAsia="楷体_GB2312" w:cs="Calibri"/>
          <w:kern w:val="2"/>
          <w:sz w:val="32"/>
          <w:szCs w:val="32"/>
        </w:rPr>
        <w:t>（三）培育壮大工业设计行业市场主体</w:t>
      </w:r>
    </w:p>
    <w:p w14:paraId="6E0CFD51">
      <w:pPr>
        <w:autoSpaceDE w:val="0"/>
        <w:adjustRightInd w:val="0"/>
        <w:snapToGrid w:val="0"/>
        <w:spacing w:line="560" w:lineRule="exact"/>
        <w:ind w:firstLine="640" w:firstLineChars="200"/>
        <w:outlineLvl w:val="0"/>
        <w:rPr>
          <w:rFonts w:ascii="仿宋_GB2312" w:eastAsia="仿宋_GB2312"/>
          <w:kern w:val="2"/>
          <w:sz w:val="32"/>
          <w:szCs w:val="32"/>
        </w:rPr>
      </w:pPr>
      <w:r>
        <w:rPr>
          <w:rFonts w:hint="eastAsia" w:ascii="仿宋_GB2312" w:eastAsia="仿宋_GB2312" w:cs="Calibri"/>
          <w:kern w:val="2"/>
          <w:sz w:val="32"/>
          <w:szCs w:val="32"/>
        </w:rPr>
        <w:t>支持工业设计</w:t>
      </w:r>
      <w:r>
        <w:rPr>
          <w:rFonts w:hint="eastAsia" w:ascii="仿宋_GB2312" w:eastAsia="仿宋_GB2312"/>
          <w:kern w:val="2"/>
          <w:sz w:val="32"/>
          <w:szCs w:val="32"/>
        </w:rPr>
        <w:t>与专业设计服务</w:t>
      </w:r>
      <w:r>
        <w:rPr>
          <w:rFonts w:hint="eastAsia" w:ascii="仿宋_GB2312" w:eastAsia="仿宋_GB2312" w:cs="Calibri"/>
          <w:kern w:val="2"/>
          <w:sz w:val="32"/>
          <w:szCs w:val="32"/>
        </w:rPr>
        <w:t>机构向智能化、数字化、绿色化创新发展，对</w:t>
      </w:r>
      <w:r>
        <w:rPr>
          <w:rFonts w:hint="eastAsia" w:ascii="仿宋_GB2312" w:eastAsia="仿宋_GB2312"/>
          <w:kern w:val="2"/>
          <w:sz w:val="32"/>
          <w:szCs w:val="32"/>
        </w:rPr>
        <w:t>上一年度</w:t>
      </w:r>
      <w:r>
        <w:rPr>
          <w:rFonts w:hint="eastAsia" w:ascii="仿宋_GB2312" w:eastAsia="仿宋_GB2312" w:cs="Calibri"/>
          <w:kern w:val="2"/>
          <w:sz w:val="32"/>
          <w:szCs w:val="32"/>
        </w:rPr>
        <w:t>研发投入</w:t>
      </w:r>
      <w:r>
        <w:rPr>
          <w:rFonts w:hint="eastAsia" w:ascii="仿宋_GB2312" w:eastAsia="仿宋_GB2312"/>
          <w:kern w:val="2"/>
          <w:sz w:val="32"/>
          <w:szCs w:val="32"/>
        </w:rPr>
        <w:t>300万元以上的</w:t>
      </w:r>
      <w:r>
        <w:rPr>
          <w:rFonts w:hint="eastAsia" w:ascii="仿宋_GB2312" w:eastAsia="仿宋_GB2312" w:cs="Calibri"/>
          <w:kern w:val="2"/>
          <w:sz w:val="32"/>
          <w:szCs w:val="32"/>
        </w:rPr>
        <w:t>工业设计</w:t>
      </w:r>
      <w:r>
        <w:rPr>
          <w:rFonts w:hint="eastAsia" w:ascii="仿宋_GB2312" w:eastAsia="仿宋_GB2312"/>
          <w:kern w:val="2"/>
          <w:sz w:val="32"/>
          <w:szCs w:val="32"/>
        </w:rPr>
        <w:t>与专业设计服务</w:t>
      </w:r>
      <w:r>
        <w:rPr>
          <w:rFonts w:hint="eastAsia" w:ascii="仿宋_GB2312" w:eastAsia="仿宋_GB2312" w:cs="Calibri"/>
          <w:kern w:val="2"/>
          <w:sz w:val="32"/>
          <w:szCs w:val="32"/>
        </w:rPr>
        <w:t>机构</w:t>
      </w:r>
      <w:r>
        <w:rPr>
          <w:rFonts w:hint="eastAsia" w:ascii="仿宋_GB2312" w:eastAsia="仿宋_GB2312"/>
          <w:kern w:val="2"/>
          <w:sz w:val="32"/>
          <w:szCs w:val="32"/>
        </w:rPr>
        <w:t>，按照上一年度</w:t>
      </w:r>
      <w:r>
        <w:rPr>
          <w:rFonts w:hint="eastAsia" w:ascii="仿宋_GB2312" w:eastAsia="仿宋_GB2312" w:cs="Calibri"/>
          <w:kern w:val="2"/>
          <w:sz w:val="32"/>
          <w:szCs w:val="32"/>
        </w:rPr>
        <w:t>研发投入的10%予以支持，每年最高不超过</w:t>
      </w:r>
      <w:r>
        <w:rPr>
          <w:rFonts w:hint="eastAsia" w:ascii="仿宋_GB2312" w:eastAsia="仿宋_GB2312"/>
          <w:kern w:val="2"/>
          <w:sz w:val="32"/>
          <w:szCs w:val="32"/>
        </w:rPr>
        <w:t>100万元，累计支持不超过3年。</w:t>
      </w:r>
    </w:p>
    <w:p w14:paraId="035F0DD5">
      <w:pPr>
        <w:autoSpaceDE w:val="0"/>
        <w:adjustRightInd w:val="0"/>
        <w:snapToGrid w:val="0"/>
        <w:spacing w:line="560" w:lineRule="exact"/>
        <w:ind w:firstLine="640" w:firstLineChars="200"/>
        <w:outlineLvl w:val="0"/>
        <w:rPr>
          <w:rFonts w:ascii="仿宋_GB2312" w:eastAsia="仿宋_GB2312"/>
          <w:kern w:val="2"/>
          <w:sz w:val="32"/>
          <w:szCs w:val="32"/>
        </w:rPr>
      </w:pPr>
      <w:r>
        <w:rPr>
          <w:rFonts w:hint="eastAsia" w:ascii="仿宋_GB2312" w:eastAsia="仿宋_GB2312" w:cs="Calibri"/>
          <w:kern w:val="2"/>
          <w:sz w:val="32"/>
          <w:szCs w:val="32"/>
        </w:rPr>
        <w:t>加强与港澳及国际工业设计创新资源的对接，鼓励港澳及国际工业设计大师、青年工业设计师在前海合作区设立创业空间、工作室，支持制造业企业与国际设计团队合作研发适合国际市场的产品。</w:t>
      </w:r>
    </w:p>
    <w:p w14:paraId="1D50D268">
      <w:pPr>
        <w:autoSpaceDE w:val="0"/>
        <w:adjustRightInd w:val="0"/>
        <w:snapToGrid w:val="0"/>
        <w:spacing w:line="560" w:lineRule="exact"/>
        <w:ind w:firstLine="640" w:firstLineChars="200"/>
        <w:outlineLvl w:val="0"/>
        <w:rPr>
          <w:rFonts w:ascii="楷体_GB2312" w:eastAsia="楷体_GB2312" w:cs="Calibri"/>
          <w:kern w:val="2"/>
          <w:sz w:val="32"/>
          <w:szCs w:val="32"/>
        </w:rPr>
      </w:pPr>
      <w:r>
        <w:rPr>
          <w:rFonts w:hint="eastAsia" w:ascii="楷体_GB2312" w:eastAsia="楷体_GB2312" w:cs="Calibri"/>
          <w:kern w:val="2"/>
          <w:sz w:val="32"/>
          <w:szCs w:val="32"/>
        </w:rPr>
        <w:t xml:space="preserve"> （四）推动技术转移与科技成果转化</w:t>
      </w:r>
    </w:p>
    <w:p w14:paraId="40A4B008">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聚焦科技成果转化和产业化，支持技术转移和成果转化团队和机构在前海合作区提供专业化服务，鼓励技术转移人才申报市级“高级职业技术经理人”。支持建设深港及国际技术转移中心，促进技术贸易发展。</w:t>
      </w:r>
    </w:p>
    <w:p w14:paraId="0901EAFE">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对技术转移机构上一年度签署合同促成技术交易额500万元以上且1000万元以下的，按照技术交易额的3%予以支持；对技术转移机构上一年度签署合同促成技术交易额1000万元以上的，按照技术交易额的5%予以支持，每年最高不超过200万元。</w:t>
      </w:r>
    </w:p>
    <w:p w14:paraId="29A0BBB6">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支持概念验证中心和中小试基地按照深圳市科技主管部门关于概念验证中心和中小试基地有关资助政策，申请市级支持。</w:t>
      </w:r>
    </w:p>
    <w:p w14:paraId="164DF9C1">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对设立深港及国际技术转移重大平台、共性技术平台等平台载体的科技服务业机构，或经认定的市级以上研发机构设立的科技服务业机构，开展技术转移、成果转化、技术推广等科技服务，</w:t>
      </w:r>
      <w:r>
        <w:rPr>
          <w:rFonts w:hint="eastAsia" w:ascii="仿宋_GB2312" w:hAnsi="楷体_GB2312" w:eastAsia="仿宋_GB2312" w:cs="楷体_GB2312"/>
          <w:kern w:val="2"/>
          <w:sz w:val="32"/>
          <w:szCs w:val="32"/>
        </w:rPr>
        <w:t>事前与前海管理局签订协议的，根据建设投入和建设内容，</w:t>
      </w:r>
      <w:r>
        <w:rPr>
          <w:rFonts w:hint="eastAsia" w:ascii="仿宋_GB2312" w:eastAsia="仿宋_GB2312" w:cs="Calibri"/>
          <w:kern w:val="2"/>
          <w:sz w:val="32"/>
          <w:szCs w:val="32"/>
        </w:rPr>
        <w:t>予以累计不超过3年、每年最高300万元支持。</w:t>
      </w:r>
    </w:p>
    <w:p w14:paraId="48732346">
      <w:pPr>
        <w:autoSpaceDE w:val="0"/>
        <w:adjustRightInd w:val="0"/>
        <w:snapToGrid w:val="0"/>
        <w:spacing w:line="560" w:lineRule="exact"/>
        <w:ind w:firstLine="640" w:firstLineChars="200"/>
        <w:outlineLvl w:val="0"/>
        <w:rPr>
          <w:rFonts w:ascii="楷体_GB2312" w:eastAsia="楷体_GB2312" w:cs="Calibri"/>
          <w:kern w:val="2"/>
          <w:sz w:val="32"/>
          <w:szCs w:val="32"/>
        </w:rPr>
      </w:pPr>
      <w:r>
        <w:rPr>
          <w:rFonts w:hint="eastAsia" w:ascii="楷体_GB2312" w:eastAsia="楷体_GB2312" w:cs="Calibri"/>
          <w:kern w:val="2"/>
          <w:sz w:val="32"/>
          <w:szCs w:val="32"/>
        </w:rPr>
        <w:t>（五）推动科技型企业孵化器建设</w:t>
      </w:r>
    </w:p>
    <w:p w14:paraId="041D1D2F">
      <w:pPr>
        <w:autoSpaceDE w:val="0"/>
        <w:adjustRightInd w:val="0"/>
        <w:snapToGrid w:val="0"/>
        <w:spacing w:line="560" w:lineRule="exact"/>
        <w:ind w:firstLine="640" w:firstLineChars="200"/>
        <w:outlineLvl w:val="0"/>
        <w:rPr>
          <w:rFonts w:ascii="仿宋_GB2312" w:eastAsia="仿宋_GB2312"/>
          <w:kern w:val="2"/>
          <w:sz w:val="32"/>
          <w:szCs w:val="32"/>
        </w:rPr>
      </w:pPr>
      <w:r>
        <w:rPr>
          <w:rFonts w:hint="eastAsia" w:ascii="仿宋_GB2312" w:eastAsia="仿宋_GB2312"/>
          <w:kern w:val="2"/>
          <w:sz w:val="32"/>
          <w:szCs w:val="32"/>
        </w:rPr>
        <w:t>对经工业和信息化部认定且在有效期内的标准级孵化器，予以每年50万元奖励，每家孵化器累计支持总额最高不超过100万元；对经工业和信息化部认定且在有效期内的卓越级孵化器，予以每年100万元奖励，每家孵化器累计支持总额最高不超过300万元。孵化器晋级且符合条件的，可以申请补差。</w:t>
      </w:r>
    </w:p>
    <w:p w14:paraId="6BF54500">
      <w:pPr>
        <w:autoSpaceDE w:val="0"/>
        <w:adjustRightInd w:val="0"/>
        <w:snapToGrid w:val="0"/>
        <w:spacing w:line="560" w:lineRule="exact"/>
        <w:ind w:firstLine="640" w:firstLineChars="200"/>
        <w:outlineLvl w:val="0"/>
        <w:rPr>
          <w:rFonts w:ascii="楷体_GB2312" w:eastAsia="楷体_GB2312" w:cs="Calibri"/>
          <w:kern w:val="2"/>
          <w:sz w:val="32"/>
          <w:szCs w:val="32"/>
        </w:rPr>
      </w:pPr>
      <w:r>
        <w:rPr>
          <w:rFonts w:hint="eastAsia" w:ascii="楷体_GB2312" w:eastAsia="楷体_GB2312" w:cs="Calibri"/>
          <w:kern w:val="2"/>
          <w:sz w:val="32"/>
          <w:szCs w:val="32"/>
        </w:rPr>
        <w:t>（六）推动检验检测认证行业创新发展</w:t>
      </w:r>
    </w:p>
    <w:p w14:paraId="3B65024B">
      <w:pPr>
        <w:autoSpaceDE w:val="0"/>
        <w:adjustRightInd w:val="0"/>
        <w:snapToGrid w:val="0"/>
        <w:spacing w:line="560" w:lineRule="exact"/>
        <w:ind w:firstLine="640" w:firstLineChars="200"/>
        <w:outlineLvl w:val="0"/>
        <w:rPr>
          <w:rFonts w:ascii="楷体_GB2312" w:eastAsia="楷体_GB2312" w:cs="Calibri"/>
          <w:kern w:val="2"/>
          <w:sz w:val="32"/>
          <w:szCs w:val="32"/>
        </w:rPr>
      </w:pPr>
      <w:r>
        <w:rPr>
          <w:rFonts w:hint="eastAsia" w:ascii="仿宋_GB2312" w:eastAsia="仿宋_GB2312" w:cs="Calibri"/>
          <w:kern w:val="2"/>
          <w:sz w:val="32"/>
          <w:szCs w:val="32"/>
        </w:rPr>
        <w:t>支持引进具备高端检测设备研发能力的机构，培育“研发-生产-检测-认证”协同发展的产业生态。</w:t>
      </w:r>
      <w:r>
        <w:rPr>
          <w:rFonts w:hint="eastAsia" w:ascii="仿宋_GB2312" w:eastAsia="仿宋_GB2312" w:cs="Calibri"/>
          <w:sz w:val="32"/>
          <w:szCs w:val="32"/>
        </w:rPr>
        <w:t>深化检验检测领域深港合作，推进检测结果互认。对获得检验检测机构资质（CMA、CNAS等）认定的检验检测认证机构，</w:t>
      </w:r>
      <w:r>
        <w:rPr>
          <w:rFonts w:hint="eastAsia" w:ascii="仿宋_GB2312" w:eastAsia="仿宋_GB2312"/>
          <w:kern w:val="2"/>
          <w:sz w:val="32"/>
          <w:szCs w:val="32"/>
        </w:rPr>
        <w:t>上一年度</w:t>
      </w:r>
      <w:r>
        <w:rPr>
          <w:rFonts w:hint="eastAsia" w:ascii="仿宋_GB2312" w:eastAsia="仿宋_GB2312" w:cs="Calibri"/>
          <w:kern w:val="2"/>
          <w:sz w:val="32"/>
          <w:szCs w:val="32"/>
        </w:rPr>
        <w:t>研发投入</w:t>
      </w:r>
      <w:r>
        <w:rPr>
          <w:rFonts w:hint="eastAsia" w:ascii="仿宋_GB2312" w:eastAsia="仿宋_GB2312"/>
          <w:kern w:val="2"/>
          <w:sz w:val="32"/>
          <w:szCs w:val="32"/>
        </w:rPr>
        <w:t>300万元以上的，按照上一年度</w:t>
      </w:r>
      <w:r>
        <w:rPr>
          <w:rFonts w:hint="eastAsia" w:ascii="仿宋_GB2312" w:eastAsia="仿宋_GB2312" w:cs="Calibri"/>
          <w:kern w:val="2"/>
          <w:sz w:val="32"/>
          <w:szCs w:val="32"/>
        </w:rPr>
        <w:t>研发投入的10%予以支持，每年最高不超过</w:t>
      </w:r>
      <w:r>
        <w:rPr>
          <w:rFonts w:hint="eastAsia" w:ascii="仿宋_GB2312" w:eastAsia="仿宋_GB2312"/>
          <w:kern w:val="2"/>
          <w:sz w:val="32"/>
          <w:szCs w:val="32"/>
        </w:rPr>
        <w:t>100万元，累计支持不超过3年。</w:t>
      </w:r>
    </w:p>
    <w:p w14:paraId="2D15C34D">
      <w:pPr>
        <w:autoSpaceDE w:val="0"/>
        <w:adjustRightInd w:val="0"/>
        <w:snapToGrid w:val="0"/>
        <w:spacing w:line="560" w:lineRule="exact"/>
        <w:ind w:firstLine="640" w:firstLineChars="200"/>
        <w:outlineLvl w:val="0"/>
        <w:rPr>
          <w:rFonts w:ascii="楷体_GB2312" w:eastAsia="楷体_GB2312" w:cs="Calibri"/>
          <w:kern w:val="2"/>
          <w:sz w:val="32"/>
          <w:szCs w:val="32"/>
        </w:rPr>
      </w:pPr>
      <w:r>
        <w:rPr>
          <w:rFonts w:hint="eastAsia" w:ascii="楷体_GB2312" w:eastAsia="楷体_GB2312" w:cs="Calibri"/>
          <w:kern w:val="2"/>
          <w:sz w:val="32"/>
          <w:szCs w:val="32"/>
        </w:rPr>
        <w:t>（七）推动现代工程服务业产业集聚发展</w:t>
      </w:r>
    </w:p>
    <w:p w14:paraId="36F22276">
      <w:pPr>
        <w:autoSpaceDE w:val="0"/>
        <w:adjustRightInd w:val="0"/>
        <w:snapToGrid w:val="0"/>
        <w:spacing w:line="560" w:lineRule="exact"/>
        <w:ind w:firstLine="640"/>
        <w:outlineLvl w:val="0"/>
        <w:rPr>
          <w:rFonts w:ascii="仿宋_GB2312" w:eastAsia="仿宋_GB2312" w:cs="Calibri"/>
          <w:sz w:val="32"/>
          <w:szCs w:val="32"/>
        </w:rPr>
      </w:pPr>
      <w:r>
        <w:rPr>
          <w:rFonts w:hint="eastAsia" w:ascii="仿宋_GB2312" w:eastAsia="仿宋_GB2312" w:cs="Calibri"/>
          <w:sz w:val="32"/>
          <w:szCs w:val="32"/>
        </w:rPr>
        <w:t>支持以设计为主导的工程总承包（EPC）模式，鼓励具备条件的建筑设计企业牵头承接总承包项目。推行建筑师负责制，赋予建筑师在项目管理中的主导权，推广全过程咨询服务，建设一批标志性项目，培育壮大前海现代工程服务业企业。</w:t>
      </w:r>
    </w:p>
    <w:p w14:paraId="0220D945">
      <w:pPr>
        <w:autoSpaceDE w:val="0"/>
        <w:adjustRightInd w:val="0"/>
        <w:snapToGrid w:val="0"/>
        <w:spacing w:line="560" w:lineRule="exact"/>
        <w:ind w:firstLine="640"/>
        <w:outlineLvl w:val="0"/>
        <w:rPr>
          <w:rFonts w:ascii="仿宋_GB2312" w:eastAsia="仿宋_GB2312" w:cs="Calibri"/>
          <w:sz w:val="32"/>
          <w:szCs w:val="32"/>
        </w:rPr>
      </w:pPr>
      <w:r>
        <w:rPr>
          <w:rFonts w:hint="eastAsia" w:ascii="仿宋_GB2312" w:eastAsia="仿宋_GB2312" w:cs="Calibri"/>
          <w:sz w:val="32"/>
          <w:szCs w:val="32"/>
        </w:rPr>
        <w:t>依托前海深港规划设计建设平台，吸引全球顶尖规划设计机构、专家及产业链企业参与。推行与港澳及国际通行规则衔接的工程管理模式。支持本地企业承接海外项目，参与国际竞争，对项目拓展、人才引进、法律咨询等予以支持。建立与香港规划建设业界的常态化合作机制。</w:t>
      </w:r>
    </w:p>
    <w:p w14:paraId="413BDBB9">
      <w:pPr>
        <w:autoSpaceDE w:val="0"/>
        <w:adjustRightInd w:val="0"/>
        <w:snapToGrid w:val="0"/>
        <w:spacing w:line="560" w:lineRule="exact"/>
        <w:ind w:firstLine="640"/>
        <w:outlineLvl w:val="0"/>
        <w:rPr>
          <w:rFonts w:ascii="仿宋_GB2312" w:eastAsia="仿宋_GB2312" w:cs="Calibri"/>
          <w:sz w:val="32"/>
          <w:szCs w:val="32"/>
        </w:rPr>
      </w:pPr>
      <w:r>
        <w:rPr>
          <w:rFonts w:hint="eastAsia" w:ascii="仿宋_GB2312" w:eastAsia="仿宋_GB2312" w:cs="Calibri"/>
          <w:sz w:val="32"/>
          <w:szCs w:val="32"/>
        </w:rPr>
        <w:t>支持规划设计服务机构向绿色化、工业化、智能化创新发展。拓展创新应用场景，在重点区域、重点项目开展试点，对上一年度研发投入300万元以上的规划设计服务企业，按照上一年度研发投入的10%予以支持，每年最高不超过100万元，累计支持不超过3年。</w:t>
      </w:r>
    </w:p>
    <w:p w14:paraId="30690FC4">
      <w:pPr>
        <w:autoSpaceDE w:val="0"/>
        <w:adjustRightInd w:val="0"/>
        <w:snapToGrid w:val="0"/>
        <w:spacing w:line="560" w:lineRule="exact"/>
        <w:ind w:firstLine="640"/>
        <w:outlineLvl w:val="0"/>
        <w:rPr>
          <w:rFonts w:hint="eastAsia" w:ascii="黑体" w:hAnsi="宋体" w:eastAsia="黑体" w:cs="Calibri"/>
          <w:kern w:val="2"/>
          <w:sz w:val="32"/>
          <w:szCs w:val="32"/>
        </w:rPr>
      </w:pPr>
      <w:r>
        <w:rPr>
          <w:rFonts w:hint="eastAsia" w:ascii="黑体" w:hAnsi="黑体" w:eastAsia="黑体" w:cs="Calibri"/>
          <w:kern w:val="2"/>
          <w:sz w:val="32"/>
          <w:szCs w:val="32"/>
        </w:rPr>
        <w:t>二、加大科技服务业空间供给</w:t>
      </w:r>
    </w:p>
    <w:p w14:paraId="498EAE97">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科技服务业机构可以参照前海创新型产业用房相关政策，按照下列标准申请创新型产业用房支持。</w:t>
      </w:r>
    </w:p>
    <w:p w14:paraId="01CCAF46">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（一）对符合以下条件之一的机构，自起租之日起予以1年免租支持，第2年起按市场评估价的30%收取租金：</w:t>
      </w:r>
    </w:p>
    <w:p w14:paraId="246CD0CC">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1.“深圳市引进重点研发机构”“深圳市引进重点创新型企业”；</w:t>
      </w:r>
    </w:p>
    <w:p w14:paraId="7D92D6B5">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2.上年度营业收入10亿元以上的科技服务业机构；</w:t>
      </w:r>
    </w:p>
    <w:p w14:paraId="0543E23B">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3.达到上一年度全市科技服务业百强同等体量的科技服务业机构。</w:t>
      </w:r>
    </w:p>
    <w:p w14:paraId="184AAA4F">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（二）规模以上科技服务业机构，自起租之日起予以1年免租支持，第2年起按市场评估价的50%收取租金。</w:t>
      </w:r>
    </w:p>
    <w:p w14:paraId="03744702">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（三）其他科技服务业机构，按市场评估价的70%收取租金。</w:t>
      </w:r>
    </w:p>
    <w:p w14:paraId="1ED4D4F2">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前海管理局受理申请后，在前海管理局物业统筹安排，根据机构产出强度、发展能力、研发能力、产业贡献等指标进行综合遴选。</w:t>
      </w:r>
    </w:p>
    <w:p w14:paraId="65FA0AC0">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科技服务业机构按照入驻后实际办公人员人均20平方米的标准申请办公空间，超出该标准的面积不享受免租优惠。创新型产业用房的租赁期限不少于1年（不包括免租期），最长不超过5年。申请续租创新型产业用房的机构，应当在合同期满前6个月内书面提出续租申请，续租次数原则上不超过2次。</w:t>
      </w:r>
    </w:p>
    <w:p w14:paraId="47B28DFA">
      <w:pPr>
        <w:autoSpaceDE w:val="0"/>
        <w:adjustRightInd w:val="0"/>
        <w:snapToGrid w:val="0"/>
        <w:spacing w:line="560" w:lineRule="exact"/>
        <w:ind w:firstLine="640" w:firstLineChars="200"/>
        <w:outlineLvl w:val="0"/>
        <w:rPr>
          <w:rFonts w:hint="eastAsia" w:ascii="黑体" w:hAnsi="宋体" w:eastAsia="黑体" w:cs="Calibri"/>
          <w:kern w:val="2"/>
          <w:sz w:val="32"/>
          <w:szCs w:val="32"/>
        </w:rPr>
      </w:pPr>
      <w:r>
        <w:rPr>
          <w:rFonts w:hint="eastAsia" w:ascii="黑体" w:hAnsi="宋体" w:eastAsia="黑体" w:cs="Calibri"/>
          <w:kern w:val="2"/>
          <w:sz w:val="32"/>
          <w:szCs w:val="32"/>
        </w:rPr>
        <w:t xml:space="preserve"> </w:t>
      </w:r>
      <w:r>
        <w:rPr>
          <w:rFonts w:hint="eastAsia" w:ascii="黑体" w:hAnsi="黑体" w:eastAsia="黑体" w:cs="Calibri"/>
          <w:kern w:val="2"/>
          <w:sz w:val="32"/>
          <w:szCs w:val="32"/>
        </w:rPr>
        <w:t>三、支持国际重大科研项目成果转化</w:t>
      </w:r>
    </w:p>
    <w:p w14:paraId="27FD7E1F">
      <w:pPr>
        <w:autoSpaceDE w:val="0"/>
        <w:adjustRightInd w:val="0"/>
        <w:snapToGrid w:val="0"/>
        <w:spacing w:line="560" w:lineRule="exact"/>
        <w:ind w:firstLine="624"/>
        <w:outlineLvl w:val="0"/>
        <w:rPr>
          <w:rFonts w:hint="eastAsia" w:ascii="仿宋_GB2312" w:hAnsi="楷体_GB2312" w:eastAsia="仿宋_GB2312" w:cs="楷体_GB2312"/>
          <w:kern w:val="2"/>
          <w:sz w:val="32"/>
          <w:szCs w:val="32"/>
        </w:rPr>
      </w:pPr>
      <w:r>
        <w:rPr>
          <w:rFonts w:hint="eastAsia" w:ascii="仿宋_GB2312" w:hAnsi="楷体_GB2312" w:eastAsia="仿宋_GB2312" w:cs="楷体_GB2312"/>
          <w:kern w:val="2"/>
          <w:sz w:val="32"/>
          <w:szCs w:val="32"/>
        </w:rPr>
        <w:t>支持QS世界大学排名前100的高校联合企业在前海合作区设立科技服务业机构，开展技术转移和成果转化。支持源自港澳及国际的重大科研成果在前海合作区进行产业转化，利用前海产业链配套和市场空间加快发展，形成协同创新效应。</w:t>
      </w:r>
    </w:p>
    <w:p w14:paraId="42DC3DFC">
      <w:pPr>
        <w:autoSpaceDE w:val="0"/>
        <w:adjustRightInd w:val="0"/>
        <w:snapToGrid w:val="0"/>
        <w:spacing w:line="560" w:lineRule="exact"/>
        <w:ind w:firstLine="624"/>
        <w:outlineLvl w:val="0"/>
        <w:rPr>
          <w:rFonts w:hint="eastAsia" w:ascii="仿宋_GB2312" w:hAnsi="楷体_GB2312" w:eastAsia="仿宋_GB2312" w:cs="楷体_GB2312"/>
          <w:kern w:val="2"/>
          <w:sz w:val="32"/>
          <w:szCs w:val="32"/>
        </w:rPr>
      </w:pPr>
      <w:r>
        <w:rPr>
          <w:rFonts w:hint="eastAsia" w:ascii="仿宋_GB2312" w:hAnsi="楷体_GB2312" w:eastAsia="仿宋_GB2312" w:cs="楷体_GB2312"/>
          <w:kern w:val="2"/>
          <w:sz w:val="32"/>
          <w:szCs w:val="32"/>
        </w:rPr>
        <w:t>对获得香港特区政府创新科技署资助1000万港元以上的项目，</w:t>
      </w:r>
      <w:r>
        <w:rPr>
          <w:rFonts w:hint="eastAsia" w:ascii="仿宋_GB2312" w:eastAsia="仿宋_GB2312"/>
          <w:kern w:val="2"/>
          <w:sz w:val="32"/>
          <w:szCs w:val="32"/>
        </w:rPr>
        <w:t>上一年度在前海</w:t>
      </w:r>
      <w:r>
        <w:rPr>
          <w:rFonts w:hint="eastAsia" w:ascii="仿宋_GB2312" w:eastAsia="仿宋_GB2312" w:cs="Calibri"/>
          <w:kern w:val="2"/>
          <w:sz w:val="32"/>
          <w:szCs w:val="32"/>
        </w:rPr>
        <w:t>研发投入300万元以上的</w:t>
      </w:r>
      <w:r>
        <w:rPr>
          <w:rFonts w:hint="eastAsia" w:ascii="仿宋_GB2312" w:eastAsia="仿宋_GB2312"/>
          <w:kern w:val="2"/>
          <w:sz w:val="32"/>
          <w:szCs w:val="32"/>
        </w:rPr>
        <w:t>科技服务业机构</w:t>
      </w:r>
      <w:r>
        <w:rPr>
          <w:rFonts w:hint="eastAsia" w:ascii="仿宋_GB2312" w:eastAsia="仿宋_GB2312" w:cs="Calibri"/>
          <w:kern w:val="2"/>
          <w:sz w:val="32"/>
          <w:szCs w:val="32"/>
        </w:rPr>
        <w:t>，按照研发投入</w:t>
      </w:r>
      <w:r>
        <w:rPr>
          <w:rFonts w:hint="eastAsia" w:ascii="仿宋_GB2312" w:eastAsia="仿宋_GB2312"/>
          <w:kern w:val="2"/>
          <w:sz w:val="32"/>
          <w:szCs w:val="32"/>
        </w:rPr>
        <w:t>的20%</w:t>
      </w:r>
      <w:r>
        <w:rPr>
          <w:rFonts w:hint="eastAsia" w:ascii="仿宋_GB2312" w:hAnsi="楷体_GB2312" w:eastAsia="仿宋_GB2312" w:cs="楷体_GB2312"/>
          <w:kern w:val="2"/>
          <w:sz w:val="32"/>
          <w:szCs w:val="32"/>
        </w:rPr>
        <w:t>予以奖励，每年最高150万元，累计支持不超过3年。</w:t>
      </w:r>
    </w:p>
    <w:p w14:paraId="1642B468">
      <w:pPr>
        <w:autoSpaceDE w:val="0"/>
        <w:adjustRightInd w:val="0"/>
        <w:snapToGrid w:val="0"/>
        <w:spacing w:line="560" w:lineRule="exact"/>
        <w:ind w:firstLine="640" w:firstLineChars="200"/>
        <w:outlineLvl w:val="0"/>
        <w:rPr>
          <w:rFonts w:hint="eastAsia" w:ascii="黑体" w:hAnsi="宋体" w:eastAsia="黑体" w:cs="Calibri"/>
          <w:kern w:val="2"/>
          <w:sz w:val="32"/>
          <w:szCs w:val="32"/>
        </w:rPr>
      </w:pPr>
      <w:r>
        <w:rPr>
          <w:rFonts w:hint="eastAsia" w:ascii="黑体" w:hAnsi="黑体" w:eastAsia="黑体" w:cs="Calibri"/>
          <w:kern w:val="2"/>
          <w:sz w:val="32"/>
          <w:szCs w:val="32"/>
        </w:rPr>
        <w:t>四、支持标准制定</w:t>
      </w:r>
    </w:p>
    <w:p w14:paraId="180FB4AD">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支持科技服务业机构按照深圳市市场监督管理主管部门关于深圳标准领域的有关资助政策，申请市级关于国际标准、国家标准、行业标准、深圳市地方标准制定等支持。</w:t>
      </w:r>
    </w:p>
    <w:p w14:paraId="2D9321D9">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对主导制定且已发布湾区标准的科技服务业机构，前海予以</w:t>
      </w:r>
      <w:r>
        <w:rPr>
          <w:rFonts w:hint="eastAsia" w:ascii="仿宋_GB2312" w:hAnsi="Times New Roman" w:eastAsia="仿宋_GB2312"/>
          <w:kern w:val="2"/>
          <w:sz w:val="32"/>
          <w:szCs w:val="32"/>
        </w:rPr>
        <w:t>每项10万元支持，同一机构年度申请此项支持金额最高不超过100万</w:t>
      </w:r>
      <w:r>
        <w:rPr>
          <w:rFonts w:hint="eastAsia" w:ascii="仿宋_GB2312" w:eastAsia="仿宋_GB2312" w:cs="Calibri"/>
          <w:kern w:val="2"/>
          <w:sz w:val="32"/>
          <w:szCs w:val="32"/>
        </w:rPr>
        <w:t>元。</w:t>
      </w:r>
    </w:p>
    <w:p w14:paraId="008642E0">
      <w:pPr>
        <w:autoSpaceDE w:val="0"/>
        <w:adjustRightInd w:val="0"/>
        <w:snapToGrid w:val="0"/>
        <w:spacing w:line="560" w:lineRule="exact"/>
        <w:ind w:firstLine="640" w:firstLineChars="200"/>
        <w:outlineLvl w:val="0"/>
        <w:rPr>
          <w:rFonts w:hint="eastAsia" w:ascii="黑体" w:hAnsi="宋体" w:eastAsia="黑体" w:cs="Calibri"/>
          <w:kern w:val="2"/>
          <w:sz w:val="32"/>
          <w:szCs w:val="32"/>
        </w:rPr>
      </w:pPr>
      <w:r>
        <w:rPr>
          <w:rFonts w:hint="eastAsia" w:ascii="黑体" w:hAnsi="黑体" w:eastAsia="黑体" w:cs="Calibri"/>
          <w:kern w:val="2"/>
          <w:sz w:val="32"/>
          <w:szCs w:val="32"/>
        </w:rPr>
        <w:t>五、落实税收优惠政策</w:t>
      </w:r>
    </w:p>
    <w:p w14:paraId="39C031F7">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对符合前海企业所得税优惠政策相关条件的科技服务业机构，按照国家有关规定，减按15%的税率征收企业所得税。在前海科技服务业机构工作的香港居民，对其个人所得税税负超过香港税负的部分予以免征；符合条件的境外高端及紧缺人才，按内地与香港个人所得税税负差额给予补贴。</w:t>
      </w:r>
    </w:p>
    <w:p w14:paraId="1D49991D">
      <w:pPr>
        <w:autoSpaceDE w:val="0"/>
        <w:adjustRightInd w:val="0"/>
        <w:snapToGrid w:val="0"/>
        <w:spacing w:line="560" w:lineRule="exact"/>
        <w:ind w:firstLine="640" w:firstLineChars="200"/>
        <w:outlineLvl w:val="0"/>
        <w:rPr>
          <w:rFonts w:hint="eastAsia" w:ascii="黑体" w:hAnsi="宋体" w:eastAsia="黑体" w:cs="Calibri"/>
          <w:kern w:val="2"/>
          <w:sz w:val="32"/>
          <w:szCs w:val="32"/>
        </w:rPr>
      </w:pPr>
      <w:r>
        <w:rPr>
          <w:rFonts w:hint="eastAsia" w:ascii="黑体" w:hAnsi="黑体" w:eastAsia="黑体" w:cs="Calibri"/>
          <w:kern w:val="2"/>
          <w:sz w:val="32"/>
          <w:szCs w:val="32"/>
        </w:rPr>
        <w:t>六、促进科技服务业人才集聚</w:t>
      </w:r>
    </w:p>
    <w:p w14:paraId="2B83BE4F">
      <w:pPr>
        <w:autoSpaceDE w:val="0"/>
        <w:adjustRightInd w:val="0"/>
        <w:snapToGrid w:val="0"/>
        <w:spacing w:line="560" w:lineRule="exact"/>
        <w:ind w:firstLine="640" w:firstLineChars="200"/>
        <w:rPr>
          <w:rFonts w:ascii="仿宋_GB2312" w:eastAsia="仿宋_GB2312" w:cs="Calibri"/>
          <w:kern w:val="2"/>
          <w:sz w:val="32"/>
          <w:szCs w:val="32"/>
        </w:rPr>
      </w:pPr>
      <w:r>
        <w:rPr>
          <w:rFonts w:hint="eastAsia" w:ascii="仿宋_GB2312" w:eastAsia="仿宋_GB2312" w:cs="Calibri"/>
          <w:kern w:val="2"/>
          <w:sz w:val="32"/>
          <w:szCs w:val="32"/>
        </w:rPr>
        <w:t>支持前海科技服务业机构面向全球招引拔尖人才、专业人才、紧缺人才，对符合条件的优先推荐申报国家重大人才计划，入选后可享受人才奖励和配套保障。择优推荐符合条件的科技服务业机构、研发中心、新型研发机构等创新平台，申请市高层次人才团队专项。构建与国际接轨的人才引进使用、服务保障、社会融入制度体系，建立覆盖入境签证、工作居留、便利通关全流程的入境居留机制。按照“属地管理、共同保障、优先优待”的原则，市区联动按规定面向高层次人才提供保障性住房、子女教育、配偶就业、医疗保障等方面保障。机构的外籍高层次人才，经前海管理局推荐后可申请办理在华永久居留资格。经机构邀请、需要多次临时入境的符合条件的外籍人员，可申请办理人才（R字）签证。对机构聘用的外籍人员，给予工作许可和工作类居留许可申办便利。</w:t>
      </w:r>
    </w:p>
    <w:p w14:paraId="7828AF31">
      <w:pPr>
        <w:autoSpaceDE w:val="0"/>
        <w:adjustRightInd w:val="0"/>
        <w:snapToGrid w:val="0"/>
        <w:spacing w:line="560" w:lineRule="exact"/>
        <w:ind w:firstLine="640" w:firstLineChars="200"/>
        <w:outlineLvl w:val="0"/>
        <w:rPr>
          <w:rFonts w:hint="eastAsia" w:ascii="黑体" w:hAnsi="宋体" w:eastAsia="黑体" w:cs="Calibri"/>
          <w:kern w:val="2"/>
          <w:sz w:val="32"/>
          <w:szCs w:val="32"/>
        </w:rPr>
      </w:pPr>
      <w:r>
        <w:rPr>
          <w:rFonts w:hint="eastAsia" w:ascii="黑体" w:hAnsi="黑体" w:eastAsia="黑体" w:cs="Calibri"/>
          <w:kern w:val="2"/>
          <w:sz w:val="32"/>
          <w:szCs w:val="32"/>
        </w:rPr>
        <w:t>七、完善科技服务业金融支持</w:t>
      </w:r>
    </w:p>
    <w:p w14:paraId="4BD5EA7A">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用足用好市场化基金、种子基金、前海产业引导基金，对高成长性企业加大投资力度。鼓励金融机构完善和丰富金融产品和服务，完善科技型企业发行上市、发债融资、并购重组等服务体系。支持符合条件的科技服务业机构充分利用超长期特别国债、企业债、短期融资券等各类融资工具，解决多样化融资需求。深化“科技+金融”融合，试点知识产权质押融资、跨境供应链金融等新模式。支持研究开发、检验检测机构采用融资租赁模式采购科研仪器设备。</w:t>
      </w:r>
    </w:p>
    <w:p w14:paraId="689137F0">
      <w:pPr>
        <w:autoSpaceDE w:val="0"/>
        <w:adjustRightInd w:val="0"/>
        <w:snapToGrid w:val="0"/>
        <w:spacing w:line="560" w:lineRule="exact"/>
        <w:ind w:firstLine="640" w:firstLineChars="200"/>
        <w:outlineLvl w:val="0"/>
        <w:rPr>
          <w:rFonts w:hint="eastAsia" w:ascii="黑体" w:hAnsi="宋体" w:eastAsia="黑体" w:cs="Calibri"/>
          <w:kern w:val="2"/>
          <w:sz w:val="32"/>
          <w:szCs w:val="32"/>
        </w:rPr>
      </w:pPr>
      <w:r>
        <w:rPr>
          <w:rFonts w:hint="eastAsia" w:ascii="黑体" w:hAnsi="黑体" w:eastAsia="黑体" w:cs="Calibri"/>
          <w:kern w:val="2"/>
          <w:sz w:val="32"/>
          <w:szCs w:val="32"/>
        </w:rPr>
        <w:t>八、加强知识产权服务</w:t>
      </w:r>
    </w:p>
    <w:p w14:paraId="261BE86D">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鼓励各类创新主体在前海合作区布局知识产权并开展科技成果转化工作，支持专利代理机构提供相关服务。支持深圳市知识产权保护中心为香港特别行政区申请人提供发明专利优先审查和专利快速预审服务。依托海外知识产权纠纷应对指导深圳分中心为机构提供知识产权海外纠纷应对指导服务，护航企业出海。</w:t>
      </w:r>
    </w:p>
    <w:p w14:paraId="17B06934">
      <w:pPr>
        <w:autoSpaceDE w:val="0"/>
        <w:adjustRightInd w:val="0"/>
        <w:snapToGrid w:val="0"/>
        <w:spacing w:line="560" w:lineRule="exact"/>
        <w:ind w:firstLine="640" w:firstLineChars="200"/>
        <w:outlineLvl w:val="0"/>
        <w:rPr>
          <w:rFonts w:hint="eastAsia" w:ascii="黑体" w:hAnsi="宋体" w:eastAsia="黑体" w:cs="Calibri"/>
          <w:kern w:val="2"/>
          <w:sz w:val="32"/>
          <w:szCs w:val="32"/>
        </w:rPr>
      </w:pPr>
      <w:r>
        <w:rPr>
          <w:rFonts w:hint="eastAsia" w:ascii="黑体" w:hAnsi="黑体" w:eastAsia="黑体" w:cs="Calibri"/>
          <w:kern w:val="2"/>
          <w:sz w:val="32"/>
          <w:szCs w:val="32"/>
        </w:rPr>
        <w:t>九、提供跨境数据流通便利</w:t>
      </w:r>
    </w:p>
    <w:p w14:paraId="65C0ADEE">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推动科技服务业机构按照国家数据跨境流动安全管理相关要求，加强自身数据管理，促进数据安全有序自由流动。提升深圳（前海）数据跨境流动综合服务中心服务水平，扩展服务事项，为具有数据跨境需求的科技服务业机构提供政策咨询、申报辅导、场景培育和应用推广等全流程一站式数据跨境流动服务。加快深港数据跨境安全便捷通道在科研数据跨境流动场景的应用试点，为科技服务业机构数据跨境流动提供高效安全合规的传输通道。积极为科技服务业机构访问国际学术前沿网站提供安全保障服务。</w:t>
      </w:r>
    </w:p>
    <w:p w14:paraId="2BDD6C96">
      <w:pPr>
        <w:autoSpaceDE w:val="0"/>
        <w:adjustRightInd w:val="0"/>
        <w:snapToGrid w:val="0"/>
        <w:spacing w:line="560" w:lineRule="exact"/>
        <w:ind w:firstLine="640" w:firstLineChars="200"/>
        <w:outlineLvl w:val="0"/>
        <w:rPr>
          <w:rFonts w:hint="eastAsia" w:ascii="黑体" w:hAnsi="宋体" w:eastAsia="黑体" w:cs="Calibri"/>
          <w:kern w:val="2"/>
          <w:sz w:val="32"/>
          <w:szCs w:val="32"/>
        </w:rPr>
      </w:pPr>
      <w:r>
        <w:rPr>
          <w:rFonts w:hint="eastAsia" w:ascii="黑体" w:hAnsi="黑体" w:eastAsia="黑体" w:cs="Calibri"/>
          <w:kern w:val="2"/>
          <w:sz w:val="32"/>
          <w:szCs w:val="32"/>
        </w:rPr>
        <w:t>十、其他支持</w:t>
      </w:r>
    </w:p>
    <w:p w14:paraId="689B8A43">
      <w:pPr>
        <w:autoSpaceDE w:val="0"/>
        <w:adjustRightInd w:val="0"/>
        <w:snapToGrid w:val="0"/>
        <w:spacing w:line="560" w:lineRule="exact"/>
        <w:ind w:firstLine="640" w:firstLineChars="200"/>
        <w:rPr>
          <w:rFonts w:ascii="仿宋_GB2312" w:eastAsia="仿宋_GB2312" w:cs="Calibri"/>
          <w:kern w:val="2"/>
          <w:sz w:val="32"/>
          <w:szCs w:val="32"/>
        </w:rPr>
      </w:pPr>
      <w:r>
        <w:rPr>
          <w:rFonts w:hint="eastAsia" w:ascii="仿宋_GB2312" w:eastAsia="仿宋_GB2312" w:cs="Calibri"/>
          <w:kern w:val="2"/>
          <w:sz w:val="32"/>
          <w:szCs w:val="32"/>
        </w:rPr>
        <w:t>支持科技服务业机构按规定享受前海科技创新、人工智能、知识产权、研发中心、国际组织等各类产业资金政策。支持科技服务业机构按照深圳市、前海合作区有关政策享受实际利用外资奖励。科技服务业机构人员可以按照有关规定申请前海合作区住房保障等支持。鼓励机构充分利用中国（广东）自由贸易试验区深圳前海蛇口片区、前海综合保税区各项政策开展创新业务。</w:t>
      </w:r>
    </w:p>
    <w:p w14:paraId="32140907">
      <w:pPr>
        <w:autoSpaceDE w:val="0"/>
        <w:adjustRightInd w:val="0"/>
        <w:snapToGrid w:val="0"/>
        <w:spacing w:line="560" w:lineRule="exact"/>
        <w:ind w:firstLine="640" w:firstLineChars="200"/>
        <w:outlineLvl w:val="0"/>
        <w:rPr>
          <w:rFonts w:hint="eastAsia" w:ascii="黑体" w:hAnsi="宋体" w:eastAsia="黑体" w:cs="Calibri"/>
          <w:kern w:val="2"/>
          <w:sz w:val="32"/>
          <w:szCs w:val="32"/>
        </w:rPr>
      </w:pPr>
      <w:r>
        <w:rPr>
          <w:rFonts w:hint="eastAsia" w:ascii="黑体" w:hAnsi="黑体" w:eastAsia="黑体" w:cs="Calibri"/>
          <w:kern w:val="2"/>
          <w:sz w:val="32"/>
          <w:szCs w:val="32"/>
        </w:rPr>
        <w:t>十一、附则</w:t>
      </w:r>
    </w:p>
    <w:p w14:paraId="45AB1F78">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（一）申请本措施支持的科技服务业机构，应当符合以下条件：</w:t>
      </w:r>
    </w:p>
    <w:p w14:paraId="50E314D6">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1.在前海合作区实际经营，申报时未被列入严重失信主体名单的法人或者非法人组织及其分支机构。</w:t>
      </w:r>
    </w:p>
    <w:p w14:paraId="32A33234">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2.实质性从事科学研究和技术服务业，纳统为《国民经济行业分类与代码（GBT4754-2017）》中第73-75类，具体包括第73类“研究和试验发展”、第74类“专业技术服务业”和第75类“科技推广和应用服务业”。申请本措施第一条（四）推动技术转移与科技成果转化中第四款，以及第三条、第四条的科学研究和技术服务业机构不受本条限制。</w:t>
      </w:r>
    </w:p>
    <w:p w14:paraId="39C9D446">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申请本措施第一条主体所属行业，以对应的《国民经济行业分类与代码（GBT4754-2017）》中细分类别为准。其中，申请本措施第一条中入选“深圳市引进重点研发机构”或“深圳市引进重点创新型企业”的科技服务业机构，不受细分类别限制。</w:t>
      </w:r>
    </w:p>
    <w:p w14:paraId="0EE1640A">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3.申请本措施支持的主体及其人员未处于承担或者参股财政性资金支持科技活动禁止期限内，不存在虚报、冒领、贪污、挪用、截留用于科学技术进步的财政性资金，进行违背科研诚信和科技伦理的科学技术研究开发和应用活动，违反科学技术活动管理规范等情节严重的情形。</w:t>
      </w:r>
    </w:p>
    <w:p w14:paraId="77C7889B">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（二）名词解释：</w:t>
      </w:r>
    </w:p>
    <w:p w14:paraId="3CD08C42">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1.本措施所称“不少于”“不超过”“以上”均含本数，“超过”“以下”不含本数。</w:t>
      </w:r>
    </w:p>
    <w:p w14:paraId="27A193D3">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2.本措施所称“专利代理师数量”及“专利申请量”，以申报期间的全国专利代理公共服务平台数据为准。</w:t>
      </w:r>
    </w:p>
    <w:p w14:paraId="7CB0C2F1">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3.本措施所称“研发投入”，是指机构研究开发活动符合研发费用加计扣除政策范畴，且已按规定向税务部门办理上年度加计扣除申报的费用。</w:t>
      </w:r>
    </w:p>
    <w:p w14:paraId="243387B8">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4.本措施所称“技术转移机构”，是指为实现和加速技术转移过程提供各类服务的机构，包括技术经纪、技术集成与经营、成果评价、知识产权运营、技术投融资、供需对接、交易谈判、技术交易等服务，促进新技术的扩散、转化，推动技术创新价值的发掘、实现，但单纯提供信息、法律、咨询、金融等服务的除外。</w:t>
      </w:r>
    </w:p>
    <w:p w14:paraId="67EA7489">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5.本措施所称“主导制定湾区标准”，是指在标准文本“前言”中排名前两名。行政机关单位（或财政全额核拨单位）不予支持。同一个标准项目涉及多个符合要求申请单位的，按主导项目奖励金额平均分配。</w:t>
      </w:r>
    </w:p>
    <w:p w14:paraId="28858BAE">
      <w:pPr>
        <w:autoSpaceDE w:val="0"/>
        <w:adjustRightInd w:val="0"/>
        <w:snapToGrid w:val="0"/>
        <w:spacing w:line="560" w:lineRule="exact"/>
        <w:ind w:firstLine="640" w:firstLineChars="200"/>
        <w:outlineLvl w:val="0"/>
        <w:rPr>
          <w:rFonts w:ascii="仿宋_GB2312" w:eastAsia="仿宋_GB2312" w:cs="Calibri"/>
          <w:kern w:val="2"/>
          <w:szCs w:val="21"/>
        </w:rPr>
      </w:pPr>
      <w:r>
        <w:rPr>
          <w:rFonts w:hint="eastAsia" w:ascii="仿宋_GB2312" w:eastAsia="仿宋_GB2312" w:cs="Calibri"/>
          <w:kern w:val="2"/>
          <w:sz w:val="32"/>
          <w:szCs w:val="32"/>
        </w:rPr>
        <w:t>（三）本措施涉及的支持资金的申请由前海管理局负责受理、审核与发放，并由前海管理局按年度在前海合作区产业发展资金预算中予以安排。</w:t>
      </w:r>
    </w:p>
    <w:p w14:paraId="264C58DF">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（四）单个机构每年可获本措施资金扶持不超过1000万元。</w:t>
      </w:r>
    </w:p>
    <w:p w14:paraId="59FA2180">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五）申请本措施支持的主体应当保证申请材料的真实性、完整性，在申报、执行扶持资金过程中存在弄虚作假、以不正当手段骗取资金、拒绝配合监督检查的，前海管理局收回扶持资金，并按当期贷款市场报价利率（LPR）计息。构成犯罪的，依法追究刑事责任。</w:t>
      </w:r>
    </w:p>
    <w:p w14:paraId="6BE41812">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eastAsia="仿宋_GB2312" w:cs="Calibri"/>
          <w:kern w:val="2"/>
          <w:sz w:val="32"/>
          <w:szCs w:val="32"/>
        </w:rPr>
        <w:t>（六）前海南山片区同时享受南山区相关支持政策，前海宝安片区同时享受宝安区相关支持政策。</w:t>
      </w:r>
      <w:r>
        <w:rPr>
          <w:rFonts w:hint="eastAsia" w:ascii="仿宋_GB2312" w:hAnsi="楷体_GB2312" w:eastAsia="仿宋_GB2312" w:cs="楷体_GB2312"/>
          <w:kern w:val="2"/>
          <w:sz w:val="32"/>
          <w:szCs w:val="32"/>
        </w:rPr>
        <w:t>同时符合本措施支持政策及南山区、宝安区或者前海其他同类支持政策的，按照“择优不重复”原则执行。</w:t>
      </w:r>
    </w:p>
    <w:p w14:paraId="287C4BF3">
      <w:pPr>
        <w:autoSpaceDE w:val="0"/>
        <w:adjustRightInd w:val="0"/>
        <w:snapToGrid w:val="0"/>
        <w:spacing w:line="560" w:lineRule="exact"/>
        <w:ind w:firstLine="640" w:firstLineChars="200"/>
        <w:outlineLvl w:val="0"/>
        <w:rPr>
          <w:rFonts w:ascii="仿宋_GB2312" w:eastAsia="仿宋_GB2312" w:cs="Calibri"/>
          <w:kern w:val="2"/>
          <w:sz w:val="32"/>
          <w:szCs w:val="32"/>
        </w:rPr>
      </w:pPr>
      <w:r>
        <w:rPr>
          <w:rFonts w:hint="eastAsia" w:ascii="仿宋_GB2312" w:hAnsi="楷体_GB2312" w:eastAsia="仿宋_GB2312" w:cs="楷体_GB2312"/>
          <w:kern w:val="2"/>
          <w:sz w:val="32"/>
          <w:szCs w:val="32"/>
        </w:rPr>
        <w:t>（七）本措施自2025年10月9日起实施，有效期至2028年10月8日。本措施涉及的具体政策有明确执行期限或国家、省市及前海现有政策有明确规定的，从其规定。</w:t>
      </w:r>
    </w:p>
    <w:p w14:paraId="6BDF94B3">
      <w:pPr>
        <w:ind w:firstLine="640" w:firstLineChars="200"/>
        <w:rPr>
          <w:rFonts w:hint="eastAsia" w:ascii="仿宋_GB2312" w:hAnsi="仿宋_GB2312" w:eastAsia="仿宋_GB2312" w:cs="仿宋_GB2312"/>
          <w:kern w:val="2"/>
          <w:sz w:val="32"/>
          <w:szCs w:val="32"/>
          <w:lang w:bidi="ar"/>
        </w:rPr>
      </w:pPr>
    </w:p>
    <w:p w14:paraId="113DFC14">
      <w:pPr>
        <w:pStyle w:val="4"/>
        <w:rPr>
          <w:rFonts w:hint="eastAsia" w:ascii="黑体" w:hAnsi="黑体" w:eastAsia="黑体" w:cs="宋体"/>
          <w:sz w:val="32"/>
          <w:szCs w:val="32"/>
        </w:rPr>
      </w:pPr>
    </w:p>
    <w:p w14:paraId="199D2476">
      <w:pPr>
        <w:rPr>
          <w:rFonts w:hint="eastAsia" w:ascii="黑体" w:hAnsi="黑体" w:eastAsia="黑体" w:cs="宋体"/>
          <w:sz w:val="32"/>
          <w:szCs w:val="32"/>
        </w:rPr>
      </w:pPr>
    </w:p>
    <w:p w14:paraId="28263EB2">
      <w:pPr>
        <w:pStyle w:val="4"/>
        <w:rPr>
          <w:rFonts w:hint="eastAsia" w:ascii="黑体" w:hAnsi="黑体" w:eastAsia="黑体" w:cs="宋体"/>
          <w:sz w:val="32"/>
          <w:szCs w:val="32"/>
        </w:rPr>
      </w:pPr>
    </w:p>
    <w:p w14:paraId="64795A6C">
      <w:pPr>
        <w:rPr>
          <w:rFonts w:hint="eastAsia" w:ascii="黑体" w:hAnsi="黑体" w:eastAsia="黑体" w:cs="宋体"/>
          <w:sz w:val="32"/>
          <w:szCs w:val="32"/>
        </w:rPr>
      </w:pPr>
    </w:p>
    <w:p w14:paraId="1C7FA082">
      <w:pPr>
        <w:pStyle w:val="4"/>
        <w:rPr>
          <w:rFonts w:hint="eastAsia" w:ascii="黑体" w:hAnsi="黑体" w:eastAsia="黑体" w:cs="宋体"/>
          <w:sz w:val="32"/>
          <w:szCs w:val="32"/>
        </w:rPr>
      </w:pPr>
    </w:p>
    <w:p w14:paraId="734881E9">
      <w:pPr>
        <w:rPr>
          <w:rFonts w:hint="eastAsia" w:ascii="黑体" w:hAnsi="黑体" w:eastAsia="黑体" w:cs="宋体"/>
          <w:sz w:val="32"/>
          <w:szCs w:val="32"/>
        </w:rPr>
      </w:pPr>
    </w:p>
    <w:p w14:paraId="0A22F3D0">
      <w:pPr>
        <w:pStyle w:val="4"/>
        <w:rPr>
          <w:rFonts w:hint="eastAsia" w:ascii="黑体" w:hAnsi="黑体" w:eastAsia="黑体" w:cs="宋体"/>
          <w:sz w:val="32"/>
          <w:szCs w:val="32"/>
        </w:rPr>
      </w:pPr>
    </w:p>
    <w:p w14:paraId="4C8E2789">
      <w:pPr>
        <w:rPr>
          <w:rFonts w:hint="eastAsia" w:ascii="黑体" w:hAnsi="黑体" w:eastAsia="黑体" w:cs="宋体"/>
          <w:sz w:val="32"/>
          <w:szCs w:val="32"/>
        </w:rPr>
      </w:pPr>
    </w:p>
    <w:bookmarkEnd w:id="0"/>
    <w:p w14:paraId="0396D06E">
      <w:pPr>
        <w:pStyle w:val="4"/>
        <w:rPr>
          <w:rFonts w:hint="eastAsia" w:ascii="黑体" w:hAnsi="黑体" w:eastAsia="黑体" w:cs="宋体"/>
          <w:sz w:val="32"/>
          <w:szCs w:val="32"/>
        </w:rPr>
      </w:pPr>
      <w:bookmarkStart w:id="1" w:name="_GoBack"/>
      <w:bookmarkEnd w:id="1"/>
    </w:p>
    <w:sectPr>
      <w:headerReference r:id="rId3" w:type="default"/>
      <w:footerReference r:id="rId4" w:type="default"/>
      <w:pgSz w:w="11906" w:h="16838"/>
      <w:pgMar w:top="1440" w:right="1802" w:bottom="1440" w:left="1802"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50E3057-FFBD-46E4-9B26-88DF88D42A42}"/>
  </w:font>
  <w:font w:name="黑体">
    <w:panose1 w:val="02010609060101010101"/>
    <w:charset w:val="86"/>
    <w:family w:val="auto"/>
    <w:pitch w:val="default"/>
    <w:sig w:usb0="800002BF" w:usb1="38CF7CFA" w:usb2="00000016" w:usb3="00000000" w:csb0="00040001" w:csb1="00000000"/>
    <w:embedRegular r:id="rId2" w:fontKey="{7E481A29-1BEB-4946-8377-BB7FD3D6E1F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4BF8E90D-2B0B-4C1B-B408-CF925C988CF8}"/>
  </w:font>
  <w:font w:name="仿宋_GB2312">
    <w:panose1 w:val="02010609030101010101"/>
    <w:charset w:val="86"/>
    <w:family w:val="modern"/>
    <w:pitch w:val="default"/>
    <w:sig w:usb0="00000001" w:usb1="080E0000" w:usb2="00000000" w:usb3="00000000" w:csb0="00040000" w:csb1="00000000"/>
    <w:embedRegular r:id="rId4" w:fontKey="{2C15E2A6-4158-472B-A4ED-6DA99BC4AA27}"/>
  </w:font>
  <w:font w:name="方正小标宋简体">
    <w:panose1 w:val="03000509000000000000"/>
    <w:charset w:val="86"/>
    <w:family w:val="script"/>
    <w:pitch w:val="default"/>
    <w:sig w:usb0="00000001" w:usb1="080E0000" w:usb2="00000000" w:usb3="00000000" w:csb0="00040000" w:csb1="00000000"/>
    <w:embedRegular r:id="rId5" w:fontKey="{5332E047-632E-44A5-B128-699DBAC73681}"/>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embedRegular r:id="rId6" w:fontKey="{5791EF1F-5176-458E-9134-FA09DC246AC1}"/>
  </w:font>
  <w:font w:name="仿宋">
    <w:panose1 w:val="02010609060101010101"/>
    <w:charset w:val="86"/>
    <w:family w:val="modern"/>
    <w:pitch w:val="default"/>
    <w:sig w:usb0="800002BF" w:usb1="38CF7CFA" w:usb2="00000016" w:usb3="00000000" w:csb0="00040001" w:csb1="00000000"/>
  </w:font>
  <w:font w:name="WPSEMBED2">
    <w:panose1 w:val="03000509000000000000"/>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WPSEMBED3">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FE0A9">
    <w:pPr>
      <w:snapToGrid w:val="0"/>
      <w:jc w:val="left"/>
      <w:rPr>
        <w:rFonts w:ascii="Arial" w:hAnsi="Arial" w:cs="Arial"/>
        <w:sz w:val="18"/>
        <w:szCs w:val="21"/>
      </w:rPr>
    </w:pPr>
    <w:r>
      <w:rPr>
        <w:sz w:val="18"/>
      </w:rPr>
      <mc:AlternateContent>
        <mc:Choice Requires="wps">
          <w:drawing>
            <wp:anchor distT="0" distB="0" distL="114300" distR="114300" simplePos="0" relativeHeight="251659264" behindDoc="0" locked="0" layoutInCell="1" allowOverlap="1">
              <wp:simplePos x="0" y="0"/>
              <wp:positionH relativeFrom="margin">
                <wp:posOffset>2578100</wp:posOffset>
              </wp:positionH>
              <wp:positionV relativeFrom="paragraph">
                <wp:posOffset>2540</wp:posOffset>
              </wp:positionV>
              <wp:extent cx="190500" cy="3873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90500" cy="387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CFE18E">
                          <w:pPr>
                            <w:snapToGrid w:val="0"/>
                            <w:jc w:val="left"/>
                            <w:rPr>
                              <w:rFonts w:hint="eastAsia"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29</w:t>
                          </w:r>
                          <w:r>
                            <w:rPr>
                              <w:rFonts w:asciiTheme="minorEastAsia" w:hAnsiTheme="minorEastAsia" w:eastAsiaTheme="minorEastAsia"/>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3pt;margin-top:0.2pt;height:30.5pt;width:15pt;mso-position-horizontal-relative:margin;z-index:251659264;mso-width-relative:page;mso-height-relative:page;" filled="f" stroked="f" coordsize="21600,21600" o:gfxdata="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b7kqvtUAAAAHAQAADwAAAAAAAAABACAAAAAiAAAAZHJzL2Rvd25yZXYueG1s&#10;UEsBAhQAFAAAAAgAh07iQCMmAzY0AgAAYwQAAA4AAAAAAAAAAQAgAAAAJAEAAGRycy9lMm9Eb2Mu&#10;eG1sUEsFBgAAAAAGAAYAWQEAAMoFAAAAAA==&#10;">
              <v:fill on="f" focussize="0,0"/>
              <v:stroke on="f" weight="0.5pt"/>
              <v:imagedata o:title=""/>
              <o:lock v:ext="edit" aspectratio="f"/>
              <v:textbox inset="0mm,0mm,0mm,0mm">
                <w:txbxContent>
                  <w:p w14:paraId="01CFE18E">
                    <w:pPr>
                      <w:snapToGrid w:val="0"/>
                      <w:jc w:val="left"/>
                      <w:rPr>
                        <w:rFonts w:hint="eastAsia"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29</w:t>
                    </w:r>
                    <w:r>
                      <w:rPr>
                        <w:rFonts w:asciiTheme="minorEastAsia" w:hAnsiTheme="minorEastAsia" w:eastAsiaTheme="minorEastAsia"/>
                        <w:sz w:val="28"/>
                        <w:szCs w:val="28"/>
                      </w:rPr>
                      <w:fldChar w:fldCharType="end"/>
                    </w:r>
                  </w:p>
                </w:txbxContent>
              </v:textbox>
            </v:shape>
          </w:pict>
        </mc:Fallback>
      </mc:AlternateContent>
    </w:r>
  </w:p>
  <w:p w14:paraId="11EA6380">
    <w:pPr>
      <w:snapToGrid w:val="0"/>
      <w:jc w:val="left"/>
      <w:rPr>
        <w:sz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DC257">
    <w:pPr>
      <w:snapToGrid w:val="0"/>
      <w:jc w:val="left"/>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BFE5A6FE"/>
    <w:rsid w:val="00004F9E"/>
    <w:rsid w:val="00046160"/>
    <w:rsid w:val="000B338A"/>
    <w:rsid w:val="000C4844"/>
    <w:rsid w:val="000F0931"/>
    <w:rsid w:val="00134EC0"/>
    <w:rsid w:val="001B111C"/>
    <w:rsid w:val="001C6B38"/>
    <w:rsid w:val="00275F14"/>
    <w:rsid w:val="0028361F"/>
    <w:rsid w:val="00293A9E"/>
    <w:rsid w:val="002A0473"/>
    <w:rsid w:val="003330E7"/>
    <w:rsid w:val="00374AA3"/>
    <w:rsid w:val="00383794"/>
    <w:rsid w:val="003C48DF"/>
    <w:rsid w:val="003C4B06"/>
    <w:rsid w:val="003E05F1"/>
    <w:rsid w:val="00413054"/>
    <w:rsid w:val="00460AF1"/>
    <w:rsid w:val="00467256"/>
    <w:rsid w:val="0048329D"/>
    <w:rsid w:val="004A0A69"/>
    <w:rsid w:val="004E0A67"/>
    <w:rsid w:val="00541899"/>
    <w:rsid w:val="00563CC8"/>
    <w:rsid w:val="005B7261"/>
    <w:rsid w:val="0063329C"/>
    <w:rsid w:val="006A644E"/>
    <w:rsid w:val="006C3D57"/>
    <w:rsid w:val="006F2C3F"/>
    <w:rsid w:val="00721DEC"/>
    <w:rsid w:val="007279F9"/>
    <w:rsid w:val="007875E5"/>
    <w:rsid w:val="007D7355"/>
    <w:rsid w:val="007E16FD"/>
    <w:rsid w:val="00821B42"/>
    <w:rsid w:val="00850929"/>
    <w:rsid w:val="00877409"/>
    <w:rsid w:val="008F3410"/>
    <w:rsid w:val="00950571"/>
    <w:rsid w:val="00964D6D"/>
    <w:rsid w:val="009978C7"/>
    <w:rsid w:val="009E49E9"/>
    <w:rsid w:val="00A023B1"/>
    <w:rsid w:val="00A3100E"/>
    <w:rsid w:val="00A77317"/>
    <w:rsid w:val="00A942AF"/>
    <w:rsid w:val="00A951BC"/>
    <w:rsid w:val="00A95AB5"/>
    <w:rsid w:val="00B706F4"/>
    <w:rsid w:val="00B87D4B"/>
    <w:rsid w:val="00BC1CDB"/>
    <w:rsid w:val="00CE78AB"/>
    <w:rsid w:val="00D10BC8"/>
    <w:rsid w:val="00D30688"/>
    <w:rsid w:val="00D513D1"/>
    <w:rsid w:val="00D7299E"/>
    <w:rsid w:val="00D817BA"/>
    <w:rsid w:val="00D917E4"/>
    <w:rsid w:val="00DB1010"/>
    <w:rsid w:val="00DB54C7"/>
    <w:rsid w:val="00DD7B0D"/>
    <w:rsid w:val="00E50920"/>
    <w:rsid w:val="00F279DE"/>
    <w:rsid w:val="00FD2E11"/>
    <w:rsid w:val="060E39B9"/>
    <w:rsid w:val="071D689A"/>
    <w:rsid w:val="0EE646C2"/>
    <w:rsid w:val="15C717F2"/>
    <w:rsid w:val="15FFAADB"/>
    <w:rsid w:val="165D2B2F"/>
    <w:rsid w:val="19E21A2B"/>
    <w:rsid w:val="1DC2045C"/>
    <w:rsid w:val="1F404DD2"/>
    <w:rsid w:val="1FDD27A2"/>
    <w:rsid w:val="2F3F07A8"/>
    <w:rsid w:val="38EB62EF"/>
    <w:rsid w:val="3CA43C97"/>
    <w:rsid w:val="3FCD2043"/>
    <w:rsid w:val="3FFF1720"/>
    <w:rsid w:val="4BC2645A"/>
    <w:rsid w:val="4F246E0E"/>
    <w:rsid w:val="5320220C"/>
    <w:rsid w:val="54232B3C"/>
    <w:rsid w:val="5590609F"/>
    <w:rsid w:val="59116657"/>
    <w:rsid w:val="5AFF9076"/>
    <w:rsid w:val="5FDF6BDB"/>
    <w:rsid w:val="6FCD8619"/>
    <w:rsid w:val="709768F7"/>
    <w:rsid w:val="74FE76FA"/>
    <w:rsid w:val="7D8C1B8B"/>
    <w:rsid w:val="7EEF7283"/>
    <w:rsid w:val="7EFD3550"/>
    <w:rsid w:val="7F6B8EFF"/>
    <w:rsid w:val="7F8F6F96"/>
    <w:rsid w:val="97FD60D2"/>
    <w:rsid w:val="B9BFA290"/>
    <w:rsid w:val="BFE5A6FE"/>
    <w:rsid w:val="C2F72BE1"/>
    <w:rsid w:val="F7D9FEF5"/>
    <w:rsid w:val="F7FABBEC"/>
    <w:rsid w:val="FBE6D491"/>
    <w:rsid w:val="FCAFDE2D"/>
    <w:rsid w:val="FE7DF75B"/>
    <w:rsid w:val="FF7AB1FB"/>
    <w:rsid w:val="FFEA5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sz w:val="21"/>
      <w:szCs w:val="22"/>
      <w:lang w:val="en-US" w:eastAsia="zh-CN" w:bidi="ar-SA"/>
    </w:rPr>
  </w:style>
  <w:style w:type="character" w:default="1" w:styleId="14">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3">
    <w:name w:val="annotation text"/>
    <w:basedOn w:val="1"/>
    <w:qFormat/>
    <w:uiPriority w:val="0"/>
    <w:pPr>
      <w:jc w:val="left"/>
    </w:pPr>
  </w:style>
  <w:style w:type="paragraph" w:styleId="4">
    <w:name w:val="Body Text"/>
    <w:basedOn w:val="1"/>
    <w:next w:val="1"/>
    <w:unhideWhenUsed/>
    <w:qFormat/>
    <w:uiPriority w:val="99"/>
    <w:pPr>
      <w:spacing w:after="120"/>
    </w:pPr>
  </w:style>
  <w:style w:type="paragraph" w:styleId="5">
    <w:name w:val="Body Text Indent"/>
    <w:basedOn w:val="1"/>
    <w:qFormat/>
    <w:uiPriority w:val="0"/>
    <w:pPr>
      <w:spacing w:after="120"/>
      <w:ind w:left="420" w:leftChars="200"/>
    </w:pPr>
  </w:style>
  <w:style w:type="paragraph" w:styleId="6">
    <w:name w:val="footer"/>
    <w:basedOn w:val="1"/>
    <w:next w:val="2"/>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index heading"/>
    <w:next w:val="9"/>
    <w:qFormat/>
    <w:uiPriority w:val="99"/>
    <w:pPr>
      <w:widowControl w:val="0"/>
      <w:jc w:val="both"/>
    </w:pPr>
    <w:rPr>
      <w:rFonts w:ascii="Arial" w:hAnsi="Arial" w:eastAsia="仿宋_GB2312" w:cs="Times New Roman"/>
      <w:b/>
      <w:kern w:val="2"/>
      <w:sz w:val="32"/>
      <w:szCs w:val="22"/>
      <w:lang w:val="en-US" w:eastAsia="zh-CN" w:bidi="ar-SA"/>
    </w:rPr>
  </w:style>
  <w:style w:type="paragraph" w:styleId="9">
    <w:name w:val="index 1"/>
    <w:next w:val="1"/>
    <w:qFormat/>
    <w:uiPriority w:val="99"/>
    <w:pPr>
      <w:widowControl w:val="0"/>
      <w:jc w:val="both"/>
    </w:pPr>
    <w:rPr>
      <w:rFonts w:ascii="Times New Roman" w:hAnsi="Times New Roman" w:eastAsia="仿宋_GB2312" w:cs="Times New Roman"/>
      <w:kern w:val="2"/>
      <w:sz w:val="32"/>
      <w:szCs w:val="22"/>
      <w:lang w:val="en-US" w:eastAsia="zh-CN" w:bidi="ar-SA"/>
    </w:rPr>
  </w:style>
  <w:style w:type="paragraph" w:styleId="10">
    <w:name w:val="Normal (Web)"/>
    <w:basedOn w:val="1"/>
    <w:qFormat/>
    <w:uiPriority w:val="99"/>
    <w:pPr>
      <w:spacing w:beforeAutospacing="1" w:afterAutospacing="1"/>
      <w:jc w:val="left"/>
    </w:pPr>
    <w:rPr>
      <w:sz w:val="24"/>
    </w:rPr>
  </w:style>
  <w:style w:type="paragraph" w:styleId="11">
    <w:name w:val="Body Text First Indent 2"/>
    <w:basedOn w:val="5"/>
    <w:next w:val="1"/>
    <w:qFormat/>
    <w:uiPriority w:val="0"/>
    <w:pPr>
      <w:ind w:firstLine="420" w:firstLineChars="200"/>
    </w:pPr>
    <w:rPr>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15">
    <w:name w:val="Strong"/>
    <w:basedOn w:val="14"/>
    <w:qFormat/>
    <w:uiPriority w:val="0"/>
    <w:rPr>
      <w:b/>
    </w:rPr>
  </w:style>
  <w:style w:type="character" w:styleId="16">
    <w:name w:val="annotation reference"/>
    <w:basedOn w:val="14"/>
    <w:qFormat/>
    <w:uiPriority w:val="0"/>
    <w:rPr>
      <w:sz w:val="21"/>
      <w:szCs w:val="21"/>
    </w:rPr>
  </w:style>
  <w:style w:type="paragraph" w:customStyle="1" w:styleId="17">
    <w:name w:val="null3"/>
    <w:hidden/>
    <w:qFormat/>
    <w:uiPriority w:val="0"/>
    <w:rPr>
      <w:rFonts w:hint="eastAsia" w:ascii="仿宋_GB2312" w:hAnsi="仿宋_GB2312" w:eastAsia="仿宋_GB2312" w:cs="仿宋_GB2312"/>
      <w:sz w:val="28"/>
      <w:szCs w:val="28"/>
      <w:lang w:val="en-US" w:eastAsia="zh-Hans" w:bidi="ar-SA"/>
    </w:rPr>
  </w:style>
  <w:style w:type="paragraph" w:customStyle="1" w:styleId="18">
    <w:name w:val="修订1"/>
    <w:hidden/>
    <w:unhideWhenUsed/>
    <w:qFormat/>
    <w:uiPriority w:val="99"/>
    <w:rPr>
      <w:rFonts w:ascii="Calibri" w:hAnsi="Calibri" w:eastAsia="宋体" w:cs="Times New Roman"/>
      <w:sz w:val="21"/>
      <w:szCs w:val="22"/>
      <w:lang w:val="en-US" w:eastAsia="zh-CN" w:bidi="ar-SA"/>
    </w:rPr>
  </w:style>
  <w:style w:type="paragraph" w:customStyle="1" w:styleId="19">
    <w:name w:val="修订2"/>
    <w:hidden/>
    <w:unhideWhenUsed/>
    <w:qFormat/>
    <w:uiPriority w:val="99"/>
    <w:rPr>
      <w:rFonts w:ascii="Calibri" w:hAnsi="Calibri" w:eastAsia="宋体" w:cs="Times New Roman"/>
      <w:sz w:val="21"/>
      <w:szCs w:val="22"/>
      <w:lang w:val="en-US" w:eastAsia="zh-CN" w:bidi="ar-SA"/>
    </w:rPr>
  </w:style>
  <w:style w:type="paragraph" w:customStyle="1" w:styleId="20">
    <w:name w:val="修订3"/>
    <w:hidden/>
    <w:unhideWhenUsed/>
    <w:qFormat/>
    <w:uiPriority w:val="99"/>
    <w:rPr>
      <w:rFonts w:ascii="Calibri" w:hAnsi="Calibri" w:eastAsia="宋体" w:cs="Times New Roman"/>
      <w:sz w:val="21"/>
      <w:szCs w:val="22"/>
      <w:lang w:val="en-US" w:eastAsia="zh-CN" w:bidi="ar-SA"/>
    </w:rPr>
  </w:style>
  <w:style w:type="paragraph" w:customStyle="1" w:styleId="21">
    <w:name w:val="Revision"/>
    <w:hidden/>
    <w:unhideWhenUsed/>
    <w:qFormat/>
    <w:uiPriority w:val="99"/>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10296</Words>
  <Characters>10943</Characters>
  <Lines>484</Lines>
  <Paragraphs>340</Paragraphs>
  <TotalTime>26</TotalTime>
  <ScaleCrop>false</ScaleCrop>
  <LinksUpToDate>false</LinksUpToDate>
  <CharactersWithSpaces>10961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2025-09-30T03:39:00Z</dcterms:created>
  <dc:creator>icou</dc:creator>
  <cp:lastModifiedBy>吃饭高手</cp:lastModifiedBy>
  <dcterms:modified xsi:type="dcterms:W3CDTF">2026-06-15T04:11:17Z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A79C6F607C424871B5E282A224009A97_13</vt:lpwstr>
  </property>
  <property fmtid="{D5CDD505-2E9C-101B-9397-08002B2CF9AE}" pid="4" name="KSOTemplateDocerSaveRecord">
    <vt:lpwstr>eyJoZGlkIjoiMTJhN2Q1MjBhNDNjMGYyZWM2ZDhkNGQ3YmM4YTI4MGQiLCJ1c2VySWQiOiI3NTI0OTM5MTcifQ==</vt:lpwstr>
  </property>
</Properties>
</file>