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F4F6E">
      <w:pPr>
        <w:keepNext w:val="0"/>
        <w:keepLines w:val="0"/>
        <w:pageBreakBefore w:val="0"/>
        <w:widowControl w:val="0"/>
        <w:snapToGrid/>
        <w:spacing w:line="560" w:lineRule="exact"/>
        <w:jc w:val="both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  <w:t>附件</w:t>
      </w:r>
    </w:p>
    <w:p w14:paraId="4B915A68">
      <w:pPr>
        <w:keepNext w:val="0"/>
        <w:keepLines w:val="0"/>
        <w:pageBreakBefore w:val="0"/>
        <w:widowControl w:val="0"/>
        <w:snapToGrid/>
        <w:spacing w:after="0" w:line="560" w:lineRule="exact"/>
        <w:ind w:firstLine="880" w:firstLineChars="200"/>
        <w:jc w:val="both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 w14:paraId="3ACC92DE">
      <w:pPr>
        <w:keepNext w:val="0"/>
        <w:keepLines w:val="0"/>
        <w:pageBreakBefore w:val="0"/>
        <w:widowControl w:val="0"/>
        <w:snapToGrid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深圳市气象灾害风险预警工作指引</w:t>
      </w:r>
    </w:p>
    <w:p w14:paraId="7E424BC9">
      <w:pPr>
        <w:keepNext w:val="0"/>
        <w:keepLines w:val="0"/>
        <w:pageBreakBefore w:val="0"/>
        <w:widowControl w:val="0"/>
        <w:snapToGrid/>
        <w:spacing w:after="0"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年版）</w:t>
      </w:r>
    </w:p>
    <w:p w14:paraId="7A2AB013">
      <w:pPr>
        <w:keepNext w:val="0"/>
        <w:keepLines w:val="0"/>
        <w:pageBreakBefore w:val="0"/>
        <w:widowControl w:val="0"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6CB23101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/>
        <w:spacing w:after="0" w:afterAutospacing="0" w:line="560" w:lineRule="exact"/>
        <w:ind w:right="0"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为发挥气象防灾减灾第一道防线作用，保障人民群众生命财产安全，</w:t>
      </w:r>
      <w:r>
        <w:rPr>
          <w:rFonts w:hint="default" w:ascii="FangSong_GB2312" w:hAnsi="FangSong_GB2312" w:eastAsia="FangSong_GB2312" w:cs="FangSong_GB2312"/>
          <w:sz w:val="32"/>
          <w:szCs w:val="32"/>
          <w:lang w:val="en-US"/>
        </w:rPr>
        <w:t>市气象局、市水务局、市应急管理局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根据202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5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年灾害性天气影响情况，对《深圳市气象灾害风险预警工作指引（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2025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年版）》进行了修订补充。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主要修订内容如下：</w:t>
      </w:r>
    </w:p>
    <w:p w14:paraId="443A55BE">
      <w:pPr>
        <w:keepNext w:val="0"/>
        <w:keepLines w:val="0"/>
        <w:pageBreakBefore w:val="0"/>
        <w:widowControl w:val="0"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根据202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年灾害影响情况，检验、评估和修订街道积水降雨阈值，对部分街道积水降雨阈值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、积水风险点位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进行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调整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；</w:t>
      </w:r>
    </w:p>
    <w:p w14:paraId="032275E7">
      <w:pPr>
        <w:pStyle w:val="2"/>
        <w:keepNext w:val="0"/>
        <w:keepLines w:val="0"/>
        <w:pageBreakBefore w:val="0"/>
        <w:widowControl w:val="0"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修订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了暴雨风险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、大风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风险分级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阈值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表，根据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深圳市市政规划标准与准则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调整了积涝风险对应的积水深度；</w:t>
      </w:r>
    </w:p>
    <w:p w14:paraId="0339F022">
      <w:pPr>
        <w:pStyle w:val="2"/>
        <w:keepNext w:val="0"/>
        <w:keepLines w:val="0"/>
        <w:pageBreakBefore w:val="0"/>
        <w:widowControl w:val="0"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市气象局、市水务局、市应急管理局根据《深圳市各街道积水降雨阈值表（2026年版）》（附件1）和《深圳市暴雨风险阈值表》（附件2）制作了街道实时暴雨风险图，反映实况雨量与街道暴雨阈值、风险等级对应关系，于今年汛期向全市防灾责任人推广试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；</w:t>
      </w:r>
      <w:bookmarkStart w:id="1" w:name="_GoBack"/>
      <w:bookmarkEnd w:id="1"/>
    </w:p>
    <w:p w14:paraId="4FA5DED1">
      <w:pPr>
        <w:keepNext w:val="0"/>
        <w:keepLines w:val="0"/>
        <w:pageBreakBefore w:val="0"/>
        <w:widowControl w:val="0"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根据最新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《广东省气象灾害应急预案》，对重要基础设施台风、暴雨灾害风险提示进行修改完善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3A35C31C">
      <w:pPr>
        <w:keepNext w:val="0"/>
        <w:keepLines w:val="0"/>
        <w:pageBreakBefore w:val="0"/>
        <w:widowControl w:val="0"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mallCaps w:val="0"/>
          <w:strike w:val="0"/>
          <w:vanish w:val="0"/>
          <w:color w:val="000000"/>
          <w:spacing w:val="0"/>
          <w:kern w:val="2"/>
          <w:position w:val="0"/>
          <w:sz w:val="32"/>
          <w:szCs w:val="32"/>
          <w:u w:val="none"/>
          <w:vertAlign w:val="baseline"/>
          <w:rtl w:val="0"/>
          <w:cs w:val="0"/>
          <w:lang w:val="en-US" w:eastAsia="zh-CN" w:bidi="ar-SA"/>
        </w:rPr>
      </w:pPr>
    </w:p>
    <w:p w14:paraId="2D302B20">
      <w:pPr>
        <w:keepNext w:val="0"/>
        <w:keepLines w:val="0"/>
        <w:pageBreakBefore w:val="0"/>
        <w:widowControl w:val="0"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mallCaps w:val="0"/>
          <w:strike w:val="0"/>
          <w:vanish w:val="0"/>
          <w:color w:val="000000"/>
          <w:spacing w:val="0"/>
          <w:kern w:val="2"/>
          <w:position w:val="0"/>
          <w:sz w:val="32"/>
          <w:szCs w:val="32"/>
          <w:u w:val="none"/>
          <w:vertAlign w:val="baseline"/>
          <w:rtl w:val="0"/>
          <w:cs w:val="0"/>
          <w:lang w:val="en-US" w:eastAsia="zh-CN" w:bidi="ar-SA"/>
        </w:rPr>
        <w:t>附件：1.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深圳市各街道积水降雨阈值表（202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年版）</w:t>
      </w:r>
    </w:p>
    <w:p w14:paraId="1A747DD8">
      <w:pPr>
        <w:keepNext w:val="0"/>
        <w:keepLines w:val="0"/>
        <w:pageBreakBefore w:val="0"/>
        <w:widowControl w:val="0"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2.深圳市暴雨风险阈值表</w:t>
      </w:r>
    </w:p>
    <w:p w14:paraId="71CC2328">
      <w:pPr>
        <w:keepNext w:val="0"/>
        <w:keepLines w:val="0"/>
        <w:pageBreakBefore w:val="0"/>
        <w:widowControl w:val="0"/>
        <w:snapToGrid/>
        <w:spacing w:after="0" w:line="560" w:lineRule="exact"/>
        <w:ind w:firstLine="640" w:firstLineChars="200"/>
        <w:jc w:val="both"/>
        <w:rPr>
          <w:color w:val="00000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3.深圳市大风风险阈值表</w:t>
      </w:r>
    </w:p>
    <w:p w14:paraId="6D67967F">
      <w:pPr>
        <w:keepNext w:val="0"/>
        <w:keepLines w:val="0"/>
        <w:pageBreakBefore w:val="0"/>
        <w:widowControl w:val="0"/>
        <w:snapToGrid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.深圳市主要气象灾害影响提示</w:t>
      </w:r>
    </w:p>
    <w:p w14:paraId="7B879769">
      <w:pPr>
        <w:keepNext w:val="0"/>
        <w:keepLines w:val="0"/>
        <w:pageBreakBefore w:val="0"/>
        <w:widowControl w:val="0"/>
        <w:snapToGrid/>
        <w:spacing w:line="520" w:lineRule="exact"/>
        <w:ind w:firstLine="0" w:firstLineChars="0"/>
        <w:rPr>
          <w:rFonts w:hint="eastAsia" w:ascii="仿宋_GB2312" w:hAnsi="仿宋_GB2312" w:eastAsia="仿宋_GB2312" w:cs="仿宋_GB2312"/>
          <w:color w:val="000000"/>
          <w:sz w:val="32"/>
          <w:szCs w:val="32"/>
        </w:rPr>
        <w:sectPr>
          <w:headerReference r:id="rId5" w:type="default"/>
          <w:footerReference r:id="rId6" w:type="default"/>
          <w:pgSz w:w="11906" w:h="16838"/>
          <w:pgMar w:top="2098" w:right="1474" w:bottom="1984" w:left="1587" w:header="709" w:footer="709" w:gutter="0"/>
          <w:pgNumType w:fmt="decimal"/>
          <w:cols w:space="720" w:num="1"/>
          <w:docGrid w:linePitch="0" w:charSpace="0"/>
        </w:sect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mallCaps w:val="0"/>
          <w:strike w:val="0"/>
          <w:vanish w:val="0"/>
          <w:color w:val="000000"/>
          <w:spacing w:val="0"/>
          <w:kern w:val="2"/>
          <w:position w:val="0"/>
          <w:sz w:val="32"/>
          <w:szCs w:val="32"/>
          <w:u w:val="none"/>
          <w:vertAlign w:val="baseline"/>
          <w:rtl w:val="0"/>
          <w:cs w:val="0"/>
          <w:lang w:val="en-US" w:eastAsia="zh-CN" w:bidi="ar-SA"/>
        </w:rPr>
        <w:t xml:space="preserve">  </w:t>
      </w:r>
    </w:p>
    <w:p w14:paraId="425F13CA">
      <w:pPr>
        <w:spacing w:line="560" w:lineRule="exact"/>
        <w:rPr>
          <w:rFonts w:hint="eastAsia" w:ascii="黑体" w:hAnsi="宋体" w:eastAsia="黑体" w:cs="微软雅黑"/>
          <w:color w:val="000000"/>
          <w:sz w:val="32"/>
          <w:szCs w:val="32"/>
        </w:rPr>
      </w:pPr>
      <w:r>
        <w:rPr>
          <w:rFonts w:hint="eastAsia" w:ascii="黑体" w:hAnsi="宋体" w:eastAsia="黑体" w:cs="微软雅黑"/>
          <w:color w:val="000000"/>
          <w:sz w:val="32"/>
          <w:szCs w:val="32"/>
          <w:lang w:bidi="ar"/>
        </w:rPr>
        <w:t>附件</w:t>
      </w:r>
      <w:r>
        <w:rPr>
          <w:rFonts w:hint="eastAsia" w:ascii="黑体" w:hAnsi="宋体" w:eastAsia="黑体" w:cs="微软雅黑"/>
          <w:color w:val="000000"/>
          <w:sz w:val="32"/>
          <w:szCs w:val="32"/>
          <w:lang w:val="en-US" w:eastAsia="zh-CN" w:bidi="ar"/>
        </w:rPr>
        <w:t>1</w:t>
      </w:r>
    </w:p>
    <w:p w14:paraId="7652A83B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Hlk159936655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bidi="ar"/>
        </w:rPr>
        <w:t>深圳市各街道积水降雨阈值表（202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bidi="ar"/>
        </w:rPr>
        <w:t>年版）</w:t>
      </w:r>
      <w:bookmarkEnd w:id="0"/>
    </w:p>
    <w:p w14:paraId="5CCB3E98">
      <w:pPr>
        <w:jc w:val="center"/>
        <w:outlineLvl w:val="0"/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0</w:t>
      </w:r>
      <w:r>
        <w:rPr>
          <w:rFonts w:ascii="黑体" w:hAnsi="黑体" w:eastAsia="黑体"/>
          <w:color w:val="000000"/>
          <w:kern w:val="0"/>
          <w:sz w:val="32"/>
          <w:szCs w:val="32"/>
        </w:rPr>
        <w:t xml:space="preserve">1 </w:t>
      </w: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福田区</w:t>
      </w:r>
    </w:p>
    <w:tbl>
      <w:tblPr>
        <w:tblStyle w:val="3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5787"/>
        <w:gridCol w:w="6286"/>
      </w:tblGrid>
      <w:tr w14:paraId="7E2B0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D415A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kern w:val="0"/>
                <w:sz w:val="24"/>
                <w:lang w:bidi="ar"/>
              </w:rPr>
              <w:t>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6D11F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kern w:val="0"/>
                <w:sz w:val="24"/>
                <w:lang w:bidi="ar"/>
              </w:rPr>
              <w:t>降雨阈值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8E93B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kern w:val="0"/>
                <w:sz w:val="24"/>
                <w:lang w:bidi="ar"/>
              </w:rPr>
              <w:t>风险提示</w:t>
            </w:r>
          </w:p>
        </w:tc>
      </w:tr>
      <w:tr w14:paraId="24D39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ABB64">
            <w:pPr>
              <w:snapToGrid w:val="0"/>
              <w:jc w:val="center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福保街道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7A225">
            <w:pPr>
              <w:snapToGrid w:val="0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半小时雨量≥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eastAsia="zh-CN" w:bidi="ar"/>
              </w:rPr>
              <w:t>3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mm或1小时雨量≥45mm或3小时雨量≥80mm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9559D">
            <w:pPr>
              <w:snapToGrid w:val="0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滨河益田立交桥洞易积水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福保</w:t>
            </w:r>
            <w:r>
              <w:rPr>
                <w:rFonts w:ascii="仿宋_GB2312" w:hAnsi="Times New Roman" w:eastAsia="仿宋_GB2312"/>
                <w:color w:val="000000"/>
                <w:szCs w:val="21"/>
              </w:rPr>
              <w:t>1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、</w:t>
            </w:r>
            <w:r>
              <w:rPr>
                <w:rFonts w:ascii="仿宋_GB2312" w:hAnsi="Times New Roman" w:eastAsia="仿宋_GB2312"/>
                <w:color w:val="000000"/>
                <w:szCs w:val="21"/>
              </w:rPr>
              <w:t>3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、</w:t>
            </w:r>
            <w:r>
              <w:rPr>
                <w:rFonts w:ascii="仿宋_GB2312" w:hAnsi="Times New Roman" w:eastAsia="仿宋_GB2312"/>
                <w:color w:val="000000"/>
                <w:szCs w:val="21"/>
              </w:rPr>
              <w:t>4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号通道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eastAsia="zh-CN"/>
              </w:rPr>
              <w:t>有积水风险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。</w:t>
            </w:r>
          </w:p>
        </w:tc>
      </w:tr>
      <w:tr w14:paraId="23E9E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CB6CC">
            <w:pPr>
              <w:snapToGrid w:val="0"/>
              <w:jc w:val="center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福田街道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142D5">
            <w:pPr>
              <w:snapToGrid w:val="0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半小时雨量≥30mm或1小时雨量≥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val="en-US" w:eastAsia="zh-CN" w:bidi="ar"/>
              </w:rPr>
              <w:t>45</w:t>
            </w:r>
            <w:r>
              <w:rPr>
                <w:rFonts w:ascii="仿宋_GB2312" w:hAnsi="Times New Roman" w:eastAsia="仿宋_GB2312"/>
                <w:color w:val="000000"/>
                <w:szCs w:val="21"/>
                <w:lang w:bidi="ar"/>
              </w:rPr>
              <w:t>mm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或3小时雨量≥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val="en-US" w:eastAsia="zh-CN" w:bidi="ar"/>
              </w:rPr>
              <w:t>70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35156">
            <w:pPr>
              <w:snapToGrid w:val="0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滨河皇岗立交桥洞易积水；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val="en"/>
              </w:rPr>
              <w:t>岗厦北</w:t>
            </w:r>
            <w:r>
              <w:rPr>
                <w:rFonts w:hint="default" w:ascii="仿宋_GB2312" w:hAnsi="Times New Roman" w:eastAsia="仿宋_GB2312"/>
                <w:color w:val="000000"/>
                <w:szCs w:val="21"/>
                <w:lang w:val="en"/>
              </w:rPr>
              <w:t>地铁站周边（低洼区域）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有积水（内涝）风险。</w:t>
            </w:r>
          </w:p>
        </w:tc>
      </w:tr>
      <w:tr w14:paraId="2F35F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5B51D">
            <w:pPr>
              <w:snapToGrid w:val="0"/>
              <w:jc w:val="center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华强北街道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E2F34">
            <w:pPr>
              <w:snapToGrid w:val="0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半小时雨量≥40mm或1小时雨量≥65mm或3小时雨量≥100mm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1D201">
            <w:pPr>
              <w:snapToGrid w:val="0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地势低洼区域易积水。</w:t>
            </w:r>
          </w:p>
        </w:tc>
      </w:tr>
      <w:tr w14:paraId="703A2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29788">
            <w:pPr>
              <w:snapToGrid w:val="0"/>
              <w:jc w:val="center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南园街道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53CFD">
            <w:pPr>
              <w:snapToGrid w:val="0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半小时雨量≥35mm或1小时雨量≥45mm或3小时雨量≥80mm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27CF5">
            <w:pPr>
              <w:snapToGrid w:val="0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地势低洼区域、同心南路巴登西村路口段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eastAsia="zh-CN" w:bidi="ar"/>
              </w:rPr>
              <w:t>有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积水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eastAsia="zh-CN" w:bidi="ar"/>
              </w:rPr>
              <w:t>风险，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滨河水质净化厂有河水倒灌、积水（内涝）风险。</w:t>
            </w:r>
          </w:p>
        </w:tc>
      </w:tr>
      <w:tr w14:paraId="0ECA8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C29A6">
            <w:pPr>
              <w:snapToGrid w:val="0"/>
              <w:jc w:val="center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园岭街道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BE201">
            <w:pPr>
              <w:snapToGrid w:val="0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半小时雨量≥35mm或1小时雨量≥45mm或3小时雨量≥80mm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BA0C1">
            <w:pPr>
              <w:snapToGrid w:val="0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eastAsia="zh-CN" w:bidi="ar"/>
              </w:rPr>
              <w:t>上步红荔路口易积水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。</w:t>
            </w:r>
          </w:p>
        </w:tc>
      </w:tr>
      <w:tr w14:paraId="05140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E653F">
            <w:pPr>
              <w:snapToGrid w:val="0"/>
              <w:jc w:val="center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华富街道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1F59F">
            <w:pPr>
              <w:snapToGrid w:val="0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半小时雨量≥35mm或1小时雨量≥45mm或3小时雨量≥80mm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B8348">
            <w:pPr>
              <w:snapToGrid w:val="0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eastAsia="zh-CN" w:bidi="ar"/>
              </w:rPr>
              <w:t>红荔路与皇岗路交汇东北角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易积水。</w:t>
            </w:r>
          </w:p>
        </w:tc>
      </w:tr>
      <w:tr w14:paraId="43A32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8B4E0">
            <w:pPr>
              <w:snapToGrid w:val="0"/>
              <w:jc w:val="center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莲花街道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3A4A0">
            <w:pPr>
              <w:snapToGrid w:val="0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半小时雨量≥40mm或1小时雨量≥45mm或3小时雨量≥</w:t>
            </w:r>
            <w:r>
              <w:rPr>
                <w:rFonts w:ascii="仿宋_GB2312" w:hAnsi="Times New Roman" w:eastAsia="仿宋_GB2312"/>
                <w:color w:val="000000"/>
                <w:szCs w:val="21"/>
                <w:lang w:bidi="ar"/>
              </w:rPr>
              <w:t>65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F6972">
            <w:pPr>
              <w:snapToGrid w:val="0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深南新洲一号立交桥洞、北环新洲立交东南角辅道易积水。</w:t>
            </w:r>
          </w:p>
        </w:tc>
      </w:tr>
      <w:tr w14:paraId="371E3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9D1CA">
            <w:pPr>
              <w:snapToGrid w:val="0"/>
              <w:jc w:val="center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梅林街道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C351C">
            <w:pPr>
              <w:snapToGrid w:val="0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半小时雨量≥30mm或1小时雨量≥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val="en-US" w:eastAsia="zh-CN" w:bidi="ar"/>
              </w:rPr>
              <w:t>45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mm或3小时雨量≥70mm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669B8">
            <w:pPr>
              <w:widowControl/>
              <w:snapToGrid w:val="0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eastAsia="zh-CN" w:bidi="ar"/>
              </w:rPr>
              <w:t>北环新洲立交桥洞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有积水（内涝）风险。</w:t>
            </w:r>
          </w:p>
        </w:tc>
      </w:tr>
      <w:tr w14:paraId="7A231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43748">
            <w:pPr>
              <w:snapToGrid w:val="0"/>
              <w:jc w:val="center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沙头街道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7511A">
            <w:pPr>
              <w:snapToGrid w:val="0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半小时雨量≥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val="en-US" w:eastAsia="zh-CN" w:bidi="ar"/>
              </w:rPr>
              <w:t>25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mm或1小时雨量≥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val="en-US" w:eastAsia="zh-CN" w:bidi="ar"/>
              </w:rPr>
              <w:t>40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mm或3小时雨量≥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val="en-US" w:eastAsia="zh-CN" w:bidi="ar"/>
              </w:rPr>
              <w:t>65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A046A">
            <w:pPr>
              <w:widowControl/>
              <w:snapToGrid w:val="0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广深高速桥下滨海大道北侧辅道、白石路转滨河大道三岔路易积水；海园一路隧道、福强路沙尾村路段有积水（内涝）风险。</w:t>
            </w:r>
          </w:p>
        </w:tc>
      </w:tr>
      <w:tr w14:paraId="27747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162E5">
            <w:pPr>
              <w:snapToGrid w:val="0"/>
              <w:jc w:val="center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香蜜湖街道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B2583">
            <w:pPr>
              <w:snapToGrid w:val="0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半小时雨量≥30mm或1小时雨量≥40mm或3小时雨量≥70mm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4F4DA">
            <w:pPr>
              <w:widowControl/>
              <w:snapToGrid w:val="0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  <w:lang w:bidi="ar"/>
              </w:rPr>
              <w:t>深南大道车公庙交通枢纽段、香蜜湖下穿通道有积水（内涝）风险。</w:t>
            </w:r>
          </w:p>
        </w:tc>
      </w:tr>
    </w:tbl>
    <w:p w14:paraId="1C17D5A4">
      <w:pPr>
        <w:jc w:val="center"/>
        <w:outlineLvl w:val="0"/>
        <w:rPr>
          <w:rFonts w:hint="eastAsia" w:ascii="黑体" w:hAnsi="黑体" w:eastAsia="黑体"/>
          <w:color w:val="000000"/>
          <w:kern w:val="0"/>
          <w:sz w:val="32"/>
          <w:szCs w:val="32"/>
        </w:rPr>
        <w:sectPr>
          <w:headerReference r:id="rId7" w:type="default"/>
          <w:footerReference r:id="rId8" w:type="default"/>
          <w:pgSz w:w="16838" w:h="11906" w:orient="landscape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4C4C5FF7">
      <w:pPr>
        <w:jc w:val="center"/>
        <w:outlineLvl w:val="0"/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0</w:t>
      </w:r>
      <w:r>
        <w:rPr>
          <w:rFonts w:ascii="黑体" w:hAnsi="黑体" w:eastAsia="黑体"/>
          <w:color w:val="000000"/>
          <w:kern w:val="0"/>
          <w:sz w:val="32"/>
          <w:szCs w:val="32"/>
        </w:rPr>
        <w:t xml:space="preserve">2 </w:t>
      </w: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罗湖区</w:t>
      </w:r>
    </w:p>
    <w:tbl>
      <w:tblPr>
        <w:tblStyle w:val="3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5774"/>
        <w:gridCol w:w="6299"/>
      </w:tblGrid>
      <w:tr w14:paraId="7B023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08CAF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2ADC9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降雨阈值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B96FC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风险提示</w:t>
            </w:r>
          </w:p>
        </w:tc>
      </w:tr>
      <w:tr w14:paraId="1BD46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5719F">
            <w:pPr>
              <w:snapToGrid w:val="0"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桂园街道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527F6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半小时雨量≥30mm或1小时雨量≥40mm或3小时雨量≥70mm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C00CA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深圳市口腔医院有积水（内涝）风险。</w:t>
            </w:r>
          </w:p>
        </w:tc>
      </w:tr>
      <w:tr w14:paraId="315BA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EDE4F">
            <w:pPr>
              <w:snapToGrid w:val="0"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东门街道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6A368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半小时雨量≥</w:t>
            </w: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bidi="ar"/>
              </w:rPr>
              <w:t>30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mm或1小时雨量≥</w:t>
            </w: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bidi="ar"/>
              </w:rPr>
              <w:t>40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mm或3小时雨量≥</w:t>
            </w: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bidi="ar"/>
              </w:rPr>
              <w:t>65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CD336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老街</w:t>
            </w:r>
            <w:r>
              <w:rPr>
                <w:rFonts w:hint="default" w:ascii="仿宋_GB2312" w:hAnsi="Times New Roman" w:eastAsia="仿宋_GB2312"/>
                <w:color w:val="auto"/>
                <w:szCs w:val="21"/>
                <w:lang w:val="en"/>
              </w:rPr>
              <w:t>地铁站周边（低洼区域）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有积水（内涝）风险。</w:t>
            </w:r>
          </w:p>
        </w:tc>
      </w:tr>
      <w:tr w14:paraId="2BA44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351AD">
            <w:pPr>
              <w:snapToGrid w:val="0"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黄贝街道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4B544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半小时雨量≥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 w:bidi="ar"/>
              </w:rPr>
              <w:t>25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mm或1小时雨量≥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 w:bidi="ar"/>
              </w:rPr>
              <w:t>35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mm或3小时雨量≥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 w:bidi="ar"/>
              </w:rPr>
              <w:t>65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10738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文锦中路罗湖区委至爱国路口、爱国路东湖公园门口段、罗芳立交易积水。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沿河南路文锦渡口岸段有积水（内涝）风险。</w:t>
            </w:r>
          </w:p>
        </w:tc>
      </w:tr>
      <w:tr w14:paraId="71814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F6A32">
            <w:pPr>
              <w:snapToGrid w:val="0"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莲塘街道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BBA88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半小时雨量≥30mm或1小时雨量≥40mm或3小时雨量≥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 w:bidi="ar"/>
              </w:rPr>
              <w:t>65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49EF9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罗沙路莲塘口岸段有积水（内涝）风险</w:t>
            </w:r>
            <w:r>
              <w:rPr>
                <w:rFonts w:ascii="仿宋_GB2312" w:hAnsi="Times New Roman" w:eastAsia="仿宋_GB2312"/>
                <w:color w:val="auto"/>
                <w:szCs w:val="21"/>
                <w:lang w:val="en"/>
              </w:rPr>
              <w:t>。</w:t>
            </w:r>
          </w:p>
        </w:tc>
      </w:tr>
      <w:tr w14:paraId="0685D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BFFC0">
            <w:pPr>
              <w:snapToGrid w:val="0"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清水河街道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46B82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半小时雨量≥25mm或1小时雨量≥45mm或3小时雨量≥85mm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63927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下坪垃圾焚烧发电厂周边地势低洼区域有积水（内涝）风险</w:t>
            </w:r>
          </w:p>
        </w:tc>
      </w:tr>
      <w:tr w14:paraId="39AFC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A3A47">
            <w:pPr>
              <w:snapToGrid w:val="0"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笋岗街道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04D1E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半小时雨量≥</w:t>
            </w: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bidi="ar"/>
              </w:rPr>
              <w:t>30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mm或1小时雨量≥</w:t>
            </w: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bidi="ar"/>
              </w:rPr>
              <w:t>40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mm或3小时雨量≥</w:t>
            </w: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bidi="ar"/>
              </w:rPr>
              <w:t>70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D8FB0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地势低洼区域、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洪湖二街44号大院路段、宝岗路转笋岗东路路段易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积水</w:t>
            </w:r>
            <w:r>
              <w:rPr>
                <w:rFonts w:ascii="仿宋_GB2312" w:hAnsi="Times New Roman" w:eastAsia="仿宋_GB2312"/>
                <w:color w:val="auto"/>
                <w:szCs w:val="21"/>
                <w:lang w:val="en"/>
              </w:rPr>
              <w:t>。</w:t>
            </w:r>
          </w:p>
        </w:tc>
      </w:tr>
      <w:tr w14:paraId="13922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51106">
            <w:pPr>
              <w:snapToGrid w:val="0"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翠竹街道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91093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半小时雨量≥</w:t>
            </w:r>
            <w:r>
              <w:rPr>
                <w:rFonts w:ascii="仿宋_GB2312" w:hAnsi="Times New Roman" w:eastAsia="仿宋_GB2312"/>
                <w:color w:val="auto"/>
                <w:szCs w:val="21"/>
                <w:lang w:bidi="ar"/>
              </w:rPr>
              <w:t>3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5mm或1小时雨量≥</w:t>
            </w:r>
            <w:r>
              <w:rPr>
                <w:rFonts w:ascii="仿宋_GB2312" w:hAnsi="Times New Roman" w:eastAsia="仿宋_GB2312"/>
                <w:color w:val="auto"/>
                <w:szCs w:val="21"/>
                <w:lang w:bidi="ar"/>
              </w:rPr>
              <w:t>40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mm或3小时雨量≥</w:t>
            </w:r>
            <w:r>
              <w:rPr>
                <w:rFonts w:ascii="仿宋_GB2312" w:hAnsi="Times New Roman" w:eastAsia="仿宋_GB2312"/>
                <w:color w:val="auto"/>
                <w:szCs w:val="21"/>
                <w:lang w:bidi="ar"/>
              </w:rPr>
              <w:t>7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0mm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355E7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爱国路东湖公园门口段易积水。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深圳人民医院内部局部地势低洼路段有积水（内涝）风险。</w:t>
            </w:r>
          </w:p>
        </w:tc>
      </w:tr>
      <w:tr w14:paraId="6D2FA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FAC22">
            <w:pPr>
              <w:snapToGrid w:val="0"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东晓街道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EEFCF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半小时雨量≥3</w:t>
            </w: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bidi="ar"/>
              </w:rPr>
              <w:t>5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mm或1小时雨量≥</w:t>
            </w: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bidi="ar"/>
              </w:rPr>
              <w:t>40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mm或3小时雨量≥</w:t>
            </w: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bidi="ar"/>
              </w:rPr>
              <w:t>70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25C3F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地势低洼区域易积水。</w:t>
            </w:r>
          </w:p>
        </w:tc>
      </w:tr>
      <w:tr w14:paraId="27D4C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F17D6">
            <w:pPr>
              <w:snapToGrid w:val="0"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南湖街道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A09EB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25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mm或1小时雨量≥40mm或3小时雨量≥70mm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42628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罗湖火车站、罗湖汽车客运站和平路地势低洼区域有积水（内涝）风险。</w:t>
            </w:r>
          </w:p>
        </w:tc>
      </w:tr>
      <w:tr w14:paraId="08C06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89B5D">
            <w:pPr>
              <w:snapToGrid w:val="0"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东湖街道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932D0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半小时雨量≥30mm或1小时雨量≥35mm或3小时雨量≥</w:t>
            </w:r>
            <w:r>
              <w:rPr>
                <w:rFonts w:hint="default" w:ascii="仿宋_GB2312" w:hAnsi="Times New Roman" w:eastAsia="仿宋_GB2312"/>
                <w:color w:val="auto"/>
                <w:kern w:val="0"/>
                <w:szCs w:val="21"/>
                <w:lang w:val="en-US" w:bidi="ar"/>
              </w:rPr>
              <w:t>60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7C17F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爱国路东湖公园门口段易积水。</w:t>
            </w:r>
          </w:p>
        </w:tc>
      </w:tr>
    </w:tbl>
    <w:p w14:paraId="76B19EE9">
      <w:pPr>
        <w:spacing w:after="120"/>
        <w:rPr>
          <w:color w:val="auto"/>
          <w:kern w:val="0"/>
          <w:szCs w:val="20"/>
        </w:rPr>
      </w:pPr>
    </w:p>
    <w:p w14:paraId="6E609F38">
      <w:pPr>
        <w:spacing w:after="120"/>
        <w:rPr>
          <w:color w:val="auto"/>
          <w:kern w:val="0"/>
          <w:szCs w:val="20"/>
        </w:rPr>
      </w:pPr>
    </w:p>
    <w:p w14:paraId="21F0718E">
      <w:pPr>
        <w:spacing w:after="120"/>
        <w:rPr>
          <w:color w:val="auto"/>
          <w:kern w:val="0"/>
          <w:szCs w:val="20"/>
        </w:rPr>
      </w:pPr>
    </w:p>
    <w:p w14:paraId="7E4DB04A">
      <w:pPr>
        <w:pStyle w:val="2"/>
        <w:rPr>
          <w:color w:val="auto"/>
        </w:rPr>
      </w:pPr>
    </w:p>
    <w:p w14:paraId="05ADB9CC">
      <w:pPr>
        <w:pStyle w:val="2"/>
        <w:rPr>
          <w:color w:val="auto"/>
        </w:rPr>
      </w:pPr>
    </w:p>
    <w:p w14:paraId="60048DD5">
      <w:pPr>
        <w:spacing w:after="120"/>
        <w:rPr>
          <w:color w:val="auto"/>
          <w:kern w:val="0"/>
          <w:szCs w:val="20"/>
        </w:rPr>
      </w:pPr>
    </w:p>
    <w:p w14:paraId="3AACA959">
      <w:pPr>
        <w:jc w:val="center"/>
        <w:outlineLvl w:val="0"/>
        <w:rPr>
          <w:rFonts w:ascii="黑体" w:hAnsi="黑体" w:eastAsia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</w:rPr>
        <w:t>0</w:t>
      </w:r>
      <w:r>
        <w:rPr>
          <w:rFonts w:ascii="黑体" w:hAnsi="黑体" w:eastAsia="黑体"/>
          <w:color w:val="auto"/>
          <w:kern w:val="0"/>
          <w:sz w:val="32"/>
          <w:szCs w:val="32"/>
        </w:rPr>
        <w:t xml:space="preserve">3 </w:t>
      </w:r>
      <w:r>
        <w:rPr>
          <w:rFonts w:hint="eastAsia" w:ascii="黑体" w:hAnsi="黑体" w:eastAsia="黑体"/>
          <w:color w:val="auto"/>
          <w:kern w:val="0"/>
          <w:sz w:val="32"/>
          <w:szCs w:val="32"/>
        </w:rPr>
        <w:t>盐田区</w:t>
      </w:r>
    </w:p>
    <w:tbl>
      <w:tblPr>
        <w:tblStyle w:val="3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5774"/>
        <w:gridCol w:w="6299"/>
      </w:tblGrid>
      <w:tr w14:paraId="58DA0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D8636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7FE03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降雨阈值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DB843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风险提示</w:t>
            </w:r>
          </w:p>
        </w:tc>
      </w:tr>
      <w:tr w14:paraId="05377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6AEC4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沙头角街道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71E0E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半小时雨量≥35mm或1小时雨量≥45mm或3小时雨量≥70mm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79DB5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地势低洼区域易积水。</w:t>
            </w:r>
          </w:p>
        </w:tc>
      </w:tr>
      <w:tr w14:paraId="6F44B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F30A7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海山街道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A02FB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半小时雨量≥30mm或1小时雨量≥40mm或3小时雨量≥70mm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26BF2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地势低洼区域易积水。</w:t>
            </w:r>
          </w:p>
        </w:tc>
      </w:tr>
      <w:tr w14:paraId="34627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01D62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盐田街道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A4279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半小时雨量≥35mm或1小时雨量≥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45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70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EA0A9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地势低洼区域易积水。</w:t>
            </w:r>
          </w:p>
        </w:tc>
      </w:tr>
      <w:tr w14:paraId="26BA4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29A53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梅沙街道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FFC74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半小时雨量≥4</w:t>
            </w:r>
            <w:r>
              <w:rPr>
                <w:rFonts w:hint="default" w:ascii="仿宋_GB2312" w:hAnsi="Times New Roman" w:eastAsia="仿宋_GB2312"/>
                <w:color w:val="auto"/>
                <w:kern w:val="0"/>
                <w:szCs w:val="21"/>
                <w:lang w:val="en-US" w:bidi="ar"/>
              </w:rPr>
              <w:t>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mm或1小时雨量≥</w:t>
            </w:r>
            <w:r>
              <w:rPr>
                <w:rFonts w:hint="default" w:ascii="仿宋_GB2312" w:hAnsi="Times New Roman" w:eastAsia="仿宋_GB2312"/>
                <w:color w:val="auto"/>
                <w:kern w:val="0"/>
                <w:szCs w:val="21"/>
                <w:lang w:val="en-US" w:bidi="ar"/>
              </w:rPr>
              <w:t>55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mm或3小时雨量≥9</w:t>
            </w:r>
            <w:r>
              <w:rPr>
                <w:rFonts w:hint="default" w:ascii="仿宋_GB2312" w:hAnsi="Times New Roman" w:eastAsia="仿宋_GB2312"/>
                <w:color w:val="auto"/>
                <w:kern w:val="0"/>
                <w:szCs w:val="21"/>
                <w:lang w:val="en-US" w:bidi="ar"/>
              </w:rPr>
              <w:t>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1D6A6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地势低洼区域易积水。</w:t>
            </w:r>
          </w:p>
        </w:tc>
      </w:tr>
    </w:tbl>
    <w:p w14:paraId="2A775281">
      <w:pPr>
        <w:rPr>
          <w:color w:val="auto"/>
        </w:rPr>
      </w:pPr>
    </w:p>
    <w:p w14:paraId="6778E380">
      <w:pPr>
        <w:spacing w:after="120"/>
        <w:rPr>
          <w:color w:val="auto"/>
          <w:kern w:val="0"/>
          <w:szCs w:val="20"/>
        </w:rPr>
      </w:pPr>
      <w:r>
        <w:rPr>
          <w:color w:val="auto"/>
          <w:kern w:val="0"/>
          <w:szCs w:val="20"/>
          <w:lang w:val="en"/>
        </w:rPr>
        <w:t xml:space="preserve"> </w:t>
      </w:r>
    </w:p>
    <w:p w14:paraId="227D7948">
      <w:pPr>
        <w:spacing w:after="120"/>
        <w:rPr>
          <w:color w:val="auto"/>
          <w:kern w:val="0"/>
          <w:szCs w:val="20"/>
        </w:rPr>
      </w:pPr>
    </w:p>
    <w:p w14:paraId="2638CB3C">
      <w:pPr>
        <w:spacing w:after="120"/>
        <w:rPr>
          <w:color w:val="auto"/>
          <w:kern w:val="0"/>
          <w:szCs w:val="20"/>
        </w:rPr>
      </w:pPr>
    </w:p>
    <w:p w14:paraId="2465AA43">
      <w:pPr>
        <w:spacing w:after="120"/>
        <w:rPr>
          <w:color w:val="auto"/>
          <w:kern w:val="0"/>
          <w:szCs w:val="20"/>
        </w:rPr>
      </w:pPr>
    </w:p>
    <w:p w14:paraId="0E778043">
      <w:pPr>
        <w:spacing w:after="120"/>
        <w:rPr>
          <w:color w:val="auto"/>
          <w:kern w:val="0"/>
          <w:szCs w:val="20"/>
        </w:rPr>
      </w:pPr>
    </w:p>
    <w:p w14:paraId="7C3B8E1E">
      <w:pPr>
        <w:spacing w:after="120"/>
        <w:rPr>
          <w:color w:val="auto"/>
          <w:kern w:val="0"/>
          <w:szCs w:val="20"/>
        </w:rPr>
      </w:pPr>
    </w:p>
    <w:p w14:paraId="2EFB538F">
      <w:pPr>
        <w:spacing w:after="120"/>
        <w:rPr>
          <w:color w:val="auto"/>
          <w:kern w:val="0"/>
          <w:szCs w:val="20"/>
        </w:rPr>
      </w:pPr>
    </w:p>
    <w:p w14:paraId="66272799">
      <w:pPr>
        <w:spacing w:after="120"/>
        <w:rPr>
          <w:color w:val="auto"/>
          <w:kern w:val="0"/>
          <w:szCs w:val="20"/>
        </w:rPr>
      </w:pPr>
    </w:p>
    <w:p w14:paraId="16E07DA1">
      <w:pPr>
        <w:spacing w:after="120"/>
        <w:rPr>
          <w:color w:val="auto"/>
          <w:kern w:val="0"/>
          <w:szCs w:val="20"/>
        </w:rPr>
      </w:pPr>
    </w:p>
    <w:p w14:paraId="5A40AD70">
      <w:pPr>
        <w:spacing w:after="120"/>
        <w:rPr>
          <w:color w:val="auto"/>
          <w:kern w:val="0"/>
          <w:szCs w:val="20"/>
        </w:rPr>
      </w:pPr>
    </w:p>
    <w:p w14:paraId="107482A6">
      <w:pPr>
        <w:spacing w:after="120"/>
        <w:rPr>
          <w:rFonts w:hint="eastAsia"/>
          <w:color w:val="auto"/>
          <w:szCs w:val="20"/>
        </w:rPr>
      </w:pPr>
    </w:p>
    <w:p w14:paraId="30DDB8AA">
      <w:pPr>
        <w:spacing w:after="120"/>
        <w:rPr>
          <w:rFonts w:hint="eastAsia"/>
          <w:color w:val="auto"/>
          <w:szCs w:val="20"/>
        </w:rPr>
      </w:pPr>
    </w:p>
    <w:p w14:paraId="46627287">
      <w:pPr>
        <w:jc w:val="center"/>
        <w:outlineLvl w:val="0"/>
        <w:rPr>
          <w:rFonts w:ascii="黑体" w:hAnsi="黑体" w:eastAsia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</w:rPr>
        <w:t>0</w:t>
      </w:r>
      <w:r>
        <w:rPr>
          <w:rFonts w:ascii="黑体" w:hAnsi="黑体" w:eastAsia="黑体"/>
          <w:color w:val="auto"/>
          <w:kern w:val="0"/>
          <w:sz w:val="32"/>
          <w:szCs w:val="32"/>
        </w:rPr>
        <w:t xml:space="preserve">4 </w:t>
      </w:r>
      <w:r>
        <w:rPr>
          <w:rFonts w:hint="eastAsia" w:ascii="黑体" w:hAnsi="黑体" w:eastAsia="黑体"/>
          <w:color w:val="auto"/>
          <w:kern w:val="0"/>
          <w:sz w:val="32"/>
          <w:szCs w:val="32"/>
        </w:rPr>
        <w:t>南山区</w:t>
      </w:r>
    </w:p>
    <w:tbl>
      <w:tblPr>
        <w:tblStyle w:val="3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5774"/>
        <w:gridCol w:w="6299"/>
      </w:tblGrid>
      <w:tr w14:paraId="776B9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E52C4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D7C74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降雨阈值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3094E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风险提示</w:t>
            </w:r>
          </w:p>
        </w:tc>
      </w:tr>
      <w:tr w14:paraId="73F1D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77EB7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沙河街道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6D1C8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半小时雨量≥3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mm或1小时雨量≥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50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mm或3小时雨量≥70mm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8F38F">
            <w:pPr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白石洲村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"/>
              </w:rPr>
              <w:t>地势低洼处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" w:eastAsia="zh-CN"/>
              </w:rPr>
              <w:t>、深南大道石洲中路交汇处、北环大道沙河东立交桥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/>
              </w:rPr>
              <w:t>易积水；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滨海大道路面下沉工程周边深湾四路、白石路与沙河东路交汇处有积水（内涝）风险。</w:t>
            </w:r>
          </w:p>
        </w:tc>
      </w:tr>
      <w:tr w14:paraId="7E4C3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A25B4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西丽街道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00CBF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半小时雨量≥35mm或1小时雨量≥45mm或3小时雨量≥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75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E57A9">
            <w:pPr>
              <w:widowControl/>
              <w:snapToGrid w:val="0"/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eastAsia="zh-CN" w:bidi="ar"/>
              </w:rPr>
              <w:t>沁园路与沁园二路路口处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 w:bidi="ar"/>
              </w:rPr>
              <w:t>周边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"/>
              </w:rPr>
              <w:t>地势低洼处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易积水；</w:t>
            </w:r>
            <w:r>
              <w:rPr>
                <w:rFonts w:hint="eastAsia" w:ascii="仿宋_GB2312" w:hAnsi="Times New Roman" w:eastAsia="仿宋_GB2312"/>
                <w:kern w:val="0"/>
                <w:szCs w:val="21"/>
              </w:rPr>
              <w:t>石鼓路和留仙大道交界</w:t>
            </w:r>
            <w:r>
              <w:rPr>
                <w:rFonts w:hint="eastAsia" w:ascii="仿宋_GB2312" w:hAnsi="Times New Roman" w:eastAsia="仿宋_GB2312"/>
                <w:kern w:val="0"/>
                <w:szCs w:val="21"/>
                <w:lang w:eastAsia="zh-CN"/>
              </w:rPr>
              <w:t>处</w:t>
            </w:r>
            <w:r>
              <w:rPr>
                <w:rFonts w:hint="eastAsia" w:ascii="仿宋_GB2312" w:hAnsi="Times New Roman" w:eastAsia="仿宋_GB2312"/>
                <w:kern w:val="0"/>
                <w:szCs w:val="21"/>
              </w:rPr>
              <w:t>、沙河西路同乐路口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有积水（内涝）风险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eastAsia="zh-CN"/>
              </w:rPr>
              <w:t>。</w:t>
            </w:r>
          </w:p>
        </w:tc>
      </w:tr>
      <w:tr w14:paraId="5DCB9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33753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粤海街道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F378A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半小时雨量≥25mm或1小时雨量≥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bidi="ar"/>
              </w:rPr>
              <w:t>40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mm或3小时雨量≥60mm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6EC79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科苑南路白石路至高新南十道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eastAsia="zh-CN"/>
              </w:rPr>
              <w:t>易积水；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深南大道科技立交至沙河西天桥段、东滨隧道有积水（内涝）风险。</w:t>
            </w:r>
          </w:p>
        </w:tc>
      </w:tr>
      <w:tr w14:paraId="715EC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955FD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南山街道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D2AA2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40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mm或1小时雨量≥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60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mm或3小时雨量≥85mm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ED83B">
            <w:pPr>
              <w:widowControl/>
              <w:snapToGrid w:val="0"/>
              <w:rPr>
                <w:rFonts w:hint="eastAsia"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strike w:val="0"/>
                <w:color w:val="auto"/>
                <w:kern w:val="0"/>
                <w:szCs w:val="21"/>
                <w:lang w:val="en-US" w:eastAsia="zh-CN" w:bidi="ar"/>
              </w:rPr>
              <w:t>怡海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"/>
              </w:rPr>
              <w:t>大道海关保税区、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月亮湾大道前湾三路交汇处、前海路与港前路路口荔湾地铁站易积水；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"/>
              </w:rPr>
              <w:t>南山村及南园村地势低洼处、妈湾电厂周边、前海地下道路、桂庙隧道有积水（内涝）风险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" w:eastAsia="zh-CN"/>
              </w:rPr>
              <w:t>。</w:t>
            </w:r>
          </w:p>
        </w:tc>
      </w:tr>
      <w:tr w14:paraId="472D4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BF191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桃源街道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FE33E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</w:t>
            </w:r>
            <w:r>
              <w:rPr>
                <w:rFonts w:hint="default" w:ascii="仿宋_GB2312" w:hAnsi="Times New Roman" w:eastAsia="仿宋_GB2312"/>
                <w:color w:val="auto"/>
                <w:kern w:val="0"/>
                <w:szCs w:val="21"/>
                <w:lang w:val="en-US" w:bidi="ar"/>
              </w:rPr>
              <w:t>35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mm或1小时雨量≥40mm或3小时雨量≥</w:t>
            </w:r>
            <w:r>
              <w:rPr>
                <w:rFonts w:hint="default" w:ascii="仿宋_GB2312" w:hAnsi="Times New Roman" w:eastAsia="仿宋_GB2312"/>
                <w:color w:val="auto"/>
                <w:kern w:val="0"/>
                <w:szCs w:val="21"/>
                <w:lang w:val="en-US" w:bidi="ar"/>
              </w:rPr>
              <w:t>70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B835B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龙井庭苑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 w:bidi="ar"/>
              </w:rPr>
              <w:t>易积水；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国家超级计算深圳中心周边学康路、笃志路、笃学路局部低洼区域有积水（内涝）风险。</w:t>
            </w:r>
          </w:p>
        </w:tc>
      </w:tr>
      <w:tr w14:paraId="08545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C6350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招商街道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EBEE0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bidi="ar"/>
              </w:rPr>
              <w:t>25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mm或1小时雨量≥40mm或3小时雨量≥70mm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1D7C8">
            <w:pPr>
              <w:widowControl/>
              <w:snapToGrid w:val="0"/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商海路与港湾大道交汇处、南康路与港湾大道、兴海大道交汇处有积水风险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eastAsia="zh-CN"/>
              </w:rPr>
              <w:t>。</w:t>
            </w:r>
          </w:p>
        </w:tc>
      </w:tr>
      <w:tr w14:paraId="50023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F33BB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蛇口街道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C18C1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半小时雨量≥35mm或1小时雨量≥40mm或3小时雨量≥70mm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9BDBF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深圳湾口岸周边东三路、东四路、深圳湾口岸周边消防一道、消防二道、望海路地势低洼区域有积水（内涝）风险。</w:t>
            </w:r>
          </w:p>
        </w:tc>
      </w:tr>
      <w:tr w14:paraId="0EBA9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358F0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南头街道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CD447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半小时雨量≥30mm或1小时雨量≥40mm或3小时雨量≥60mm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DD00B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107国道深南北环立交③公交站至双界河北岸路段等地势低洼区域易积水，关口路、宝民一路有积水（内涝）风险</w:t>
            </w:r>
          </w:p>
        </w:tc>
      </w:tr>
    </w:tbl>
    <w:p w14:paraId="3BAEAE3A">
      <w:pPr>
        <w:spacing w:after="120"/>
        <w:rPr>
          <w:color w:val="auto"/>
          <w:kern w:val="0"/>
          <w:szCs w:val="20"/>
        </w:rPr>
      </w:pPr>
    </w:p>
    <w:p w14:paraId="67A3C18C">
      <w:pPr>
        <w:spacing w:after="120"/>
        <w:rPr>
          <w:color w:val="auto"/>
          <w:kern w:val="0"/>
          <w:szCs w:val="20"/>
        </w:rPr>
      </w:pPr>
    </w:p>
    <w:p w14:paraId="4EB04D3B">
      <w:pPr>
        <w:pStyle w:val="2"/>
        <w:rPr>
          <w:color w:val="auto"/>
        </w:rPr>
      </w:pPr>
    </w:p>
    <w:p w14:paraId="2415CB34">
      <w:pPr>
        <w:spacing w:after="120"/>
        <w:rPr>
          <w:color w:val="auto"/>
          <w:kern w:val="0"/>
          <w:szCs w:val="20"/>
        </w:rPr>
      </w:pPr>
    </w:p>
    <w:p w14:paraId="329C31CA">
      <w:pPr>
        <w:jc w:val="center"/>
        <w:outlineLvl w:val="0"/>
        <w:rPr>
          <w:rFonts w:hint="eastAsia" w:ascii="黑体" w:hAnsi="黑体" w:eastAsia="黑体"/>
          <w:color w:val="auto"/>
          <w:kern w:val="0"/>
          <w:sz w:val="32"/>
          <w:szCs w:val="32"/>
        </w:rPr>
        <w:sectPr>
          <w:pgSz w:w="16838" w:h="11906" w:orient="landscape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1B564E2C">
      <w:pPr>
        <w:jc w:val="center"/>
        <w:outlineLvl w:val="0"/>
        <w:rPr>
          <w:rFonts w:ascii="黑体" w:hAnsi="黑体" w:eastAsia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</w:rPr>
        <w:t>0</w:t>
      </w:r>
      <w:r>
        <w:rPr>
          <w:rFonts w:ascii="黑体" w:hAnsi="黑体" w:eastAsia="黑体"/>
          <w:color w:val="auto"/>
          <w:kern w:val="0"/>
          <w:sz w:val="32"/>
          <w:szCs w:val="32"/>
        </w:rPr>
        <w:t xml:space="preserve">5 </w:t>
      </w:r>
      <w:r>
        <w:rPr>
          <w:rFonts w:hint="eastAsia" w:ascii="黑体" w:hAnsi="黑体" w:eastAsia="黑体"/>
          <w:color w:val="auto"/>
          <w:kern w:val="0"/>
          <w:sz w:val="32"/>
          <w:szCs w:val="32"/>
        </w:rPr>
        <w:t>宝安区</w:t>
      </w:r>
    </w:p>
    <w:tbl>
      <w:tblPr>
        <w:tblStyle w:val="3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5765"/>
        <w:gridCol w:w="6311"/>
      </w:tblGrid>
      <w:tr w14:paraId="5B1C5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64B2C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街道</w:t>
            </w:r>
          </w:p>
        </w:tc>
        <w:tc>
          <w:tcPr>
            <w:tcW w:w="2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52635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降雨阈值</w:t>
            </w:r>
          </w:p>
        </w:tc>
        <w:tc>
          <w:tcPr>
            <w:tcW w:w="2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9EC4C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风险提示</w:t>
            </w:r>
          </w:p>
        </w:tc>
      </w:tr>
      <w:tr w14:paraId="50F10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B63AA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新安街道</w:t>
            </w:r>
          </w:p>
        </w:tc>
        <w:tc>
          <w:tcPr>
            <w:tcW w:w="2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E6F34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bidi="ar"/>
              </w:rPr>
              <w:t>30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mm或1小时雨量≥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bidi="ar"/>
              </w:rPr>
              <w:t>40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mm或3小时雨量≥6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bidi="ar"/>
              </w:rPr>
              <w:t>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0146B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107国道新安段、海雅缤纷城建安一路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eastAsia="zh-CN"/>
              </w:rPr>
              <w:t>、宝龙市场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易积水；海天路地下通道、科林源大厦门口三岔口、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公园路桥底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、宝安体育馆有积水（内涝）风险。</w:t>
            </w:r>
          </w:p>
        </w:tc>
      </w:tr>
      <w:tr w14:paraId="47840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63A4F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西乡街道</w:t>
            </w:r>
          </w:p>
        </w:tc>
        <w:tc>
          <w:tcPr>
            <w:tcW w:w="2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A93CD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半小时雨量≥30mm或1小时雨量≥40mm或3小时雨量≥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65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D8CFC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宝安大道固戍</w:t>
            </w:r>
            <w:r>
              <w:rPr>
                <w:rFonts w:hint="default" w:ascii="仿宋_GB2312" w:hAnsi="Times New Roman" w:eastAsia="仿宋_GB2312"/>
                <w:color w:val="auto"/>
                <w:kern w:val="0"/>
                <w:szCs w:val="21"/>
                <w:lang w:val="en"/>
              </w:rPr>
              <w:t>地铁站周边（低洼区域）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、107国道南行固戍大门、金湾大道精益堆场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eastAsia="zh-CN"/>
              </w:rPr>
              <w:t>、西乡海鲜市场片区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易积水；前进二路地势低洼区域、金湾大道中锦钢材交易中心段、海城新村有积水（内涝）风险。</w:t>
            </w:r>
          </w:p>
        </w:tc>
      </w:tr>
      <w:tr w14:paraId="54544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AD224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航城街道</w:t>
            </w:r>
          </w:p>
        </w:tc>
        <w:tc>
          <w:tcPr>
            <w:tcW w:w="2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D5DDC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bidi="ar"/>
              </w:rPr>
              <w:t>30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mm或1小时雨量≥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bidi="ar"/>
              </w:rPr>
              <w:t>4</w:t>
            </w:r>
            <w:r>
              <w:rPr>
                <w:rFonts w:hint="default" w:ascii="仿宋_GB2312" w:hAnsi="Times New Roman" w:eastAsia="仿宋_GB2312"/>
                <w:color w:val="auto"/>
                <w:kern w:val="0"/>
                <w:szCs w:val="21"/>
                <w:lang w:val="en-US" w:bidi="ar"/>
              </w:rPr>
              <w:t>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mm或3小时雨量≥60mm</w:t>
            </w:r>
          </w:p>
        </w:tc>
        <w:tc>
          <w:tcPr>
            <w:tcW w:w="2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A4267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洲石路鹤洲桥底、三围南路西乡台兴产业园、后瑞北区、钟屋工业区18栋厂房旁易积水；钟屋工业三路、爱民路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</w:rPr>
              <w:t>117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号有积水（内涝）风险。</w:t>
            </w:r>
          </w:p>
        </w:tc>
      </w:tr>
      <w:tr w14:paraId="3E4B4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B3E1A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福永街道</w:t>
            </w:r>
          </w:p>
        </w:tc>
        <w:tc>
          <w:tcPr>
            <w:tcW w:w="2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47536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半小时雨量≥3</w:t>
            </w:r>
            <w:r>
              <w:rPr>
                <w:rFonts w:hint="default" w:ascii="仿宋_GB2312" w:hAnsi="Times New Roman" w:eastAsia="仿宋_GB2312"/>
                <w:color w:val="auto"/>
                <w:kern w:val="0"/>
                <w:szCs w:val="21"/>
                <w:lang w:val="en-US" w:bidi="ar"/>
              </w:rPr>
              <w:t>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mm或1小时雨量≥</w:t>
            </w:r>
            <w:r>
              <w:rPr>
                <w:rFonts w:hint="default" w:ascii="仿宋_GB2312" w:hAnsi="Times New Roman" w:eastAsia="仿宋_GB2312"/>
                <w:color w:val="auto"/>
                <w:kern w:val="0"/>
                <w:szCs w:val="21"/>
                <w:lang w:val="en-US" w:bidi="ar"/>
              </w:rPr>
              <w:t>55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</w:t>
            </w:r>
            <w:r>
              <w:rPr>
                <w:rFonts w:hint="default" w:ascii="仿宋_GB2312" w:hAnsi="Times New Roman" w:eastAsia="仿宋_GB2312"/>
                <w:color w:val="auto"/>
                <w:kern w:val="0"/>
                <w:szCs w:val="21"/>
                <w:lang w:val="en-US" w:bidi="ar"/>
              </w:rPr>
              <w:t>95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9B736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福围市场段、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日富路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、白石厦东区华中路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等地势低洼区域易积水。</w:t>
            </w:r>
          </w:p>
        </w:tc>
      </w:tr>
      <w:tr w14:paraId="6B74B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3D579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福海街道</w:t>
            </w:r>
          </w:p>
        </w:tc>
        <w:tc>
          <w:tcPr>
            <w:tcW w:w="2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EB859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半小时雨量≥35mm或1小时雨量≥40mm或3小时雨量≥70mm</w:t>
            </w:r>
          </w:p>
        </w:tc>
        <w:tc>
          <w:tcPr>
            <w:tcW w:w="2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C76D5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kern w:val="0"/>
                <w:szCs w:val="21"/>
                <w:lang w:val="en" w:bidi="ar"/>
              </w:rPr>
              <w:t>国际会展中心凤塘大道隧道周边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有积水（内涝）风险。</w:t>
            </w:r>
          </w:p>
        </w:tc>
      </w:tr>
      <w:tr w14:paraId="109E4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ED9ED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新桥街道</w:t>
            </w:r>
          </w:p>
        </w:tc>
        <w:tc>
          <w:tcPr>
            <w:tcW w:w="2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CCE71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半小时雨量≥30mm或1小时雨量≥40mm或3小时雨量≥70mm</w:t>
            </w:r>
          </w:p>
        </w:tc>
        <w:tc>
          <w:tcPr>
            <w:tcW w:w="2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63271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外环路广深高速新桥立交、上星南路与中心路丽沙花都、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万丰派出所、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洪田桥洞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易积水。</w:t>
            </w:r>
          </w:p>
        </w:tc>
      </w:tr>
      <w:tr w14:paraId="10653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0A0DB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沙井街道</w:t>
            </w:r>
          </w:p>
        </w:tc>
        <w:tc>
          <w:tcPr>
            <w:tcW w:w="2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4AEBE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半小时雨量≥30mm或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shd w:val="clear" w:color="auto" w:fill="FFFFFF"/>
                <w:lang w:bidi="ar"/>
              </w:rPr>
              <w:t>1小时雨量≥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shd w:val="clear" w:color="auto" w:fill="FFFFFF"/>
                <w:lang w:val="en-US" w:eastAsia="zh-CN" w:bidi="ar"/>
              </w:rPr>
              <w:t>35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shd w:val="clear" w:color="auto" w:fill="FFFFFF"/>
                <w:lang w:bidi="ar"/>
              </w:rPr>
              <w:t>mm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或3小时雨量≥7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9D916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帝堂路锦程路以西段、北环路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eastAsia="zh-CN" w:bidi="ar"/>
              </w:rPr>
              <w:t>、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辛养旧村、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和一社区团结街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eastAsia="zh-CN" w:bidi="ar"/>
              </w:rPr>
              <w:t>、沙井西环路正科时代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段、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新志兴一路西行方向易积水。</w:t>
            </w:r>
          </w:p>
        </w:tc>
      </w:tr>
      <w:tr w14:paraId="51082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DD3E6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松岗街道</w:t>
            </w:r>
          </w:p>
        </w:tc>
        <w:tc>
          <w:tcPr>
            <w:tcW w:w="2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77EC8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bidi="ar"/>
              </w:rPr>
              <w:t>30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mm或1小时雨量≥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bidi="ar"/>
              </w:rPr>
              <w:t>40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bidi="ar"/>
              </w:rPr>
              <w:t>7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0mm</w:t>
            </w:r>
          </w:p>
        </w:tc>
        <w:tc>
          <w:tcPr>
            <w:tcW w:w="2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A0EDF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地势低洼区域易积水。</w:t>
            </w:r>
          </w:p>
        </w:tc>
      </w:tr>
      <w:tr w14:paraId="7670D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78B2B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燕罗街道</w:t>
            </w:r>
          </w:p>
        </w:tc>
        <w:tc>
          <w:tcPr>
            <w:tcW w:w="2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84830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bidi="ar"/>
              </w:rPr>
              <w:t>3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5mm或1小时雨量≥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bidi="ar"/>
              </w:rPr>
              <w:t>4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5mm或3小时雨量≥</w:t>
            </w:r>
            <w:r>
              <w:rPr>
                <w:rFonts w:hint="default" w:ascii="仿宋_GB2312" w:hAnsi="Times New Roman" w:eastAsia="仿宋_GB2312"/>
                <w:color w:val="auto"/>
                <w:kern w:val="0"/>
                <w:szCs w:val="21"/>
                <w:lang w:val="en-US" w:bidi="ar"/>
              </w:rPr>
              <w:t>75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F351F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幸福路与恒珠一路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eastAsia="zh-CN" w:bidi="ar"/>
              </w:rPr>
              <w:t>、山门第三工业区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周边地势低洼区域易积水；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朝阳路与广田路交汇、红燕路与朝阳路交汇有积水（内涝）风险。</w:t>
            </w:r>
          </w:p>
        </w:tc>
      </w:tr>
      <w:tr w14:paraId="51276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6809B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石岩街道</w:t>
            </w:r>
          </w:p>
        </w:tc>
        <w:tc>
          <w:tcPr>
            <w:tcW w:w="2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8598E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25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mm或1小时雨量≥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35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55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C989C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汇裕名都小区、应人石天宝路段易积水；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祝龙田龙大高速桥涵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有积水（内涝）风险。</w:t>
            </w:r>
          </w:p>
        </w:tc>
      </w:tr>
    </w:tbl>
    <w:p w14:paraId="5BF544F6">
      <w:pPr>
        <w:jc w:val="center"/>
        <w:outlineLvl w:val="0"/>
        <w:rPr>
          <w:rFonts w:hint="eastAsia" w:ascii="黑体" w:hAnsi="黑体" w:eastAsia="黑体"/>
          <w:color w:val="auto"/>
          <w:kern w:val="0"/>
          <w:sz w:val="32"/>
          <w:szCs w:val="32"/>
        </w:rPr>
        <w:sectPr>
          <w:pgSz w:w="16838" w:h="11906" w:orient="landscape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022B2C61">
      <w:pPr>
        <w:jc w:val="center"/>
        <w:outlineLvl w:val="0"/>
        <w:rPr>
          <w:rFonts w:ascii="黑体" w:hAnsi="黑体" w:eastAsia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</w:rPr>
        <w:t>0</w:t>
      </w:r>
      <w:r>
        <w:rPr>
          <w:rFonts w:ascii="黑体" w:hAnsi="黑体" w:eastAsia="黑体"/>
          <w:color w:val="auto"/>
          <w:kern w:val="0"/>
          <w:sz w:val="32"/>
          <w:szCs w:val="32"/>
        </w:rPr>
        <w:t xml:space="preserve">6 </w:t>
      </w:r>
      <w:r>
        <w:rPr>
          <w:rFonts w:hint="eastAsia" w:ascii="黑体" w:hAnsi="黑体" w:eastAsia="黑体"/>
          <w:color w:val="auto"/>
          <w:kern w:val="0"/>
          <w:sz w:val="32"/>
          <w:szCs w:val="32"/>
        </w:rPr>
        <w:t>龙岗区</w:t>
      </w:r>
    </w:p>
    <w:tbl>
      <w:tblPr>
        <w:tblStyle w:val="3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5787"/>
        <w:gridCol w:w="6286"/>
      </w:tblGrid>
      <w:tr w14:paraId="0999D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2AB43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1D794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降雨阈值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78B6C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风险提示</w:t>
            </w:r>
          </w:p>
        </w:tc>
      </w:tr>
      <w:tr w14:paraId="5520B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D10A6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平湖街道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5F57F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35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mm或1小时雨量≥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50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85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0E21E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振业路平湖火车站隧道口、新木路广深铁路桥底、新木路新围仔公交站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段、鹅公岭大围村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易积水；深圳市龙岗区实验高级中学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有积水（内涝）风险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。</w:t>
            </w:r>
          </w:p>
        </w:tc>
      </w:tr>
      <w:tr w14:paraId="76564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272EC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布吉街道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ACB6F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半小时雨量≥20mm或1小时雨量≥3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7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0mm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EB5D3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长龙</w:t>
            </w:r>
            <w:r>
              <w:rPr>
                <w:rFonts w:hint="default" w:ascii="仿宋_GB2312" w:hAnsi="Times New Roman" w:eastAsia="仿宋_GB2312"/>
                <w:color w:val="auto"/>
                <w:szCs w:val="21"/>
                <w:lang w:val="en" w:eastAsia="zh-CN"/>
              </w:rPr>
              <w:t>地铁站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周边（布吉中学至西环路段</w:t>
            </w:r>
            <w:r>
              <w:rPr>
                <w:rFonts w:hint="default" w:ascii="仿宋_GB2312" w:hAnsi="Times New Roman" w:eastAsia="仿宋_GB2312"/>
                <w:color w:val="auto"/>
                <w:szCs w:val="21"/>
                <w:lang w:val="en" w:eastAsia="zh-CN"/>
              </w:rPr>
              <w:t>低洼区域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" w:eastAsia="zh-CN"/>
              </w:rPr>
              <w:t>）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，宝丽路粤宝花园一期段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易积水。</w:t>
            </w:r>
          </w:p>
        </w:tc>
      </w:tr>
      <w:tr w14:paraId="16B1A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662A4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吉华街道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CD9DE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bidi="ar"/>
              </w:rPr>
              <w:t>3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0mm或1小时雨量≥4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bidi="ar"/>
              </w:rPr>
              <w:t>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bidi="ar"/>
              </w:rPr>
              <w:t>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5mm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55B49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松元头老村、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龙博路桥涵段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eastAsia="zh-CN" w:bidi="ar"/>
              </w:rPr>
              <w:t>、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 w:bidi="ar"/>
              </w:rPr>
              <w:t>布李路富民城段、水径水泰昌工业区段、吉华路水径段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易积水。</w:t>
            </w:r>
          </w:p>
        </w:tc>
      </w:tr>
      <w:tr w14:paraId="0A3F7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2BA2B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坂田街道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2C298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半小时雨量≥25mm或1小时雨量≥35mm或3小时雨量≥60mm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65E02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eastAsia="zh-CN"/>
              </w:rPr>
              <w:t>光雅园篮球场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易积水。</w:t>
            </w:r>
          </w:p>
        </w:tc>
      </w:tr>
      <w:tr w14:paraId="25304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2058E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南湾街道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42FA8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半小时雨量≥2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mm或1小时雨量≥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bidi="ar"/>
              </w:rPr>
              <w:t>4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85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41B42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沙西小学至南岭万家乐段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eastAsia="zh-CN"/>
              </w:rPr>
              <w:t>、万科公园里丹平快速路段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易积水；平湖分输站有积水（内涝）风险。</w:t>
            </w:r>
          </w:p>
        </w:tc>
      </w:tr>
      <w:tr w14:paraId="3BB0B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F67D9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横岗街道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D0728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半小时雨量≥25mm或1小时雨量≥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40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65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0F71B">
            <w:pPr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深坑路与深竹路交汇处易积水。</w:t>
            </w:r>
          </w:p>
        </w:tc>
      </w:tr>
      <w:tr w14:paraId="7536F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50097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园山街道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B83E2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</w:t>
            </w:r>
            <w:r>
              <w:rPr>
                <w:rFonts w:hint="default" w:ascii="仿宋_GB2312" w:hAnsi="Times New Roman" w:eastAsia="仿宋_GB2312"/>
                <w:color w:val="auto"/>
                <w:kern w:val="0"/>
                <w:szCs w:val="21"/>
                <w:lang w:val="en-US" w:bidi="ar"/>
              </w:rPr>
              <w:t>30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mm或1小时雨量≥</w:t>
            </w:r>
            <w:r>
              <w:rPr>
                <w:rFonts w:hint="default" w:ascii="仿宋_GB2312" w:hAnsi="Times New Roman" w:eastAsia="仿宋_GB2312"/>
                <w:color w:val="auto"/>
                <w:kern w:val="0"/>
                <w:szCs w:val="21"/>
                <w:lang w:val="en-US" w:bidi="ar"/>
              </w:rPr>
              <w:t>50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</w:t>
            </w:r>
            <w:r>
              <w:rPr>
                <w:rFonts w:hint="default" w:ascii="仿宋_GB2312" w:hAnsi="Times New Roman" w:eastAsia="仿宋_GB2312"/>
                <w:color w:val="auto"/>
                <w:kern w:val="0"/>
                <w:szCs w:val="21"/>
                <w:lang w:val="en-US" w:bidi="ar"/>
              </w:rPr>
              <w:t>70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82EFC">
            <w:pPr>
              <w:snapToGrid w:val="0"/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坳新路口、新坡塘老围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/>
              </w:rPr>
              <w:t>易积水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；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坳背</w:t>
            </w:r>
            <w:r>
              <w:rPr>
                <w:rFonts w:hint="default" w:ascii="仿宋_GB2312" w:hAnsi="Times New Roman" w:eastAsia="仿宋_GB2312"/>
                <w:color w:val="auto"/>
                <w:szCs w:val="21"/>
                <w:lang w:val="en"/>
              </w:rPr>
              <w:t>地铁站周边（低洼区域）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有积水（内涝）风险。</w:t>
            </w:r>
          </w:p>
        </w:tc>
      </w:tr>
      <w:tr w14:paraId="4A7D9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BE2C6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龙城街道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C7A49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半小时雨量≥20mm或1小时雨量≥30mm或3小时雨量≥50mm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44178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/>
              </w:rPr>
              <w:t>清林路与黄阁路交汇处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、龙城大道与龙平西路交汇处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/>
              </w:rPr>
              <w:t>易积水；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英才学校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、龙翔大道与吉祥路交叉口、龙翔大</w:t>
            </w: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bidi="ar"/>
              </w:rPr>
              <w:t>道与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龙城大道交汇路口、龙平西路与爱龙路交汇处、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深圳市龙岗区政务服务和数据管理局龙岗区智慧中心机房、深圳龙城医院、深圳大运中心、龙岗区政府机关大院有积水（内涝）风险。</w:t>
            </w:r>
          </w:p>
        </w:tc>
      </w:tr>
      <w:tr w14:paraId="04983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05CCC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龙岗街道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FA62E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半小时雨量≥30mm或1小时雨量≥40mm或3小时雨量≥55mm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A752D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碧新路惠盐高速桥底、雄丰路低洼路段易积水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eastAsia="zh-CN" w:bidi="ar"/>
              </w:rPr>
              <w:t>。</w:t>
            </w:r>
          </w:p>
        </w:tc>
      </w:tr>
      <w:tr w14:paraId="52FCF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230CD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宝龙街道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71554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  <w:lang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25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mm或1小时雨量≥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35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55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92FBF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/>
              </w:rPr>
              <w:t>宝荷路中心加油站对面易积水；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高背路惠盐高速桥洞、同心阳和浪老屋村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、</w:t>
            </w:r>
            <w:r>
              <w:rPr>
                <w:rFonts w:hint="default" w:ascii="仿宋_GB2312" w:hAnsi="Times New Roman" w:eastAsia="仿宋_GB2312"/>
                <w:color w:val="auto"/>
                <w:szCs w:val="21"/>
                <w:lang w:bidi="ar"/>
              </w:rPr>
              <w:t>乐园路黄屋村门口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易积水。</w:t>
            </w:r>
          </w:p>
        </w:tc>
      </w:tr>
      <w:tr w14:paraId="70592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4C8EC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坪地街道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D343D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半小时雨量≥30mm或1小时雨量≥40mm或3小时雨量≥65mm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9A9FC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龙岗大道汇源公交站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eastAsia="zh-CN"/>
              </w:rPr>
              <w:t>、石碧西路、四方埔社区英才路、长山路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易积水。</w:t>
            </w:r>
          </w:p>
        </w:tc>
      </w:tr>
    </w:tbl>
    <w:p w14:paraId="5AEBE9EC">
      <w:pPr>
        <w:jc w:val="center"/>
        <w:outlineLvl w:val="0"/>
        <w:rPr>
          <w:rFonts w:hint="eastAsia" w:ascii="黑体" w:hAnsi="黑体" w:eastAsia="黑体"/>
          <w:color w:val="auto"/>
          <w:kern w:val="0"/>
          <w:sz w:val="32"/>
          <w:szCs w:val="32"/>
        </w:rPr>
        <w:sectPr>
          <w:pgSz w:w="16838" w:h="11906" w:orient="landscape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5D6192D8">
      <w:pPr>
        <w:jc w:val="center"/>
        <w:outlineLvl w:val="0"/>
        <w:rPr>
          <w:rFonts w:ascii="黑体" w:hAnsi="黑体" w:eastAsia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</w:rPr>
        <w:t>0</w:t>
      </w:r>
      <w:r>
        <w:rPr>
          <w:rFonts w:ascii="黑体" w:hAnsi="黑体" w:eastAsia="黑体"/>
          <w:color w:val="auto"/>
          <w:kern w:val="0"/>
          <w:sz w:val="32"/>
          <w:szCs w:val="32"/>
        </w:rPr>
        <w:t xml:space="preserve">7 </w:t>
      </w:r>
      <w:r>
        <w:rPr>
          <w:rFonts w:hint="eastAsia" w:ascii="黑体" w:hAnsi="黑体" w:eastAsia="黑体"/>
          <w:color w:val="auto"/>
          <w:kern w:val="0"/>
          <w:sz w:val="32"/>
          <w:szCs w:val="32"/>
        </w:rPr>
        <w:t>龙华区</w:t>
      </w:r>
    </w:p>
    <w:tbl>
      <w:tblPr>
        <w:tblStyle w:val="3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5774"/>
        <w:gridCol w:w="6299"/>
      </w:tblGrid>
      <w:tr w14:paraId="29E7F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03356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00B5F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降雨阈值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17A5D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风险提示</w:t>
            </w:r>
          </w:p>
        </w:tc>
      </w:tr>
      <w:tr w14:paraId="06570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C3A62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龙华街道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DF876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bidi="ar"/>
              </w:rPr>
              <w:t>3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mm或1小时雨量≥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50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65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A7357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工业路壹成中心段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、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 w:bidi="ar"/>
              </w:rPr>
              <w:t>和平路与东环一路交叉口道路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等地势低洼区域易积水。</w:t>
            </w:r>
          </w:p>
        </w:tc>
      </w:tr>
      <w:tr w14:paraId="3A22D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D5EE9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大浪街道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69C20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半小时雨量≥30mm或1小时雨量≥40mm或3小时雨量≥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60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3D9C2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 w:bidi="ar"/>
              </w:rPr>
              <w:t>罗泰路机荷高速桥底、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大浪南路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 w:bidi="ar"/>
              </w:rPr>
              <w:t>与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华悦路交汇处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易积水。</w:t>
            </w:r>
          </w:p>
        </w:tc>
      </w:tr>
      <w:tr w14:paraId="4C0FF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A96D9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观澜街道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A87B7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半小时雨量≥25mm或1小时雨量≥35mm或3小时雨量≥60mm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5CC7D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昌茂二路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eastAsia="zh-CN"/>
              </w:rPr>
              <w:t>、黄背坑路口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有积水（内涝）风险。</w:t>
            </w:r>
          </w:p>
        </w:tc>
      </w:tr>
      <w:tr w14:paraId="7A195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14559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民治街道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9E20C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20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mm或1小时雨量≥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35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55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55BDA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eastAsia="zh-CN"/>
              </w:rPr>
              <w:t>人民路福龙路桥底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、万众城绿景香颂段等地势低洼区域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易积水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。</w:t>
            </w:r>
          </w:p>
        </w:tc>
      </w:tr>
      <w:tr w14:paraId="1E48E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30F1E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观湖街道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3E434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30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mm或1小时雨量≥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45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60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5693F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有轨电车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文澜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站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、环观南路与观平路交汇处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易积水。</w:t>
            </w:r>
          </w:p>
        </w:tc>
      </w:tr>
      <w:tr w14:paraId="5483F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6FF43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福城街道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A0E64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30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mm或1小时雨量≥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40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mm或3小时雨量≥60mm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22A73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/>
              </w:rPr>
              <w:t>观光路与福前路交汇处、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观澜大道竹村段易积水。</w:t>
            </w:r>
          </w:p>
        </w:tc>
      </w:tr>
    </w:tbl>
    <w:p w14:paraId="6C89AD4E">
      <w:pPr>
        <w:jc w:val="center"/>
        <w:outlineLvl w:val="0"/>
        <w:rPr>
          <w:rFonts w:ascii="黑体" w:hAnsi="黑体" w:eastAsia="黑体"/>
          <w:color w:val="auto"/>
          <w:kern w:val="0"/>
          <w:sz w:val="32"/>
          <w:szCs w:val="32"/>
        </w:rPr>
      </w:pPr>
    </w:p>
    <w:p w14:paraId="0A905BE0">
      <w:pPr>
        <w:jc w:val="center"/>
        <w:outlineLvl w:val="0"/>
        <w:rPr>
          <w:rFonts w:ascii="黑体" w:hAnsi="黑体" w:eastAsia="黑体"/>
          <w:color w:val="auto"/>
          <w:kern w:val="0"/>
          <w:sz w:val="32"/>
          <w:szCs w:val="32"/>
        </w:rPr>
      </w:pPr>
    </w:p>
    <w:p w14:paraId="2BD9ABBB">
      <w:pPr>
        <w:jc w:val="center"/>
        <w:outlineLvl w:val="0"/>
        <w:rPr>
          <w:rFonts w:ascii="黑体" w:hAnsi="黑体" w:eastAsia="黑体"/>
          <w:color w:val="auto"/>
          <w:kern w:val="0"/>
          <w:sz w:val="32"/>
          <w:szCs w:val="32"/>
        </w:rPr>
      </w:pPr>
    </w:p>
    <w:p w14:paraId="32211988">
      <w:pPr>
        <w:jc w:val="center"/>
        <w:outlineLvl w:val="0"/>
        <w:rPr>
          <w:rFonts w:ascii="黑体" w:hAnsi="黑体" w:eastAsia="黑体"/>
          <w:color w:val="auto"/>
          <w:kern w:val="0"/>
          <w:sz w:val="32"/>
          <w:szCs w:val="32"/>
        </w:rPr>
      </w:pPr>
    </w:p>
    <w:p w14:paraId="226D0EB4">
      <w:pPr>
        <w:pStyle w:val="2"/>
        <w:rPr>
          <w:color w:val="auto"/>
        </w:rPr>
      </w:pPr>
    </w:p>
    <w:p w14:paraId="7008ECB8">
      <w:pPr>
        <w:jc w:val="center"/>
        <w:outlineLvl w:val="0"/>
        <w:rPr>
          <w:rFonts w:ascii="黑体" w:hAnsi="黑体" w:eastAsia="黑体"/>
          <w:color w:val="auto"/>
          <w:kern w:val="0"/>
          <w:sz w:val="32"/>
          <w:szCs w:val="32"/>
        </w:rPr>
      </w:pPr>
    </w:p>
    <w:p w14:paraId="7BD3AEF9">
      <w:pPr>
        <w:jc w:val="center"/>
        <w:outlineLvl w:val="0"/>
        <w:rPr>
          <w:rFonts w:hint="eastAsia" w:ascii="黑体" w:hAnsi="黑体" w:eastAsia="黑体"/>
          <w:color w:val="auto"/>
          <w:kern w:val="0"/>
          <w:sz w:val="32"/>
          <w:szCs w:val="32"/>
        </w:rPr>
        <w:sectPr>
          <w:pgSz w:w="16838" w:h="11906" w:orient="landscape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512DC6C1">
      <w:pPr>
        <w:jc w:val="center"/>
        <w:outlineLvl w:val="0"/>
        <w:rPr>
          <w:rFonts w:ascii="黑体" w:hAnsi="黑体" w:eastAsia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</w:rPr>
        <w:t>0</w:t>
      </w:r>
      <w:r>
        <w:rPr>
          <w:rFonts w:ascii="黑体" w:hAnsi="黑体" w:eastAsia="黑体"/>
          <w:color w:val="auto"/>
          <w:kern w:val="0"/>
          <w:sz w:val="32"/>
          <w:szCs w:val="32"/>
        </w:rPr>
        <w:t xml:space="preserve">8 </w:t>
      </w:r>
      <w:r>
        <w:rPr>
          <w:rFonts w:hint="eastAsia" w:ascii="黑体" w:hAnsi="黑体" w:eastAsia="黑体"/>
          <w:color w:val="auto"/>
          <w:kern w:val="0"/>
          <w:sz w:val="32"/>
          <w:szCs w:val="32"/>
        </w:rPr>
        <w:t>坪山区</w:t>
      </w:r>
    </w:p>
    <w:tbl>
      <w:tblPr>
        <w:tblStyle w:val="3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5787"/>
        <w:gridCol w:w="6286"/>
      </w:tblGrid>
      <w:tr w14:paraId="2B9B7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2F50B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6E66F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降雨阈值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F7A49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风险提示</w:t>
            </w:r>
          </w:p>
        </w:tc>
      </w:tr>
      <w:tr w14:paraId="55125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3C6CE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坪山街道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94CB6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半小时雨量≥25mm或1小时雨量≥35mm或3小时雨量≥60mm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627C2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宝山第二工业区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易积水。</w:t>
            </w:r>
          </w:p>
        </w:tc>
      </w:tr>
      <w:tr w14:paraId="152E6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CBD58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龙田街道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2D94B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半小时雨量≥30mm或1小时雨量≥40mm或3小时雨量≥70mm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E851F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龙兴南路龙田社区大水湾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、同富裕工业区同富裕路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eastAsia="zh-CN" w:bidi="ar"/>
              </w:rPr>
              <w:t>、龙兴北路、莹展工业区、龙兴南路与龙湾路交汇处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易积水。</w:t>
            </w:r>
          </w:p>
        </w:tc>
      </w:tr>
      <w:tr w14:paraId="7B40C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96FD0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碧岭街道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C8E0A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半小时雨量≥30mm或1小时雨量≥45mm或3小时雨量≥70mm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F75CE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地势低洼区域易积水。</w:t>
            </w:r>
          </w:p>
        </w:tc>
      </w:tr>
      <w:tr w14:paraId="5844E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37C74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石井街道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77C84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半小时雨量≥30mm或1小时雨量≥40mm或3小时雨量≥70mm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8F997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地势低洼区域易积水。</w:t>
            </w:r>
          </w:p>
        </w:tc>
      </w:tr>
      <w:tr w14:paraId="213A6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60AA2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坑梓街道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81670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半小时雨量≥25mm或1小时雨量≥35mm或3小时雨量≥60mm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65FD1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地势低洼区域易积水。</w:t>
            </w:r>
          </w:p>
        </w:tc>
      </w:tr>
      <w:tr w14:paraId="39C8B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D2406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马峦街道</w:t>
            </w:r>
          </w:p>
        </w:tc>
        <w:tc>
          <w:tcPr>
            <w:tcW w:w="2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DB5ED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半小时雨量≥40mm或1小时雨量≥55mm或3小时雨量≥75mm</w:t>
            </w:r>
          </w:p>
        </w:tc>
        <w:tc>
          <w:tcPr>
            <w:tcW w:w="2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2894D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锦龙大道与坪山大道交汇处易积水。</w:t>
            </w:r>
          </w:p>
        </w:tc>
      </w:tr>
    </w:tbl>
    <w:p w14:paraId="6218D916">
      <w:pPr>
        <w:jc w:val="center"/>
        <w:outlineLvl w:val="0"/>
        <w:rPr>
          <w:rFonts w:ascii="黑体" w:hAnsi="黑体" w:eastAsia="黑体"/>
          <w:color w:val="auto"/>
          <w:kern w:val="0"/>
          <w:sz w:val="32"/>
          <w:szCs w:val="32"/>
        </w:rPr>
      </w:pPr>
    </w:p>
    <w:p w14:paraId="585948CF">
      <w:pPr>
        <w:jc w:val="center"/>
        <w:outlineLvl w:val="0"/>
        <w:rPr>
          <w:rFonts w:ascii="黑体" w:hAnsi="黑体" w:eastAsia="黑体"/>
          <w:color w:val="auto"/>
          <w:kern w:val="0"/>
          <w:sz w:val="32"/>
          <w:szCs w:val="32"/>
        </w:rPr>
      </w:pPr>
    </w:p>
    <w:p w14:paraId="5C6CA4FC">
      <w:pPr>
        <w:jc w:val="center"/>
        <w:outlineLvl w:val="0"/>
        <w:rPr>
          <w:rFonts w:ascii="黑体" w:hAnsi="黑体" w:eastAsia="黑体"/>
          <w:color w:val="auto"/>
          <w:kern w:val="0"/>
          <w:sz w:val="32"/>
          <w:szCs w:val="32"/>
        </w:rPr>
      </w:pPr>
    </w:p>
    <w:p w14:paraId="054FDD31">
      <w:pPr>
        <w:jc w:val="center"/>
        <w:outlineLvl w:val="0"/>
        <w:rPr>
          <w:rFonts w:ascii="黑体" w:hAnsi="黑体" w:eastAsia="黑体"/>
          <w:color w:val="auto"/>
          <w:kern w:val="0"/>
          <w:sz w:val="32"/>
          <w:szCs w:val="32"/>
        </w:rPr>
      </w:pPr>
    </w:p>
    <w:p w14:paraId="4ACE7FD2">
      <w:pPr>
        <w:pStyle w:val="2"/>
        <w:rPr>
          <w:color w:val="auto"/>
        </w:rPr>
      </w:pPr>
    </w:p>
    <w:p w14:paraId="61B9B397">
      <w:pPr>
        <w:jc w:val="center"/>
        <w:outlineLvl w:val="0"/>
        <w:rPr>
          <w:rFonts w:ascii="黑体" w:hAnsi="黑体" w:eastAsia="黑体"/>
          <w:color w:val="auto"/>
          <w:kern w:val="0"/>
          <w:sz w:val="32"/>
          <w:szCs w:val="32"/>
        </w:rPr>
      </w:pPr>
    </w:p>
    <w:p w14:paraId="68A1AE8D">
      <w:pPr>
        <w:jc w:val="center"/>
        <w:outlineLvl w:val="0"/>
        <w:rPr>
          <w:rFonts w:ascii="黑体" w:hAnsi="黑体" w:eastAsia="黑体"/>
          <w:color w:val="auto"/>
          <w:kern w:val="0"/>
          <w:sz w:val="32"/>
          <w:szCs w:val="32"/>
        </w:rPr>
      </w:pPr>
    </w:p>
    <w:p w14:paraId="773CB8D0">
      <w:pPr>
        <w:jc w:val="center"/>
        <w:outlineLvl w:val="0"/>
        <w:rPr>
          <w:rFonts w:hint="eastAsia" w:ascii="黑体" w:hAnsi="黑体" w:eastAsia="黑体"/>
          <w:color w:val="auto"/>
          <w:kern w:val="0"/>
          <w:sz w:val="32"/>
          <w:szCs w:val="32"/>
        </w:rPr>
        <w:sectPr>
          <w:pgSz w:w="16838" w:h="11906" w:orient="landscape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60CC6E1E">
      <w:pPr>
        <w:jc w:val="center"/>
        <w:outlineLvl w:val="0"/>
        <w:rPr>
          <w:rFonts w:ascii="黑体" w:hAnsi="黑体" w:eastAsia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</w:rPr>
        <w:t>0</w:t>
      </w:r>
      <w:r>
        <w:rPr>
          <w:rFonts w:ascii="黑体" w:hAnsi="黑体" w:eastAsia="黑体"/>
          <w:color w:val="auto"/>
          <w:kern w:val="0"/>
          <w:sz w:val="32"/>
          <w:szCs w:val="32"/>
        </w:rPr>
        <w:t xml:space="preserve">9 </w:t>
      </w:r>
      <w:r>
        <w:rPr>
          <w:rFonts w:hint="eastAsia" w:ascii="黑体" w:hAnsi="黑体" w:eastAsia="黑体"/>
          <w:color w:val="auto"/>
          <w:kern w:val="0"/>
          <w:sz w:val="32"/>
          <w:szCs w:val="32"/>
        </w:rPr>
        <w:t>光明区</w:t>
      </w:r>
    </w:p>
    <w:tbl>
      <w:tblPr>
        <w:tblStyle w:val="3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5774"/>
        <w:gridCol w:w="6299"/>
      </w:tblGrid>
      <w:tr w14:paraId="488D8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FE693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4F54F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降雨阈值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C0808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风险提示</w:t>
            </w:r>
          </w:p>
        </w:tc>
      </w:tr>
      <w:tr w14:paraId="2506B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60B2E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光明街道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CC46E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bidi="ar"/>
              </w:rPr>
              <w:t>3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0mm或1小时雨量≥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bidi="ar"/>
              </w:rPr>
              <w:t>4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0mm或3小时雨量≥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70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C736E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双明大道断头路处（正兆景嘉园旁）地势低洼区域易积水。</w:t>
            </w:r>
          </w:p>
        </w:tc>
      </w:tr>
      <w:tr w14:paraId="15BBB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54762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公明街道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D9629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25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mm或1小时雨量≥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35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7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0mm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5E437">
            <w:pPr>
              <w:widowControl/>
              <w:snapToGrid w:val="0"/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上村社区莲塘龙大桥底易积水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eastAsia="zh-CN"/>
              </w:rPr>
              <w:t>；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东环大道别墅路口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/>
              </w:rPr>
              <w:t>等地势低洼片区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有积水（内涝）风险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val="en"/>
              </w:rPr>
              <w:t>。</w:t>
            </w:r>
          </w:p>
        </w:tc>
      </w:tr>
      <w:tr w14:paraId="4EA68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4B777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凤凰街道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EBD35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25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mm或1小时雨量≥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35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60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229BC">
            <w:pPr>
              <w:snapToGrid w:val="0"/>
              <w:rPr>
                <w:rFonts w:hint="eastAsia"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长凤路龙大高速桥底易积水；同业路科农路桥洞、龙大高速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/>
              </w:rPr>
              <w:t>1#、2#、3#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桥洞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/>
              </w:rPr>
              <w:t>张屋旧村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有积水（内涝）风险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val="en"/>
              </w:rPr>
              <w:t>。</w:t>
            </w:r>
          </w:p>
        </w:tc>
      </w:tr>
      <w:tr w14:paraId="43D57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5F81C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马田街道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57316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bidi="ar"/>
              </w:rPr>
              <w:t>3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0mm或1小时雨量≥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bidi="ar"/>
              </w:rPr>
              <w:t>4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75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85ED4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根玉</w:t>
            </w:r>
            <w:r>
              <w:rPr>
                <w:rFonts w:hint="default" w:ascii="仿宋_GB2312" w:hAnsi="Times New Roman" w:eastAsia="仿宋_GB2312"/>
                <w:color w:val="auto"/>
                <w:kern w:val="0"/>
                <w:szCs w:val="21"/>
                <w:lang w:val="en-US"/>
              </w:rPr>
              <w:t>路与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东方大道交汇处易积水；东环大道松宝大道段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将围社区南石路、上石家与通兴路交汇处有积水（内涝）风险。</w:t>
            </w:r>
          </w:p>
        </w:tc>
      </w:tr>
      <w:tr w14:paraId="1DB33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15EA1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玉塘街道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ED6D4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30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mm或1小时雨量≥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40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70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F4B89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警民路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东长路外环高速长圳入口等地势低洼区域有积水（内涝）风险。</w:t>
            </w:r>
          </w:p>
        </w:tc>
      </w:tr>
      <w:tr w14:paraId="4B841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19253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bidi="ar"/>
              </w:rPr>
              <w:t>新湖街道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1B91A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30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mm或1小时雨量≥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45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mm或3小时雨量≥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val="en-US" w:eastAsia="zh-CN" w:bidi="ar"/>
              </w:rPr>
              <w:t>75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E32F8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圳美同富裕工业区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绘猫路与楼村一巷交汇处、康弘路新陂头牛场桥头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易积水；第二职业技术学校旁广深港高铁桥底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有积水（内涝）风险</w:t>
            </w: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。</w:t>
            </w:r>
          </w:p>
        </w:tc>
      </w:tr>
    </w:tbl>
    <w:p w14:paraId="0A8575EA">
      <w:pPr>
        <w:rPr>
          <w:color w:val="auto"/>
        </w:rPr>
      </w:pPr>
      <w:r>
        <w:rPr>
          <w:rFonts w:hint="eastAsia"/>
          <w:color w:val="auto"/>
        </w:rPr>
        <w:t xml:space="preserve">  </w:t>
      </w:r>
    </w:p>
    <w:p w14:paraId="267F54CC">
      <w:pPr>
        <w:spacing w:after="120"/>
        <w:rPr>
          <w:color w:val="auto"/>
          <w:kern w:val="0"/>
          <w:szCs w:val="20"/>
        </w:rPr>
      </w:pPr>
    </w:p>
    <w:p w14:paraId="1FDE0144">
      <w:pPr>
        <w:spacing w:after="120"/>
        <w:rPr>
          <w:color w:val="auto"/>
          <w:kern w:val="0"/>
          <w:szCs w:val="20"/>
        </w:rPr>
      </w:pPr>
    </w:p>
    <w:p w14:paraId="5A77DB22">
      <w:pPr>
        <w:pStyle w:val="2"/>
        <w:rPr>
          <w:color w:val="auto"/>
        </w:rPr>
      </w:pPr>
    </w:p>
    <w:p w14:paraId="75F738D6">
      <w:pPr>
        <w:pStyle w:val="2"/>
        <w:rPr>
          <w:color w:val="auto"/>
        </w:rPr>
      </w:pPr>
    </w:p>
    <w:p w14:paraId="6E905E63">
      <w:pPr>
        <w:pStyle w:val="2"/>
        <w:rPr>
          <w:color w:val="auto"/>
        </w:rPr>
      </w:pPr>
    </w:p>
    <w:p w14:paraId="5AE7F56F">
      <w:pPr>
        <w:spacing w:after="120"/>
        <w:rPr>
          <w:color w:val="auto"/>
          <w:kern w:val="0"/>
          <w:szCs w:val="20"/>
        </w:rPr>
      </w:pPr>
    </w:p>
    <w:p w14:paraId="4577D2AA">
      <w:pPr>
        <w:spacing w:after="120"/>
        <w:rPr>
          <w:color w:val="auto"/>
          <w:kern w:val="0"/>
          <w:szCs w:val="20"/>
        </w:rPr>
      </w:pPr>
    </w:p>
    <w:p w14:paraId="71296E94">
      <w:pPr>
        <w:spacing w:after="120"/>
        <w:rPr>
          <w:rFonts w:hint="eastAsia"/>
          <w:color w:val="auto"/>
          <w:szCs w:val="20"/>
        </w:rPr>
      </w:pPr>
    </w:p>
    <w:p w14:paraId="32033B9D">
      <w:pPr>
        <w:spacing w:after="120"/>
        <w:rPr>
          <w:color w:val="auto"/>
          <w:kern w:val="0"/>
          <w:szCs w:val="20"/>
        </w:rPr>
      </w:pPr>
    </w:p>
    <w:p w14:paraId="72AC8755">
      <w:pPr>
        <w:jc w:val="center"/>
        <w:rPr>
          <w:rFonts w:ascii="黑体" w:hAnsi="黑体" w:eastAsia="黑体"/>
          <w:color w:val="auto"/>
          <w:sz w:val="32"/>
          <w:szCs w:val="32"/>
        </w:rPr>
      </w:pPr>
      <w:r>
        <w:rPr>
          <w:rFonts w:ascii="黑体" w:hAnsi="黑体" w:eastAsia="黑体"/>
          <w:color w:val="auto"/>
          <w:sz w:val="32"/>
          <w:szCs w:val="32"/>
        </w:rPr>
        <w:t xml:space="preserve">10 </w:t>
      </w:r>
      <w:r>
        <w:rPr>
          <w:rFonts w:hint="eastAsia" w:ascii="黑体" w:hAnsi="黑体" w:eastAsia="黑体"/>
          <w:color w:val="auto"/>
          <w:sz w:val="32"/>
          <w:szCs w:val="32"/>
        </w:rPr>
        <w:t>大鹏新区</w:t>
      </w:r>
    </w:p>
    <w:tbl>
      <w:tblPr>
        <w:tblStyle w:val="3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5774"/>
        <w:gridCol w:w="6299"/>
      </w:tblGrid>
      <w:tr w14:paraId="2C2C0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8F90F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51D01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降雨阈值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93B9B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风险提示</w:t>
            </w:r>
          </w:p>
        </w:tc>
      </w:tr>
      <w:tr w14:paraId="3A99E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ABDF6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葵涌街道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5E892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半小时雨量≥40mm或1小时雨量≥55mm或3小时雨量≥90mm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56FFC">
            <w:pPr>
              <w:snapToGrid w:val="0"/>
              <w:rPr>
                <w:rFonts w:ascii="仿宋_GB2312" w:hAnsi="Times New Roman" w:eastAsia="仿宋_GB2312"/>
                <w:color w:val="auto"/>
                <w:sz w:val="22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 w:val="22"/>
                <w:szCs w:val="21"/>
              </w:rPr>
              <w:t>虎地排易积水</w:t>
            </w:r>
            <w:r>
              <w:rPr>
                <w:rFonts w:ascii="仿宋_GB2312" w:hAnsi="Times New Roman" w:eastAsia="仿宋_GB2312"/>
                <w:color w:val="auto"/>
                <w:kern w:val="0"/>
                <w:sz w:val="22"/>
                <w:szCs w:val="21"/>
                <w:lang w:val="en"/>
              </w:rPr>
              <w:t>。</w:t>
            </w:r>
          </w:p>
        </w:tc>
      </w:tr>
      <w:tr w14:paraId="16A73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70CAC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大鹏街道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DFC91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半小时雨量≥45mm或1小时雨量≥65mm或3小时雨量≥105mm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88FAF">
            <w:pPr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葵南路第一工业区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eastAsia="zh-CN"/>
              </w:rPr>
              <w:t>、大鹏第四工业区28栋、水头村、西门新街</w:t>
            </w: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易积水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val="en"/>
              </w:rPr>
              <w:t>。</w:t>
            </w:r>
          </w:p>
        </w:tc>
      </w:tr>
      <w:tr w14:paraId="13EAF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47D4E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南澳街道</w:t>
            </w:r>
          </w:p>
        </w:tc>
        <w:tc>
          <w:tcPr>
            <w:tcW w:w="21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28ACE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半小时雨量≥45mm或1小时雨量≥65mm或3小时雨量≥105mm</w:t>
            </w:r>
          </w:p>
        </w:tc>
        <w:tc>
          <w:tcPr>
            <w:tcW w:w="2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8F740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</w:rPr>
              <w:t>地势低洼区域易积水</w:t>
            </w:r>
            <w:r>
              <w:rPr>
                <w:rFonts w:ascii="仿宋_GB2312" w:hAnsi="Times New Roman" w:eastAsia="仿宋_GB2312"/>
                <w:color w:val="auto"/>
                <w:kern w:val="0"/>
                <w:szCs w:val="21"/>
                <w:lang w:val="en"/>
              </w:rPr>
              <w:t>。</w:t>
            </w:r>
          </w:p>
        </w:tc>
      </w:tr>
    </w:tbl>
    <w:p w14:paraId="2FBD3C7F">
      <w:pPr>
        <w:spacing w:after="120"/>
        <w:rPr>
          <w:color w:val="auto"/>
          <w:kern w:val="0"/>
          <w:szCs w:val="20"/>
        </w:rPr>
      </w:pPr>
    </w:p>
    <w:p w14:paraId="7C800E58">
      <w:pPr>
        <w:spacing w:after="120"/>
        <w:rPr>
          <w:color w:val="auto"/>
          <w:kern w:val="0"/>
          <w:szCs w:val="20"/>
        </w:rPr>
      </w:pPr>
    </w:p>
    <w:p w14:paraId="75DBAC0E">
      <w:pPr>
        <w:spacing w:after="120"/>
        <w:rPr>
          <w:color w:val="auto"/>
          <w:kern w:val="0"/>
          <w:szCs w:val="20"/>
        </w:rPr>
      </w:pPr>
    </w:p>
    <w:p w14:paraId="540BEDC9">
      <w:pPr>
        <w:spacing w:after="120"/>
        <w:rPr>
          <w:color w:val="auto"/>
          <w:kern w:val="0"/>
          <w:szCs w:val="20"/>
        </w:rPr>
      </w:pPr>
    </w:p>
    <w:p w14:paraId="139884FE">
      <w:pPr>
        <w:spacing w:after="120"/>
        <w:rPr>
          <w:color w:val="auto"/>
          <w:kern w:val="0"/>
          <w:szCs w:val="20"/>
        </w:rPr>
      </w:pPr>
    </w:p>
    <w:p w14:paraId="639EFA38">
      <w:pPr>
        <w:spacing w:after="120"/>
        <w:rPr>
          <w:color w:val="auto"/>
          <w:kern w:val="0"/>
          <w:szCs w:val="20"/>
        </w:rPr>
      </w:pPr>
    </w:p>
    <w:p w14:paraId="46B72EF3">
      <w:pPr>
        <w:spacing w:after="120"/>
        <w:rPr>
          <w:color w:val="auto"/>
          <w:kern w:val="0"/>
          <w:szCs w:val="20"/>
        </w:rPr>
      </w:pPr>
    </w:p>
    <w:p w14:paraId="7BD3F9A2">
      <w:pPr>
        <w:spacing w:after="120"/>
        <w:rPr>
          <w:color w:val="auto"/>
          <w:kern w:val="0"/>
          <w:szCs w:val="20"/>
        </w:rPr>
      </w:pPr>
    </w:p>
    <w:p w14:paraId="5E6A514F">
      <w:pPr>
        <w:spacing w:after="120"/>
        <w:rPr>
          <w:color w:val="auto"/>
          <w:kern w:val="0"/>
          <w:szCs w:val="20"/>
        </w:rPr>
      </w:pPr>
    </w:p>
    <w:p w14:paraId="311935FD">
      <w:pPr>
        <w:spacing w:after="120"/>
        <w:rPr>
          <w:color w:val="auto"/>
          <w:kern w:val="0"/>
          <w:szCs w:val="20"/>
        </w:rPr>
      </w:pPr>
    </w:p>
    <w:p w14:paraId="49BEBE06">
      <w:pPr>
        <w:spacing w:after="120"/>
        <w:rPr>
          <w:color w:val="auto"/>
          <w:kern w:val="0"/>
          <w:szCs w:val="20"/>
        </w:rPr>
      </w:pPr>
    </w:p>
    <w:p w14:paraId="26158DE2">
      <w:pPr>
        <w:spacing w:after="120"/>
        <w:rPr>
          <w:color w:val="auto"/>
          <w:kern w:val="0"/>
          <w:szCs w:val="20"/>
        </w:rPr>
      </w:pPr>
    </w:p>
    <w:p w14:paraId="45D12BEC">
      <w:pPr>
        <w:spacing w:after="120"/>
        <w:rPr>
          <w:color w:val="auto"/>
          <w:kern w:val="0"/>
          <w:szCs w:val="20"/>
        </w:rPr>
      </w:pPr>
    </w:p>
    <w:p w14:paraId="126238F5">
      <w:pPr>
        <w:spacing w:after="120"/>
        <w:rPr>
          <w:color w:val="auto"/>
          <w:kern w:val="0"/>
          <w:szCs w:val="20"/>
        </w:rPr>
      </w:pPr>
    </w:p>
    <w:p w14:paraId="5108A5E3">
      <w:pPr>
        <w:jc w:val="center"/>
        <w:outlineLvl w:val="0"/>
        <w:rPr>
          <w:rFonts w:ascii="黑体" w:hAnsi="黑体" w:eastAsia="黑体"/>
          <w:color w:val="auto"/>
          <w:kern w:val="0"/>
          <w:sz w:val="32"/>
          <w:szCs w:val="32"/>
        </w:rPr>
      </w:pPr>
      <w:r>
        <w:rPr>
          <w:rFonts w:ascii="黑体" w:hAnsi="黑体" w:eastAsia="黑体"/>
          <w:color w:val="auto"/>
          <w:kern w:val="0"/>
          <w:sz w:val="32"/>
          <w:szCs w:val="32"/>
        </w:rPr>
        <w:t xml:space="preserve">11 </w:t>
      </w:r>
      <w:r>
        <w:rPr>
          <w:rFonts w:hint="eastAsia" w:ascii="黑体" w:hAnsi="黑体" w:eastAsia="黑体"/>
          <w:color w:val="auto"/>
          <w:kern w:val="0"/>
          <w:sz w:val="32"/>
          <w:szCs w:val="32"/>
        </w:rPr>
        <w:t>深汕特别合作区</w:t>
      </w:r>
    </w:p>
    <w:tbl>
      <w:tblPr>
        <w:tblStyle w:val="3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5728"/>
        <w:gridCol w:w="6345"/>
      </w:tblGrid>
      <w:tr w14:paraId="6AF6C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57BCF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街道</w:t>
            </w:r>
          </w:p>
        </w:tc>
        <w:tc>
          <w:tcPr>
            <w:tcW w:w="21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AE31E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降雨阈值</w:t>
            </w:r>
          </w:p>
        </w:tc>
        <w:tc>
          <w:tcPr>
            <w:tcW w:w="2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790D6">
            <w:pPr>
              <w:widowControl/>
              <w:snapToGrid w:val="0"/>
              <w:jc w:val="center"/>
              <w:rPr>
                <w:rFonts w:ascii="仿宋_GB2312" w:hAnsi="Times New Roman" w:eastAsia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Times New Roman" w:eastAsia="仿宋_GB2312"/>
                <w:b/>
                <w:color w:val="auto"/>
                <w:kern w:val="0"/>
                <w:sz w:val="24"/>
                <w:lang w:bidi="ar"/>
              </w:rPr>
              <w:t>风险提示</w:t>
            </w:r>
          </w:p>
        </w:tc>
      </w:tr>
      <w:tr w14:paraId="7847F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428C1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赤石镇</w:t>
            </w:r>
          </w:p>
        </w:tc>
        <w:tc>
          <w:tcPr>
            <w:tcW w:w="21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0D2E2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1小时雨量≥45mm或3小时雨量≥70mm</w:t>
            </w:r>
          </w:p>
        </w:tc>
        <w:tc>
          <w:tcPr>
            <w:tcW w:w="2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1CFCF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地势低洼地段易积水。</w:t>
            </w:r>
          </w:p>
        </w:tc>
      </w:tr>
      <w:tr w14:paraId="70DFB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D3E70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鹅埠镇</w:t>
            </w:r>
          </w:p>
        </w:tc>
        <w:tc>
          <w:tcPr>
            <w:tcW w:w="21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342E1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kern w:val="0"/>
                <w:szCs w:val="21"/>
                <w:lang w:bidi="ar"/>
              </w:rPr>
              <w:t>1小时雨量≥50mm或3小时雨量≥85mm</w:t>
            </w:r>
          </w:p>
        </w:tc>
        <w:tc>
          <w:tcPr>
            <w:tcW w:w="2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826AE">
            <w:pPr>
              <w:widowControl/>
              <w:snapToGrid w:val="0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</w:rPr>
              <w:t>大水田、杨安村有积水（内涝）风险</w:t>
            </w:r>
            <w:r>
              <w:rPr>
                <w:rFonts w:ascii="仿宋_GB2312" w:hAnsi="Times New Roman" w:eastAsia="仿宋_GB2312"/>
                <w:color w:val="auto"/>
                <w:szCs w:val="21"/>
                <w:lang w:val="en"/>
              </w:rPr>
              <w:t>。</w:t>
            </w:r>
          </w:p>
        </w:tc>
      </w:tr>
      <w:tr w14:paraId="3F2AC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82702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Cs w:val="21"/>
                <w:lang w:bidi="ar"/>
              </w:rPr>
              <w:t>小漠镇</w:t>
            </w:r>
          </w:p>
        </w:tc>
        <w:tc>
          <w:tcPr>
            <w:tcW w:w="21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28437">
            <w:pPr>
              <w:widowControl/>
              <w:snapToGrid w:val="0"/>
              <w:rPr>
                <w:rFonts w:ascii="仿宋_GB2312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Cs w:val="21"/>
                <w:lang w:bidi="ar"/>
              </w:rPr>
              <w:t>1小时雨量≥55mm或3小时雨量≥85mm</w:t>
            </w:r>
          </w:p>
        </w:tc>
        <w:tc>
          <w:tcPr>
            <w:tcW w:w="2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E78A6">
            <w:pPr>
              <w:widowControl/>
              <w:snapToGrid w:val="0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大围村、元宵围村易积水</w:t>
            </w:r>
            <w:r>
              <w:rPr>
                <w:rFonts w:ascii="仿宋_GB2312" w:hAnsi="Times New Roman" w:eastAsia="仿宋_GB2312"/>
                <w:color w:val="000000"/>
                <w:szCs w:val="21"/>
                <w:lang w:val="en"/>
              </w:rPr>
              <w:t>。</w:t>
            </w:r>
          </w:p>
        </w:tc>
      </w:tr>
      <w:tr w14:paraId="5B4F2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1ACB0">
            <w:pPr>
              <w:widowControl/>
              <w:snapToGrid w:val="0"/>
              <w:jc w:val="center"/>
              <w:rPr>
                <w:rFonts w:ascii="仿宋_GB2312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bidi="ar"/>
              </w:rPr>
              <w:t>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门镇</w:t>
            </w:r>
          </w:p>
        </w:tc>
        <w:tc>
          <w:tcPr>
            <w:tcW w:w="21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CDED8">
            <w:pPr>
              <w:widowControl/>
              <w:snapToGrid w:val="0"/>
              <w:rPr>
                <w:rFonts w:ascii="仿宋_GB2312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Cs w:val="21"/>
                <w:lang w:bidi="ar"/>
              </w:rPr>
              <w:t>1小时雨量≥50mm或3小时雨量≥85mm</w:t>
            </w:r>
          </w:p>
        </w:tc>
        <w:tc>
          <w:tcPr>
            <w:tcW w:w="2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17EFC">
            <w:pPr>
              <w:widowControl/>
              <w:snapToGrid w:val="0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港尾易积水；驷马岭村、新径村有积水（内涝）风险</w:t>
            </w:r>
            <w:r>
              <w:rPr>
                <w:rFonts w:ascii="仿宋_GB2312" w:hAnsi="Times New Roman" w:eastAsia="仿宋_GB2312"/>
                <w:color w:val="000000"/>
                <w:szCs w:val="21"/>
                <w:lang w:val="en"/>
              </w:rPr>
              <w:t>。</w:t>
            </w:r>
          </w:p>
        </w:tc>
      </w:tr>
    </w:tbl>
    <w:p w14:paraId="7D6232C2">
      <w:pPr>
        <w:ind w:firstLine="420" w:firstLineChars="200"/>
        <w:rPr>
          <w:rFonts w:ascii="仿宋_GB2312" w:hAnsi="宋体" w:eastAsia="仿宋_GB2312" w:cs="微软雅黑"/>
          <w:color w:val="000000"/>
          <w:szCs w:val="21"/>
        </w:rPr>
      </w:pPr>
    </w:p>
    <w:p w14:paraId="7BBBD5D6">
      <w:pPr>
        <w:ind w:firstLine="420" w:firstLineChars="200"/>
        <w:rPr>
          <w:rFonts w:ascii="仿宋_GB2312" w:hAnsi="宋体" w:eastAsia="仿宋_GB2312" w:cs="微软雅黑"/>
          <w:color w:val="000000"/>
          <w:szCs w:val="21"/>
        </w:rPr>
      </w:pPr>
      <w:r>
        <w:rPr>
          <w:rFonts w:hint="eastAsia" w:ascii="仿宋_GB2312" w:hAnsi="宋体" w:eastAsia="仿宋_GB2312" w:cs="微软雅黑"/>
          <w:color w:val="000000"/>
          <w:szCs w:val="21"/>
        </w:rPr>
        <w:t>说明：“易积水”表示上述降雨阈值下近两年出现过积水（内涝）；“有积水（内涝）风险”表示1小时90毫米降雨工况下数值模型模拟出现积水（内涝）；</w:t>
      </w:r>
    </w:p>
    <w:p w14:paraId="08405751">
      <w:pPr>
        <w:ind w:firstLine="420" w:firstLineChars="200"/>
        <w:rPr>
          <w:rFonts w:ascii="仿宋_GB2312" w:hAnsi="宋体" w:eastAsia="仿宋_GB2312" w:cs="微软雅黑"/>
          <w:color w:val="000000"/>
          <w:szCs w:val="21"/>
        </w:rPr>
      </w:pPr>
      <w:r>
        <w:rPr>
          <w:rFonts w:hint="eastAsia" w:ascii="仿宋_GB2312" w:hAnsi="宋体" w:eastAsia="仿宋_GB2312" w:cs="微软雅黑"/>
          <w:color w:val="000000"/>
          <w:szCs w:val="21"/>
          <w:lang w:val="en"/>
        </w:rPr>
        <w:t>修改办法：选择</w:t>
      </w:r>
      <w:r>
        <w:rPr>
          <w:rFonts w:hint="eastAsia" w:ascii="仿宋_GB2312" w:hAnsi="宋体" w:eastAsia="仿宋_GB2312" w:cs="微软雅黑"/>
          <w:color w:val="000000"/>
          <w:szCs w:val="21"/>
        </w:rPr>
        <w:t>2</w:t>
      </w:r>
      <w:r>
        <w:rPr>
          <w:rFonts w:hint="eastAsia" w:ascii="仿宋_GB2312" w:hAnsi="宋体" w:eastAsia="仿宋_GB2312" w:cs="微软雅黑"/>
          <w:color w:val="000000"/>
          <w:szCs w:val="21"/>
          <w:lang w:val="en-US" w:eastAsia="zh-CN"/>
        </w:rPr>
        <w:t>2</w:t>
      </w:r>
      <w:r>
        <w:rPr>
          <w:rFonts w:hint="default" w:ascii="仿宋_GB2312" w:hAnsi="宋体" w:eastAsia="仿宋_GB2312" w:cs="微软雅黑"/>
          <w:color w:val="000000"/>
          <w:szCs w:val="21"/>
          <w:lang w:val="en-US" w:eastAsia="zh-CN"/>
        </w:rPr>
        <w:t>—</w:t>
      </w:r>
      <w:r>
        <w:rPr>
          <w:rFonts w:hint="eastAsia" w:ascii="仿宋_GB2312" w:hAnsi="宋体" w:eastAsia="仿宋_GB2312" w:cs="微软雅黑"/>
          <w:color w:val="000000"/>
          <w:szCs w:val="21"/>
        </w:rPr>
        <w:t>2</w:t>
      </w:r>
      <w:r>
        <w:rPr>
          <w:rFonts w:hint="eastAsia" w:ascii="仿宋_GB2312" w:hAnsi="宋体" w:eastAsia="仿宋_GB2312" w:cs="微软雅黑"/>
          <w:color w:val="000000"/>
          <w:szCs w:val="21"/>
          <w:lang w:val="en-US" w:eastAsia="zh-CN"/>
        </w:rPr>
        <w:t>3</w:t>
      </w:r>
      <w:r>
        <w:rPr>
          <w:rFonts w:hint="eastAsia" w:ascii="仿宋_GB2312" w:hAnsi="宋体" w:eastAsia="仿宋_GB2312" w:cs="微软雅黑"/>
          <w:color w:val="000000"/>
          <w:szCs w:val="21"/>
        </w:rPr>
        <w:t>年以及2</w:t>
      </w:r>
      <w:r>
        <w:rPr>
          <w:rFonts w:hint="eastAsia" w:ascii="仿宋_GB2312" w:hAnsi="宋体" w:eastAsia="仿宋_GB2312" w:cs="微软雅黑"/>
          <w:color w:val="000000"/>
          <w:szCs w:val="21"/>
          <w:lang w:val="en-US" w:eastAsia="zh-CN"/>
        </w:rPr>
        <w:t>4</w:t>
      </w:r>
      <w:r>
        <w:rPr>
          <w:rFonts w:hint="default" w:ascii="仿宋_GB2312" w:hAnsi="宋体" w:eastAsia="仿宋_GB2312" w:cs="微软雅黑"/>
          <w:color w:val="000000"/>
          <w:szCs w:val="21"/>
          <w:lang w:val="en-US" w:eastAsia="zh-CN"/>
        </w:rPr>
        <w:t>—</w:t>
      </w:r>
      <w:r>
        <w:rPr>
          <w:rFonts w:hint="eastAsia" w:ascii="仿宋_GB2312" w:hAnsi="宋体" w:eastAsia="仿宋_GB2312" w:cs="微软雅黑"/>
          <w:color w:val="000000"/>
          <w:szCs w:val="21"/>
        </w:rPr>
        <w:t>2</w:t>
      </w:r>
      <w:r>
        <w:rPr>
          <w:rFonts w:hint="eastAsia" w:ascii="仿宋_GB2312" w:hAnsi="宋体" w:eastAsia="仿宋_GB2312" w:cs="微软雅黑"/>
          <w:color w:val="000000"/>
          <w:szCs w:val="21"/>
          <w:lang w:val="en-US" w:eastAsia="zh-CN"/>
        </w:rPr>
        <w:t>5</w:t>
      </w:r>
      <w:r>
        <w:rPr>
          <w:rFonts w:hint="eastAsia" w:ascii="仿宋_GB2312" w:hAnsi="宋体" w:eastAsia="仿宋_GB2312" w:cs="微软雅黑"/>
          <w:color w:val="000000"/>
          <w:szCs w:val="21"/>
        </w:rPr>
        <w:t>年</w:t>
      </w:r>
      <w:r>
        <w:rPr>
          <w:rFonts w:hint="eastAsia" w:ascii="仿宋_GB2312" w:hAnsi="宋体" w:eastAsia="仿宋_GB2312" w:cs="微软雅黑"/>
          <w:color w:val="000000"/>
          <w:szCs w:val="21"/>
          <w:lang w:val="en"/>
        </w:rPr>
        <w:t>积涝发生时最近站点的最大</w:t>
      </w:r>
      <w:r>
        <w:rPr>
          <w:rFonts w:hint="eastAsia" w:ascii="仿宋_GB2312" w:hAnsi="宋体" w:eastAsia="仿宋_GB2312" w:cs="微软雅黑"/>
          <w:color w:val="000000"/>
          <w:szCs w:val="21"/>
        </w:rPr>
        <w:t>3小时雨量，得到各区不同时段积涝发生时的平均降水强度，比较两个时段的降水变化，并按比例对各区各街道的降水阈值进行修改。</w:t>
      </w:r>
    </w:p>
    <w:p w14:paraId="29D543A9">
      <w:pPr>
        <w:rPr>
          <w:rFonts w:ascii="黑体" w:hAnsi="宋体" w:eastAsia="黑体" w:cs="微软雅黑"/>
          <w:color w:val="000000"/>
          <w:sz w:val="32"/>
          <w:szCs w:val="32"/>
        </w:rPr>
      </w:pPr>
      <w:r>
        <w:rPr>
          <w:rFonts w:hint="eastAsia" w:ascii="黑体" w:hAnsi="宋体" w:eastAsia="黑体" w:cs="微软雅黑"/>
          <w:color w:val="000000"/>
          <w:sz w:val="32"/>
          <w:szCs w:val="32"/>
          <w:lang w:bidi="ar"/>
        </w:rPr>
        <w:br w:type="page"/>
      </w:r>
    </w:p>
    <w:p w14:paraId="4C6065EC">
      <w:pPr>
        <w:spacing w:line="560" w:lineRule="exact"/>
        <w:rPr>
          <w:rFonts w:hint="eastAsia" w:ascii="黑体" w:hAnsi="宋体" w:eastAsia="黑体" w:cs="微软雅黑"/>
          <w:color w:val="000000"/>
          <w:sz w:val="32"/>
          <w:szCs w:val="32"/>
        </w:rPr>
      </w:pPr>
      <w:r>
        <w:rPr>
          <w:rFonts w:hint="eastAsia" w:ascii="黑体" w:hAnsi="宋体" w:eastAsia="黑体" w:cs="微软雅黑"/>
          <w:color w:val="000000"/>
          <w:sz w:val="32"/>
          <w:szCs w:val="32"/>
          <w:lang w:bidi="ar"/>
        </w:rPr>
        <w:t>附件</w:t>
      </w:r>
      <w:r>
        <w:rPr>
          <w:rFonts w:hint="eastAsia" w:ascii="黑体" w:hAnsi="宋体" w:eastAsia="黑体" w:cs="微软雅黑"/>
          <w:color w:val="000000"/>
          <w:sz w:val="32"/>
          <w:szCs w:val="32"/>
          <w:lang w:val="en-US" w:eastAsia="zh-CN" w:bidi="ar"/>
        </w:rPr>
        <w:t>2</w:t>
      </w:r>
    </w:p>
    <w:p w14:paraId="7D29BB9A">
      <w:pPr>
        <w:pStyle w:val="2"/>
        <w:spacing w:after="0" w:line="64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深圳市暴雨风险阈值表</w:t>
      </w:r>
    </w:p>
    <w:p w14:paraId="168E230C">
      <w:pPr>
        <w:pStyle w:val="2"/>
        <w:spacing w:after="0"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深圳市气象局根据2018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年暴雨积水灾情数据，关联最近雨量站30分钟、1小时、3小时降水数据，从统计规律角度分析积水与降雨量数据的关联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并根据积水深度对市民生活出行的主要影响制作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此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表。深圳市积水暴雨风险阈值表共设置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个风险级别：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级风险、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级风险、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级风险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一级风险。其中，阈值为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深圳市各街道积水降雨阈值表中的各街道积水降雨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阈值，按照下表进行风险等级划分：</w:t>
      </w:r>
    </w:p>
    <w:tbl>
      <w:tblPr>
        <w:tblStyle w:val="32"/>
        <w:tblW w:w="134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125"/>
        <w:gridCol w:w="850"/>
        <w:gridCol w:w="2975"/>
        <w:gridCol w:w="1630"/>
        <w:gridCol w:w="2325"/>
        <w:gridCol w:w="3821"/>
      </w:tblGrid>
      <w:tr w14:paraId="7D374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28" w:type="dxa"/>
            <w:noWrap w:val="0"/>
            <w:vAlign w:val="center"/>
          </w:tcPr>
          <w:p w14:paraId="2816B7C4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125" w:type="dxa"/>
            <w:noWrap w:val="0"/>
            <w:vAlign w:val="center"/>
          </w:tcPr>
          <w:p w14:paraId="40329E39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b/>
                <w:bCs/>
                <w:color w:val="000000"/>
                <w:kern w:val="0"/>
                <w:szCs w:val="21"/>
                <w:lang w:bidi="ar"/>
              </w:rPr>
              <w:t>风险级别</w:t>
            </w:r>
          </w:p>
        </w:tc>
        <w:tc>
          <w:tcPr>
            <w:tcW w:w="850" w:type="dxa"/>
            <w:noWrap w:val="0"/>
            <w:vAlign w:val="center"/>
          </w:tcPr>
          <w:p w14:paraId="2E42D0E4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b/>
                <w:bCs/>
                <w:color w:val="000000"/>
                <w:kern w:val="0"/>
                <w:szCs w:val="21"/>
                <w:lang w:bidi="ar"/>
              </w:rPr>
              <w:t>提示色</w:t>
            </w:r>
          </w:p>
        </w:tc>
        <w:tc>
          <w:tcPr>
            <w:tcW w:w="2975" w:type="dxa"/>
            <w:noWrap w:val="0"/>
            <w:vAlign w:val="center"/>
          </w:tcPr>
          <w:p w14:paraId="0B855BB1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b/>
                <w:bCs/>
                <w:color w:val="000000"/>
                <w:kern w:val="0"/>
                <w:szCs w:val="21"/>
                <w:lang w:bidi="ar"/>
              </w:rPr>
              <w:t>阈值设置</w:t>
            </w:r>
          </w:p>
        </w:tc>
        <w:tc>
          <w:tcPr>
            <w:tcW w:w="1630" w:type="dxa"/>
            <w:noWrap w:val="0"/>
            <w:vAlign w:val="center"/>
          </w:tcPr>
          <w:p w14:paraId="25A270C0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b/>
                <w:bCs/>
                <w:color w:val="000000"/>
                <w:kern w:val="0"/>
                <w:szCs w:val="21"/>
                <w:lang w:bidi="ar"/>
              </w:rPr>
              <w:t>对应积水深度</w:t>
            </w:r>
          </w:p>
        </w:tc>
        <w:tc>
          <w:tcPr>
            <w:tcW w:w="2325" w:type="dxa"/>
            <w:noWrap w:val="0"/>
            <w:vAlign w:val="center"/>
          </w:tcPr>
          <w:p w14:paraId="65A7EDA8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hint="eastAsia" w:ascii="仿宋_GB2312" w:hAnsi="仿宋_GB2312" w:eastAsia="仿宋_GB2312" w:cs="微软雅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潜在影响</w:t>
            </w:r>
          </w:p>
        </w:tc>
        <w:tc>
          <w:tcPr>
            <w:tcW w:w="3821" w:type="dxa"/>
            <w:noWrap w:val="0"/>
            <w:vAlign w:val="center"/>
          </w:tcPr>
          <w:p w14:paraId="2053E521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hint="eastAsia" w:ascii="仿宋_GB2312" w:hAnsi="仿宋_GB2312" w:eastAsia="仿宋_GB2312" w:cs="微软雅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典型过程</w:t>
            </w:r>
          </w:p>
        </w:tc>
      </w:tr>
      <w:tr w14:paraId="15C0A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728" w:type="dxa"/>
            <w:noWrap w:val="0"/>
            <w:vAlign w:val="center"/>
          </w:tcPr>
          <w:p w14:paraId="7EA8EE1E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25" w:type="dxa"/>
            <w:noWrap w:val="0"/>
            <w:vAlign w:val="center"/>
          </w:tcPr>
          <w:p w14:paraId="743B1A21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val="en-US" w:eastAsia="zh-CN" w:bidi="ar"/>
              </w:rPr>
              <w:t>四</w:t>
            </w:r>
            <w:r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bidi="ar"/>
              </w:rPr>
              <w:t>级风险</w:t>
            </w:r>
          </w:p>
        </w:tc>
        <w:tc>
          <w:tcPr>
            <w:tcW w:w="850" w:type="dxa"/>
            <w:noWrap w:val="0"/>
            <w:vAlign w:val="center"/>
          </w:tcPr>
          <w:p w14:paraId="2D7EBBCB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bidi="ar"/>
              </w:rPr>
              <w:t>蓝色</w:t>
            </w:r>
          </w:p>
        </w:tc>
        <w:tc>
          <w:tcPr>
            <w:tcW w:w="2975" w:type="dxa"/>
            <w:noWrap w:val="0"/>
            <w:vAlign w:val="center"/>
          </w:tcPr>
          <w:p w14:paraId="17FE5F02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bidi="ar"/>
              </w:rPr>
              <w:t>阈值90%≤降雨量＜阈值120%</w:t>
            </w:r>
          </w:p>
        </w:tc>
        <w:tc>
          <w:tcPr>
            <w:tcW w:w="1630" w:type="dxa"/>
            <w:noWrap w:val="0"/>
            <w:vAlign w:val="center"/>
          </w:tcPr>
          <w:p w14:paraId="5AC84FF9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微软雅黑"/>
                <w:color w:val="000000"/>
                <w:szCs w:val="21"/>
              </w:rPr>
              <w:t>约0.05m</w:t>
            </w:r>
            <w:r>
              <w:rPr>
                <w:rFonts w:hint="eastAsia" w:ascii="仿宋_GB2312" w:hAnsi="宋体" w:eastAsia="仿宋_GB2312" w:cs="微软雅黑"/>
                <w:color w:val="000000"/>
                <w:szCs w:val="21"/>
                <w:lang w:eastAsia="zh-CN"/>
              </w:rPr>
              <w:t>—</w:t>
            </w:r>
            <w:r>
              <w:rPr>
                <w:rFonts w:hint="eastAsia" w:ascii="仿宋_GB2312" w:hAnsi="宋体" w:eastAsia="仿宋_GB2312" w:cs="微软雅黑"/>
                <w:color w:val="000000"/>
                <w:szCs w:val="21"/>
              </w:rPr>
              <w:t>0.15m</w:t>
            </w:r>
          </w:p>
        </w:tc>
        <w:tc>
          <w:tcPr>
            <w:tcW w:w="2325" w:type="dxa"/>
            <w:noWrap w:val="0"/>
            <w:vAlign w:val="center"/>
          </w:tcPr>
          <w:p w14:paraId="4ED023C6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微软雅黑"/>
                <w:color w:val="000000"/>
                <w:szCs w:val="21"/>
                <w:lang w:eastAsia="zh-CN"/>
              </w:rPr>
              <w:t>轻微影响行人通行</w:t>
            </w:r>
          </w:p>
        </w:tc>
        <w:tc>
          <w:tcPr>
            <w:tcW w:w="3821" w:type="dxa"/>
            <w:noWrap w:val="0"/>
            <w:vAlign w:val="center"/>
          </w:tcPr>
          <w:p w14:paraId="253FA9EA">
            <w:pPr>
              <w:widowControl/>
              <w:overflowPunct w:val="0"/>
              <w:autoSpaceDE w:val="0"/>
              <w:autoSpaceDN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微软雅黑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/</w:t>
            </w:r>
          </w:p>
        </w:tc>
      </w:tr>
      <w:tr w14:paraId="69198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8" w:type="dxa"/>
            <w:noWrap w:val="0"/>
            <w:vAlign w:val="center"/>
          </w:tcPr>
          <w:p w14:paraId="0D5AA574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25" w:type="dxa"/>
            <w:noWrap w:val="0"/>
            <w:vAlign w:val="center"/>
          </w:tcPr>
          <w:p w14:paraId="56049829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val="en-US" w:eastAsia="zh-CN" w:bidi="ar"/>
              </w:rPr>
              <w:t>三</w:t>
            </w:r>
            <w:r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bidi="ar"/>
              </w:rPr>
              <w:t>级风险</w:t>
            </w:r>
          </w:p>
        </w:tc>
        <w:tc>
          <w:tcPr>
            <w:tcW w:w="850" w:type="dxa"/>
            <w:noWrap w:val="0"/>
            <w:vAlign w:val="center"/>
          </w:tcPr>
          <w:p w14:paraId="08E3EAE9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bidi="ar"/>
              </w:rPr>
              <w:t>黄色</w:t>
            </w:r>
          </w:p>
        </w:tc>
        <w:tc>
          <w:tcPr>
            <w:tcW w:w="2975" w:type="dxa"/>
            <w:noWrap w:val="0"/>
            <w:vAlign w:val="center"/>
          </w:tcPr>
          <w:p w14:paraId="7B68003D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bidi="ar"/>
              </w:rPr>
              <w:t>阈值120%≤降雨量＜阈值150%</w:t>
            </w:r>
          </w:p>
        </w:tc>
        <w:tc>
          <w:tcPr>
            <w:tcW w:w="1630" w:type="dxa"/>
            <w:noWrap w:val="0"/>
            <w:vAlign w:val="center"/>
          </w:tcPr>
          <w:p w14:paraId="42F04C4F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微软雅黑"/>
                <w:color w:val="000000"/>
                <w:szCs w:val="21"/>
              </w:rPr>
              <w:t>约0.15m-0.</w:t>
            </w:r>
            <w:r>
              <w:rPr>
                <w:rFonts w:hint="eastAsia" w:ascii="仿宋_GB2312" w:hAnsi="宋体" w:eastAsia="仿宋_GB2312" w:cs="微软雅黑"/>
                <w:color w:val="000000"/>
                <w:szCs w:val="21"/>
                <w:lang w:val="en-US" w:eastAsia="zh-CN"/>
              </w:rPr>
              <w:t>27</w:t>
            </w:r>
            <w:r>
              <w:rPr>
                <w:rFonts w:hint="eastAsia" w:ascii="仿宋_GB2312" w:hAnsi="宋体" w:eastAsia="仿宋_GB2312" w:cs="微软雅黑"/>
                <w:color w:val="000000"/>
                <w:szCs w:val="21"/>
              </w:rPr>
              <w:t>m</w:t>
            </w:r>
          </w:p>
        </w:tc>
        <w:tc>
          <w:tcPr>
            <w:tcW w:w="2325" w:type="dxa"/>
            <w:noWrap w:val="0"/>
            <w:vAlign w:val="center"/>
          </w:tcPr>
          <w:p w14:paraId="0A91F0B2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微软雅黑"/>
                <w:color w:val="000000"/>
                <w:szCs w:val="21"/>
                <w:lang w:eastAsia="zh-CN"/>
              </w:rPr>
              <w:t>严重影响行人通行；轻微影响汽车通行</w:t>
            </w:r>
          </w:p>
        </w:tc>
        <w:tc>
          <w:tcPr>
            <w:tcW w:w="3821" w:type="dxa"/>
            <w:noWrap w:val="0"/>
            <w:vAlign w:val="center"/>
          </w:tcPr>
          <w:p w14:paraId="34054285">
            <w:pPr>
              <w:pStyle w:val="2"/>
              <w:keepNext w:val="0"/>
              <w:keepLines w:val="0"/>
              <w:pageBreakBefore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2024年“9</w:t>
            </w: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18”（排名3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）</w:t>
            </w:r>
          </w:p>
          <w:p w14:paraId="178E7B1D">
            <w:pPr>
              <w:pStyle w:val="2"/>
              <w:keepNext w:val="0"/>
              <w:keepLines w:val="0"/>
              <w:pageBreakBefore w:val="0"/>
              <w:widowControl/>
              <w:overflowPunct w:val="0"/>
              <w:autoSpaceDE w:val="0"/>
              <w:autoSpaceDN w:val="0"/>
              <w:snapToGrid w:val="0"/>
              <w:spacing w:line="240" w:lineRule="auto"/>
              <w:ind w:left="0" w:leftChars="0" w:right="0" w:rightChars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2023年“9</w:t>
            </w: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10”（排名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364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）</w:t>
            </w:r>
          </w:p>
        </w:tc>
      </w:tr>
      <w:tr w14:paraId="3CE8D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8" w:type="dxa"/>
            <w:noWrap w:val="0"/>
            <w:vAlign w:val="center"/>
          </w:tcPr>
          <w:p w14:paraId="4524983E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125" w:type="dxa"/>
            <w:noWrap w:val="0"/>
            <w:vAlign w:val="center"/>
          </w:tcPr>
          <w:p w14:paraId="48DD1196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val="en-US" w:eastAsia="zh-CN" w:bidi="ar"/>
              </w:rPr>
              <w:t>二</w:t>
            </w:r>
            <w:r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bidi="ar"/>
              </w:rPr>
              <w:t>级风险</w:t>
            </w:r>
          </w:p>
        </w:tc>
        <w:tc>
          <w:tcPr>
            <w:tcW w:w="850" w:type="dxa"/>
            <w:noWrap w:val="0"/>
            <w:vAlign w:val="center"/>
          </w:tcPr>
          <w:p w14:paraId="3645F9D9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bidi="ar"/>
              </w:rPr>
              <w:t>橙色</w:t>
            </w:r>
          </w:p>
        </w:tc>
        <w:tc>
          <w:tcPr>
            <w:tcW w:w="2975" w:type="dxa"/>
            <w:noWrap w:val="0"/>
            <w:vAlign w:val="center"/>
          </w:tcPr>
          <w:p w14:paraId="3F9C5D09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bidi="ar"/>
              </w:rPr>
              <w:t>阈值150%≤降雨量＜阈值200%</w:t>
            </w:r>
          </w:p>
        </w:tc>
        <w:tc>
          <w:tcPr>
            <w:tcW w:w="1630" w:type="dxa"/>
            <w:noWrap w:val="0"/>
            <w:vAlign w:val="center"/>
          </w:tcPr>
          <w:p w14:paraId="14BB1778">
            <w:pPr>
              <w:pStyle w:val="2"/>
              <w:overflowPunct w:val="0"/>
              <w:autoSpaceDE w:val="0"/>
              <w:autoSpaceDN w:val="0"/>
              <w:spacing w:after="0"/>
              <w:jc w:val="center"/>
              <w:rPr>
                <w:rFonts w:ascii="仿宋_GB2312" w:hAnsi="仿宋_GB2312" w:eastAsia="仿宋_GB2312" w:cs="微软雅黑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微软雅黑"/>
                <w:color w:val="000000"/>
                <w:kern w:val="2"/>
                <w:szCs w:val="21"/>
              </w:rPr>
              <w:t>约0.</w:t>
            </w:r>
            <w:r>
              <w:rPr>
                <w:rFonts w:hint="eastAsia" w:ascii="仿宋_GB2312" w:hAnsi="宋体" w:eastAsia="仿宋_GB2312" w:cs="微软雅黑"/>
                <w:color w:val="000000"/>
                <w:kern w:val="2"/>
                <w:szCs w:val="21"/>
                <w:lang w:val="en-US" w:eastAsia="zh-CN"/>
              </w:rPr>
              <w:t>27</w:t>
            </w:r>
            <w:r>
              <w:rPr>
                <w:rFonts w:hint="eastAsia" w:ascii="仿宋_GB2312" w:hAnsi="宋体" w:eastAsia="仿宋_GB2312" w:cs="微软雅黑"/>
                <w:color w:val="000000"/>
                <w:kern w:val="2"/>
                <w:szCs w:val="21"/>
              </w:rPr>
              <w:t>m-0.5m</w:t>
            </w:r>
          </w:p>
        </w:tc>
        <w:tc>
          <w:tcPr>
            <w:tcW w:w="2325" w:type="dxa"/>
            <w:noWrap w:val="0"/>
            <w:vAlign w:val="center"/>
          </w:tcPr>
          <w:p w14:paraId="56CE8A64">
            <w:pPr>
              <w:pStyle w:val="2"/>
              <w:overflowPunct w:val="0"/>
              <w:autoSpaceDE w:val="0"/>
              <w:autoSpaceDN w:val="0"/>
              <w:spacing w:after="0"/>
              <w:ind w:firstLine="0" w:firstLineChars="0"/>
              <w:jc w:val="center"/>
              <w:rPr>
                <w:rFonts w:ascii="仿宋_GB2312" w:hAnsi="仿宋_GB2312" w:eastAsia="仿宋_GB2312" w:cs="微软雅黑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微软雅黑"/>
                <w:color w:val="000000"/>
                <w:szCs w:val="21"/>
                <w:lang w:eastAsia="zh-CN"/>
              </w:rPr>
              <w:t>轻微影响汽车通行</w:t>
            </w:r>
            <w:r>
              <w:rPr>
                <w:rFonts w:hint="eastAsia" w:ascii="仿宋_GB2312" w:hAnsi="宋体" w:eastAsia="仿宋_GB2312" w:cs="微软雅黑"/>
                <w:color w:val="000000"/>
                <w:kern w:val="2"/>
                <w:szCs w:val="21"/>
              </w:rPr>
              <w:t>；行人有触电风险</w:t>
            </w:r>
          </w:p>
        </w:tc>
        <w:tc>
          <w:tcPr>
            <w:tcW w:w="3821" w:type="dxa"/>
            <w:noWrap w:val="0"/>
            <w:vAlign w:val="center"/>
          </w:tcPr>
          <w:p w14:paraId="7395072E">
            <w:pPr>
              <w:pStyle w:val="2"/>
              <w:keepNext w:val="0"/>
              <w:keepLines w:val="0"/>
              <w:pageBreakBefore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2023年“5</w:t>
            </w: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23”（排名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107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）</w:t>
            </w:r>
          </w:p>
          <w:p w14:paraId="2E5B4C60">
            <w:pPr>
              <w:pStyle w:val="2"/>
              <w:keepNext w:val="0"/>
              <w:keepLines w:val="0"/>
              <w:pageBreakBefore w:val="0"/>
              <w:overflowPunct w:val="0"/>
              <w:autoSpaceDE w:val="0"/>
              <w:autoSpaceDN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2024年“6</w:t>
            </w: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1”（排名2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，</w:t>
            </w:r>
          </w:p>
          <w:p w14:paraId="24DB01CB">
            <w:pPr>
              <w:pStyle w:val="2"/>
              <w:keepNext w:val="0"/>
              <w:keepLines w:val="0"/>
              <w:pageBreakBefore w:val="0"/>
              <w:overflowPunct w:val="0"/>
              <w:autoSpaceDE w:val="0"/>
              <w:autoSpaceDN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台风“马力斯”）</w:t>
            </w:r>
          </w:p>
        </w:tc>
      </w:tr>
      <w:tr w14:paraId="2FA6F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8" w:type="dxa"/>
            <w:noWrap w:val="0"/>
            <w:vAlign w:val="center"/>
          </w:tcPr>
          <w:p w14:paraId="59E3C3D3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125" w:type="dxa"/>
            <w:noWrap w:val="0"/>
            <w:vAlign w:val="center"/>
          </w:tcPr>
          <w:p w14:paraId="4AA0ACF5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val="en-US" w:eastAsia="zh-CN" w:bidi="ar"/>
              </w:rPr>
              <w:t>一</w:t>
            </w:r>
            <w:r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bidi="ar"/>
              </w:rPr>
              <w:t>级风险</w:t>
            </w:r>
          </w:p>
        </w:tc>
        <w:tc>
          <w:tcPr>
            <w:tcW w:w="850" w:type="dxa"/>
            <w:noWrap w:val="0"/>
            <w:vAlign w:val="center"/>
          </w:tcPr>
          <w:p w14:paraId="2B01163D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bidi="ar"/>
              </w:rPr>
              <w:t>红色</w:t>
            </w:r>
          </w:p>
        </w:tc>
        <w:tc>
          <w:tcPr>
            <w:tcW w:w="2975" w:type="dxa"/>
            <w:noWrap w:val="0"/>
            <w:vAlign w:val="center"/>
          </w:tcPr>
          <w:p w14:paraId="0C57ED09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bidi="ar"/>
              </w:rPr>
              <w:t>阈值200%≤降雨量</w:t>
            </w:r>
          </w:p>
        </w:tc>
        <w:tc>
          <w:tcPr>
            <w:tcW w:w="1630" w:type="dxa"/>
            <w:noWrap w:val="0"/>
            <w:vAlign w:val="center"/>
          </w:tcPr>
          <w:p w14:paraId="3D1BC6F6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微软雅黑"/>
                <w:color w:val="000000"/>
                <w:szCs w:val="21"/>
              </w:rPr>
              <w:t>约0.5m</w:t>
            </w:r>
            <w:r>
              <w:rPr>
                <w:rFonts w:hint="eastAsia" w:ascii="仿宋_GB2312" w:hAnsi="宋体" w:eastAsia="仿宋_GB2312" w:cs="微软雅黑"/>
                <w:color w:val="000000"/>
                <w:szCs w:val="21"/>
                <w:lang w:val="en-US" w:eastAsia="zh-CN"/>
              </w:rPr>
              <w:t>以上</w:t>
            </w:r>
          </w:p>
        </w:tc>
        <w:tc>
          <w:tcPr>
            <w:tcW w:w="2325" w:type="dxa"/>
            <w:noWrap w:val="0"/>
            <w:vAlign w:val="center"/>
          </w:tcPr>
          <w:p w14:paraId="482535F1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微软雅黑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eastAsia="zh-CN" w:bidi="ar"/>
              </w:rPr>
              <w:t>行人、</w:t>
            </w:r>
            <w:r>
              <w:rPr>
                <w:rFonts w:hint="eastAsia" w:ascii="仿宋_GB2312" w:hAnsi="宋体" w:eastAsia="仿宋_GB2312" w:cs="微软雅黑"/>
                <w:color w:val="000000"/>
                <w:szCs w:val="21"/>
              </w:rPr>
              <w:t>汽车不可通过；有</w:t>
            </w:r>
            <w:r>
              <w:rPr>
                <w:rFonts w:hint="eastAsia" w:ascii="仿宋_GB2312" w:hAnsi="宋体" w:eastAsia="仿宋_GB2312" w:cs="微软雅黑"/>
                <w:color w:val="000000"/>
                <w:szCs w:val="21"/>
                <w:lang w:val="en-US" w:eastAsia="zh-CN"/>
              </w:rPr>
              <w:t>触</w:t>
            </w:r>
            <w:r>
              <w:rPr>
                <w:rFonts w:hint="eastAsia" w:ascii="仿宋_GB2312" w:hAnsi="宋体" w:eastAsia="仿宋_GB2312" w:cs="微软雅黑"/>
                <w:color w:val="000000"/>
                <w:szCs w:val="21"/>
              </w:rPr>
              <w:t>电风险；地铁站</w:t>
            </w:r>
            <w:r>
              <w:rPr>
                <w:rFonts w:hint="eastAsia" w:ascii="仿宋_GB2312" w:hAnsi="宋体" w:eastAsia="仿宋_GB2312" w:cs="微软雅黑"/>
                <w:color w:val="000000"/>
                <w:szCs w:val="21"/>
                <w:lang w:eastAsia="zh-CN"/>
              </w:rPr>
              <w:t>可能</w:t>
            </w:r>
            <w:r>
              <w:rPr>
                <w:rFonts w:hint="eastAsia" w:ascii="仿宋_GB2312" w:hAnsi="宋体" w:eastAsia="仿宋_GB2312" w:cs="微软雅黑"/>
                <w:color w:val="000000"/>
                <w:szCs w:val="21"/>
              </w:rPr>
              <w:t>进水</w:t>
            </w:r>
            <w:r>
              <w:rPr>
                <w:rFonts w:hint="eastAsia" w:ascii="仿宋_GB2312" w:hAnsi="宋体" w:eastAsia="仿宋_GB2312" w:cs="微软雅黑"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微软雅黑"/>
                <w:color w:val="000000"/>
                <w:kern w:val="0"/>
                <w:szCs w:val="21"/>
                <w:lang w:eastAsia="zh-CN" w:bidi="ar"/>
              </w:rPr>
              <w:t>危及行人、汽车安全</w:t>
            </w:r>
          </w:p>
        </w:tc>
        <w:tc>
          <w:tcPr>
            <w:tcW w:w="3821" w:type="dxa"/>
            <w:noWrap w:val="0"/>
            <w:vAlign w:val="center"/>
          </w:tcPr>
          <w:p w14:paraId="6C3119A4">
            <w:pPr>
              <w:pStyle w:val="2"/>
              <w:keepNext w:val="0"/>
              <w:keepLines w:val="0"/>
              <w:pageBreakBefore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/>
              </w:rPr>
              <w:t>2025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年“8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5”（排名4）</w:t>
            </w:r>
          </w:p>
          <w:p w14:paraId="15A49EE0">
            <w:pPr>
              <w:pStyle w:val="2"/>
              <w:keepNext w:val="0"/>
              <w:keepLines w:val="0"/>
              <w:pageBreakBefore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2022年“5</w:t>
            </w: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12”（排名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）</w:t>
            </w:r>
          </w:p>
          <w:p w14:paraId="586A4E01">
            <w:pPr>
              <w:pStyle w:val="2"/>
              <w:keepNext w:val="0"/>
              <w:keepLines w:val="0"/>
              <w:pageBreakBefore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2024年“9</w:t>
            </w: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6”（排名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31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，</w:t>
            </w:r>
          </w:p>
          <w:p w14:paraId="10CC29CE">
            <w:pPr>
              <w:pStyle w:val="2"/>
              <w:keepNext w:val="0"/>
              <w:keepLines w:val="0"/>
              <w:pageBreakBefore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台风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摩羯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）</w:t>
            </w:r>
          </w:p>
          <w:p w14:paraId="62BFB799">
            <w:pPr>
              <w:pStyle w:val="2"/>
              <w:keepNext w:val="0"/>
              <w:keepLines w:val="0"/>
              <w:pageBreakBefore w:val="0"/>
              <w:overflowPunct w:val="0"/>
              <w:autoSpaceDE w:val="0"/>
              <w:autoSpaceDN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-SA"/>
              </w:rPr>
              <w:t>2021年“7</w:t>
            </w:r>
            <w:r>
              <w:rPr>
                <w:rFonts w:hint="default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-SA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-SA"/>
              </w:rPr>
              <w:t>20”（排名35）</w:t>
            </w:r>
          </w:p>
        </w:tc>
      </w:tr>
    </w:tbl>
    <w:p w14:paraId="3AB7527F">
      <w:pPr>
        <w:pStyle w:val="2"/>
        <w:spacing w:after="0"/>
        <w:ind w:firstLine="630" w:firstLineChars="300"/>
        <w:rPr>
          <w:rFonts w:ascii="仿宋_GB2312" w:hAnsi="宋体" w:eastAsia="仿宋_GB2312" w:cs="微软雅黑"/>
          <w:color w:val="000000"/>
          <w:kern w:val="2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szCs w:val="21"/>
        </w:rPr>
        <w:t>说明</w:t>
      </w:r>
      <w:r>
        <w:rPr>
          <w:rFonts w:hint="eastAsia" w:ascii="仿宋_GB2312" w:hAnsi="宋体" w:eastAsia="仿宋_GB2312" w:cs="微软雅黑"/>
          <w:color w:val="000000"/>
          <w:kern w:val="2"/>
          <w:szCs w:val="21"/>
        </w:rPr>
        <w:t>：表中数据仅从统计规律角度进行划分，供各级防灾责任人参考使用。</w:t>
      </w:r>
    </w:p>
    <w:p w14:paraId="71177CAB">
      <w:pPr>
        <w:pStyle w:val="2"/>
        <w:spacing w:after="0"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以半小时雨量阈值为例，若某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街道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半小时雨量阈值为50毫米，当半小时降雨超过50毫米时，该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街道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大概率会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生积涝。当半小时降雨为45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60毫米时，该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街道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存在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级风险；当半小时降雨为60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75毫米时，该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街道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存在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级风险；当半小时降雨为75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100毫米时，该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街道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存在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级风险；当半小时降雨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0毫米时，该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街道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存在一级风险。</w:t>
      </w:r>
    </w:p>
    <w:p w14:paraId="1198A3D0">
      <w:pPr>
        <w:pStyle w:val="2"/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暴雨风险阈值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/>
        </w:rPr>
        <w:t>包含半小时雨量、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1小时雨量和3小时雨量，若暴雨阈值风险级别划分出现相互交叉的情况，则以风险程度更高的级别作为最终判定的结果。如某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街道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半小时降雨阈值为50毫米，1小时降雨阈值为70毫米，当半小时降雨为90毫米时，按半小时降雨阈值划分则为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级风险，按1小时降雨阈值划分则为四级风险，此时风险级别判定以较高的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级风险为最终结果。</w:t>
      </w:r>
    </w:p>
    <w:p w14:paraId="6792AADD">
      <w:pPr>
        <w:pStyle w:val="2"/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市气象局、市水务局、市应急管理局根据附件1深圳市各街道积水降雨阈值表（2026年版）和深圳市暴雨风险阈值表制作了街道实时暴雨风险图（如下图）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本图反映实况雨量与街道暴雨阈值、风险等级对应关系，供各街道责任人参考。</w:t>
      </w:r>
    </w:p>
    <w:p w14:paraId="47B202A9">
      <w:r>
        <w:rPr>
          <w:rFonts w:hint="eastAsia" w:ascii="黑体" w:hAnsi="宋体" w:eastAsia="黑体" w:cs="微软雅黑"/>
          <w:color w:val="000000"/>
          <w:sz w:val="32"/>
          <w:szCs w:val="32"/>
          <w:lang w:bidi="ar"/>
        </w:rPr>
        <w:br w:type="page"/>
      </w:r>
    </w:p>
    <w:p w14:paraId="7F64B5D1">
      <w:pPr>
        <w:pStyle w:val="2"/>
        <w:spacing w:after="0"/>
        <w:ind w:firstLine="0" w:firstLineChars="0"/>
        <w:rPr>
          <w:rFonts w:hint="eastAsia" w:ascii="仿宋_GB2312" w:hAnsi="仿宋_GB2312" w:eastAsia="仿宋_GB2312" w:cs="仿宋_GB2312"/>
          <w:color w:val="000000"/>
          <w:szCs w:val="21"/>
        </w:rPr>
      </w:pPr>
      <w:r>
        <w:drawing>
          <wp:inline distT="0" distB="0" distL="0" distR="0">
            <wp:extent cx="8268335" cy="4336415"/>
            <wp:effectExtent l="0" t="0" r="18415" b="6985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68335" cy="433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6C5D8">
      <w:pPr>
        <w:pStyle w:val="2"/>
        <w:spacing w:after="0"/>
        <w:ind w:firstLine="630" w:firstLineChars="300"/>
        <w:rPr>
          <w:rFonts w:ascii="仿宋_GB2312" w:hAnsi="宋体" w:eastAsia="仿宋_GB2312" w:cs="微软雅黑"/>
          <w:color w:val="000000"/>
          <w:kern w:val="2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szCs w:val="21"/>
        </w:rPr>
        <w:t>说明</w:t>
      </w:r>
      <w:r>
        <w:rPr>
          <w:rFonts w:hint="eastAsia" w:ascii="仿宋_GB2312" w:hAnsi="宋体" w:eastAsia="仿宋_GB2312" w:cs="微软雅黑"/>
          <w:color w:val="000000"/>
          <w:kern w:val="2"/>
          <w:szCs w:val="21"/>
        </w:rPr>
        <w:t>：</w:t>
      </w:r>
      <w:r>
        <w:rPr>
          <w:rFonts w:hint="eastAsia" w:ascii="仿宋_GB2312" w:hAnsi="宋体" w:eastAsia="仿宋_GB2312" w:cs="微软雅黑"/>
          <w:color w:val="000000"/>
          <w:kern w:val="2"/>
          <w:szCs w:val="21"/>
          <w:lang w:val="en-US" w:eastAsia="zh-CN"/>
        </w:rPr>
        <w:t>本图以2023年9月7日23:30实况降雨</w:t>
      </w:r>
      <w:r>
        <w:rPr>
          <w:rFonts w:hint="eastAsia" w:ascii="仿宋_GB2312" w:hAnsi="宋体" w:eastAsia="仿宋_GB2312" w:cs="微软雅黑"/>
          <w:color w:val="000000"/>
          <w:kern w:val="2"/>
          <w:szCs w:val="21"/>
        </w:rPr>
        <w:t>数据</w:t>
      </w:r>
      <w:r>
        <w:rPr>
          <w:rFonts w:hint="eastAsia" w:ascii="仿宋_GB2312" w:hAnsi="宋体" w:eastAsia="仿宋_GB2312" w:cs="微软雅黑"/>
          <w:color w:val="000000"/>
          <w:kern w:val="2"/>
          <w:szCs w:val="21"/>
          <w:lang w:val="en-US" w:eastAsia="zh-CN"/>
        </w:rPr>
        <w:t>为例</w:t>
      </w:r>
      <w:r>
        <w:rPr>
          <w:rFonts w:hint="eastAsia" w:ascii="仿宋_GB2312" w:hAnsi="宋体" w:eastAsia="仿宋_GB2312" w:cs="微软雅黑"/>
          <w:color w:val="000000"/>
          <w:kern w:val="2"/>
          <w:szCs w:val="21"/>
        </w:rPr>
        <w:t>。</w:t>
      </w:r>
    </w:p>
    <w:p w14:paraId="7386C126">
      <w:pPr>
        <w:spacing w:after="0" w:line="640" w:lineRule="exact"/>
        <w:jc w:val="left"/>
        <w:rPr>
          <w:rFonts w:hint="eastAsia" w:ascii="黑体" w:hAnsi="宋体" w:eastAsia="黑体" w:cs="微软雅黑"/>
          <w:color w:val="000000"/>
          <w:sz w:val="32"/>
          <w:szCs w:val="32"/>
        </w:rPr>
      </w:pPr>
      <w:r>
        <w:rPr>
          <w:rFonts w:hint="eastAsia"/>
        </w:rPr>
        <w:br w:type="page"/>
      </w:r>
      <w:r>
        <w:rPr>
          <w:rFonts w:hint="eastAsia" w:ascii="黑体" w:hAnsi="宋体" w:eastAsia="黑体" w:cs="微软雅黑"/>
          <w:color w:val="000000"/>
          <w:sz w:val="32"/>
          <w:szCs w:val="32"/>
          <w:lang w:eastAsia="zh-CN" w:bidi="ar"/>
        </w:rPr>
        <w:t>附件</w:t>
      </w:r>
      <w:r>
        <w:rPr>
          <w:rFonts w:hint="eastAsia" w:ascii="黑体" w:hAnsi="宋体" w:eastAsia="黑体" w:cs="微软雅黑"/>
          <w:color w:val="000000"/>
          <w:sz w:val="32"/>
          <w:szCs w:val="32"/>
          <w:lang w:val="en-US" w:eastAsia="zh-CN" w:bidi="ar"/>
        </w:rPr>
        <w:t>3</w:t>
      </w:r>
    </w:p>
    <w:p w14:paraId="6E59A0D9">
      <w:pPr>
        <w:pStyle w:val="2"/>
        <w:spacing w:after="0" w:line="6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深圳市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大风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风险阈值表</w:t>
      </w:r>
    </w:p>
    <w:tbl>
      <w:tblPr>
        <w:tblStyle w:val="32"/>
        <w:tblpPr w:leftFromText="180" w:rightFromText="180" w:vertAnchor="text" w:horzAnchor="page" w:tblpX="1829" w:tblpY="632"/>
        <w:tblOverlap w:val="never"/>
        <w:tblW w:w="133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361"/>
        <w:gridCol w:w="1003"/>
        <w:gridCol w:w="2611"/>
        <w:gridCol w:w="4582"/>
        <w:gridCol w:w="3167"/>
      </w:tblGrid>
      <w:tr w14:paraId="030DE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675" w:type="dxa"/>
            <w:noWrap w:val="0"/>
            <w:vAlign w:val="center"/>
          </w:tcPr>
          <w:p w14:paraId="3848D086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361" w:type="dxa"/>
            <w:noWrap w:val="0"/>
            <w:vAlign w:val="center"/>
          </w:tcPr>
          <w:p w14:paraId="2B013D51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lang w:bidi="ar"/>
              </w:rPr>
              <w:t>风险级别</w:t>
            </w:r>
          </w:p>
        </w:tc>
        <w:tc>
          <w:tcPr>
            <w:tcW w:w="1003" w:type="dxa"/>
            <w:noWrap w:val="0"/>
            <w:vAlign w:val="center"/>
          </w:tcPr>
          <w:p w14:paraId="7520BEA2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lang w:bidi="ar"/>
              </w:rPr>
              <w:t>提示色</w:t>
            </w:r>
          </w:p>
        </w:tc>
        <w:tc>
          <w:tcPr>
            <w:tcW w:w="2611" w:type="dxa"/>
            <w:noWrap w:val="0"/>
            <w:vAlign w:val="center"/>
          </w:tcPr>
          <w:p w14:paraId="27CF6BDA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lang w:bidi="ar"/>
              </w:rPr>
              <w:t>阈值设置</w:t>
            </w:r>
          </w:p>
        </w:tc>
        <w:tc>
          <w:tcPr>
            <w:tcW w:w="4582" w:type="dxa"/>
            <w:noWrap w:val="0"/>
            <w:vAlign w:val="center"/>
          </w:tcPr>
          <w:p w14:paraId="3EE9317D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潜在影响</w:t>
            </w:r>
          </w:p>
        </w:tc>
        <w:tc>
          <w:tcPr>
            <w:tcW w:w="3167" w:type="dxa"/>
            <w:noWrap w:val="0"/>
            <w:vAlign w:val="center"/>
          </w:tcPr>
          <w:p w14:paraId="451221CC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Cs w:val="21"/>
                <w:lang w:val="en" w:eastAsia="zh-CN" w:bidi="ar"/>
              </w:rPr>
              <w:t>典型过程</w:t>
            </w:r>
          </w:p>
        </w:tc>
      </w:tr>
      <w:tr w14:paraId="4F829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675" w:type="dxa"/>
            <w:noWrap w:val="0"/>
            <w:vAlign w:val="center"/>
          </w:tcPr>
          <w:p w14:paraId="424764F2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361" w:type="dxa"/>
            <w:noWrap w:val="0"/>
            <w:vAlign w:val="center"/>
          </w:tcPr>
          <w:p w14:paraId="7A2227EB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五级风险</w:t>
            </w:r>
          </w:p>
        </w:tc>
        <w:tc>
          <w:tcPr>
            <w:tcW w:w="1003" w:type="dxa"/>
            <w:noWrap w:val="0"/>
            <w:vAlign w:val="center"/>
          </w:tcPr>
          <w:p w14:paraId="7FAFDD24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蓝色</w:t>
            </w:r>
          </w:p>
        </w:tc>
        <w:tc>
          <w:tcPr>
            <w:tcW w:w="2611" w:type="dxa"/>
            <w:noWrap w:val="0"/>
            <w:vAlign w:val="center"/>
          </w:tcPr>
          <w:p w14:paraId="31BD80F1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4级≤平均风＜6级，或</w:t>
            </w:r>
          </w:p>
          <w:p w14:paraId="4F64BC4B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6级≤阵风＜8级</w:t>
            </w:r>
          </w:p>
        </w:tc>
        <w:tc>
          <w:tcPr>
            <w:tcW w:w="4582" w:type="dxa"/>
            <w:noWrap w:val="0"/>
            <w:vAlign w:val="center"/>
          </w:tcPr>
          <w:p w14:paraId="39473832">
            <w:pPr>
              <w:widowControl/>
              <w:overflowPunct w:val="0"/>
              <w:autoSpaceDE w:val="0"/>
              <w:autoSpaceDN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高空物品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  <w:t>可能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吹落</w:t>
            </w:r>
          </w:p>
        </w:tc>
        <w:tc>
          <w:tcPr>
            <w:tcW w:w="3167" w:type="dxa"/>
            <w:noWrap w:val="0"/>
            <w:vAlign w:val="center"/>
          </w:tcPr>
          <w:p w14:paraId="5561428A">
            <w:pPr>
              <w:widowControl/>
              <w:overflowPunct w:val="0"/>
              <w:autoSpaceDE w:val="0"/>
              <w:autoSpaceDN w:val="0"/>
              <w:snapToGrid w:val="0"/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/</w:t>
            </w:r>
          </w:p>
        </w:tc>
      </w:tr>
      <w:tr w14:paraId="23B1D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675" w:type="dxa"/>
            <w:noWrap w:val="0"/>
            <w:vAlign w:val="center"/>
          </w:tcPr>
          <w:p w14:paraId="5710AFF8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61" w:type="dxa"/>
            <w:noWrap w:val="0"/>
            <w:vAlign w:val="center"/>
          </w:tcPr>
          <w:p w14:paraId="4E6413AD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四级风险</w:t>
            </w:r>
          </w:p>
        </w:tc>
        <w:tc>
          <w:tcPr>
            <w:tcW w:w="1003" w:type="dxa"/>
            <w:noWrap w:val="0"/>
            <w:vAlign w:val="center"/>
          </w:tcPr>
          <w:p w14:paraId="082B5324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黄色</w:t>
            </w:r>
          </w:p>
        </w:tc>
        <w:tc>
          <w:tcPr>
            <w:tcW w:w="2611" w:type="dxa"/>
            <w:noWrap w:val="0"/>
            <w:vAlign w:val="center"/>
          </w:tcPr>
          <w:p w14:paraId="1234148F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6级≤平均风＜8级，或</w:t>
            </w:r>
          </w:p>
          <w:p w14:paraId="0BFDF78E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8级≤阵风＜10级</w:t>
            </w:r>
          </w:p>
        </w:tc>
        <w:tc>
          <w:tcPr>
            <w:tcW w:w="4582" w:type="dxa"/>
            <w:noWrap w:val="0"/>
            <w:vAlign w:val="center"/>
          </w:tcPr>
          <w:p w14:paraId="56033DCD">
            <w:pPr>
              <w:keepNext w:val="0"/>
              <w:keepLines w:val="0"/>
              <w:pageBreakBefore w:val="0"/>
              <w:widowControl/>
              <w:overflowPunct w:val="0"/>
              <w:autoSpaceDE w:val="0"/>
              <w:autoSpaceDN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塔吊、堆体、施工现场大型设备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  <w:t>晃动；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高空、露天作业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  <w:t>受影响；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船舶、施工作业设备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晃动；行道树倒伏、广告牌掉落、损坏城市照明设施</w:t>
            </w:r>
          </w:p>
        </w:tc>
        <w:tc>
          <w:tcPr>
            <w:tcW w:w="3167" w:type="dxa"/>
            <w:noWrap w:val="0"/>
            <w:vAlign w:val="center"/>
          </w:tcPr>
          <w:p w14:paraId="7DB5770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overflowPunct w:val="0"/>
              <w:autoSpaceDE w:val="0"/>
              <w:autoSpaceDN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  <w:t>2402号台风“马力斯”（排名46）</w:t>
            </w:r>
          </w:p>
          <w:p w14:paraId="188A7C8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overflowPunct w:val="0"/>
              <w:autoSpaceDE w:val="0"/>
              <w:autoSpaceDN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  <w:t>2311号台风“海葵”（排名60）</w:t>
            </w:r>
          </w:p>
          <w:p w14:paraId="345FB1D4">
            <w:pPr>
              <w:keepNext w:val="0"/>
              <w:keepLines w:val="0"/>
              <w:pageBreakBefore w:val="0"/>
              <w:widowControl/>
              <w:shd w:val="clear" w:fill="auto"/>
              <w:overflowPunct w:val="0"/>
              <w:autoSpaceDE w:val="0"/>
              <w:autoSpaceDN w:val="0"/>
              <w:snapToGrid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1816号台风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 w:bidi="ar"/>
              </w:rPr>
              <w:t>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贝碧嘉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 w:bidi="ar"/>
              </w:rPr>
              <w:t>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（排名6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）</w:t>
            </w:r>
          </w:p>
        </w:tc>
      </w:tr>
      <w:tr w14:paraId="27DBE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675" w:type="dxa"/>
            <w:noWrap w:val="0"/>
            <w:vAlign w:val="center"/>
          </w:tcPr>
          <w:p w14:paraId="70000068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361" w:type="dxa"/>
            <w:noWrap w:val="0"/>
            <w:vAlign w:val="center"/>
          </w:tcPr>
          <w:p w14:paraId="26C63DD9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三级风险</w:t>
            </w:r>
          </w:p>
        </w:tc>
        <w:tc>
          <w:tcPr>
            <w:tcW w:w="1003" w:type="dxa"/>
            <w:noWrap w:val="0"/>
            <w:vAlign w:val="center"/>
          </w:tcPr>
          <w:p w14:paraId="02FB01EB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橙色</w:t>
            </w:r>
          </w:p>
        </w:tc>
        <w:tc>
          <w:tcPr>
            <w:tcW w:w="2611" w:type="dxa"/>
            <w:noWrap w:val="0"/>
            <w:vAlign w:val="center"/>
          </w:tcPr>
          <w:p w14:paraId="507AA9A5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8级≤平均风＜10级，或</w:t>
            </w:r>
          </w:p>
          <w:p w14:paraId="3D101BAF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10级≤阵风＜12级</w:t>
            </w:r>
          </w:p>
        </w:tc>
        <w:tc>
          <w:tcPr>
            <w:tcW w:w="4582" w:type="dxa"/>
            <w:noWrap w:val="0"/>
            <w:vAlign w:val="center"/>
          </w:tcPr>
          <w:p w14:paraId="06E9370E">
            <w:pPr>
              <w:pStyle w:val="2"/>
              <w:keepNext w:val="0"/>
              <w:keepLines w:val="0"/>
              <w:pageBreakBefore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 w:bidi="ar"/>
              </w:rPr>
              <w:t>影响汽车通行；供排水管网破损，影响水厂运行，风浪冲击堤岸设施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 w:bidi="ar"/>
              </w:rPr>
              <w:t>；影响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港口、码头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 w:bidi="ar"/>
              </w:rPr>
              <w:t>货物装卸和船舶停靠</w:t>
            </w:r>
          </w:p>
        </w:tc>
        <w:tc>
          <w:tcPr>
            <w:tcW w:w="3167" w:type="dxa"/>
            <w:noWrap w:val="0"/>
            <w:vAlign w:val="center"/>
          </w:tcPr>
          <w:p w14:paraId="070DDDA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overflowPunct w:val="0"/>
              <w:autoSpaceDE w:val="0"/>
              <w:autoSpaceDN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  <w:t>2118号台风“圆规”（排名19）</w:t>
            </w:r>
          </w:p>
          <w:p w14:paraId="4A6C206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overflowPunct w:val="0"/>
              <w:autoSpaceDE w:val="0"/>
              <w:autoSpaceDN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  <w:t>2304号台风“泰利”（排名24）</w:t>
            </w:r>
          </w:p>
          <w:p w14:paraId="083EF293">
            <w:pPr>
              <w:keepNext w:val="0"/>
              <w:keepLines w:val="0"/>
              <w:pageBreakBefore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  <w:t>2411号台风“摩羯”（排名25）</w:t>
            </w:r>
          </w:p>
        </w:tc>
      </w:tr>
      <w:tr w14:paraId="5A994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675" w:type="dxa"/>
            <w:noWrap w:val="0"/>
            <w:vAlign w:val="center"/>
          </w:tcPr>
          <w:p w14:paraId="6C8E15F2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361" w:type="dxa"/>
            <w:noWrap w:val="0"/>
            <w:vAlign w:val="center"/>
          </w:tcPr>
          <w:p w14:paraId="048A103F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二级风险</w:t>
            </w:r>
          </w:p>
        </w:tc>
        <w:tc>
          <w:tcPr>
            <w:tcW w:w="1003" w:type="dxa"/>
            <w:noWrap w:val="0"/>
            <w:vAlign w:val="center"/>
          </w:tcPr>
          <w:p w14:paraId="072D64F4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红色</w:t>
            </w:r>
          </w:p>
        </w:tc>
        <w:tc>
          <w:tcPr>
            <w:tcW w:w="2611" w:type="dxa"/>
            <w:noWrap w:val="0"/>
            <w:vAlign w:val="center"/>
          </w:tcPr>
          <w:p w14:paraId="472C15D0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10级≤平均风＜12级，或12级≤阵风＜14级</w:t>
            </w:r>
          </w:p>
        </w:tc>
        <w:tc>
          <w:tcPr>
            <w:tcW w:w="4582" w:type="dxa"/>
            <w:noWrap w:val="0"/>
            <w:vAlign w:val="center"/>
          </w:tcPr>
          <w:p w14:paraId="30A4A924">
            <w:pPr>
              <w:keepNext w:val="0"/>
              <w:keepLines w:val="0"/>
              <w:pageBreakBefore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影响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危化品生产、储存场所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，造成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泄漏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风险；影响地铁接触网，损坏地铁屏蔽门</w:t>
            </w:r>
          </w:p>
        </w:tc>
        <w:tc>
          <w:tcPr>
            <w:tcW w:w="3167" w:type="dxa"/>
            <w:noWrap w:val="0"/>
            <w:vAlign w:val="center"/>
          </w:tcPr>
          <w:p w14:paraId="5B41C1A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overflowPunct w:val="0"/>
              <w:autoSpaceDE w:val="0"/>
              <w:autoSpaceDN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  <w:t>2309号台风“苏拉”（排名6）</w:t>
            </w:r>
          </w:p>
          <w:p w14:paraId="68DFC26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overflowPunct w:val="0"/>
              <w:autoSpaceDE w:val="0"/>
              <w:autoSpaceDN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  <w:t>1713号台风“天鸽”（排名10）</w:t>
            </w:r>
          </w:p>
          <w:p w14:paraId="6FF858D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overflowPunct w:val="0"/>
              <w:autoSpaceDE w:val="0"/>
              <w:autoSpaceDN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  <w:t>1604号台风“妮妲”（排名11）</w:t>
            </w:r>
          </w:p>
          <w:p w14:paraId="51E4623E">
            <w:pPr>
              <w:keepNext w:val="0"/>
              <w:keepLines w:val="0"/>
              <w:pageBreakBefore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  <w:t>1319号台风“天兔”（排名13）</w:t>
            </w:r>
          </w:p>
        </w:tc>
      </w:tr>
      <w:tr w14:paraId="2FFCD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atLeast"/>
        </w:trPr>
        <w:tc>
          <w:tcPr>
            <w:tcW w:w="675" w:type="dxa"/>
            <w:noWrap w:val="0"/>
            <w:vAlign w:val="center"/>
          </w:tcPr>
          <w:p w14:paraId="3D04F49E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361" w:type="dxa"/>
            <w:noWrap w:val="0"/>
            <w:vAlign w:val="center"/>
          </w:tcPr>
          <w:p w14:paraId="3923C467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一级风险</w:t>
            </w:r>
          </w:p>
        </w:tc>
        <w:tc>
          <w:tcPr>
            <w:tcW w:w="1003" w:type="dxa"/>
            <w:noWrap w:val="0"/>
            <w:vAlign w:val="center"/>
          </w:tcPr>
          <w:p w14:paraId="40186A3C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紫色</w:t>
            </w:r>
          </w:p>
        </w:tc>
        <w:tc>
          <w:tcPr>
            <w:tcW w:w="2611" w:type="dxa"/>
            <w:noWrap w:val="0"/>
            <w:vAlign w:val="center"/>
          </w:tcPr>
          <w:p w14:paraId="2341C103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平均风≥12级，或</w:t>
            </w:r>
          </w:p>
          <w:p w14:paraId="2FF04B7D">
            <w:pPr>
              <w:widowControl/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阵风≥14级</w:t>
            </w:r>
          </w:p>
        </w:tc>
        <w:tc>
          <w:tcPr>
            <w:tcW w:w="4582" w:type="dxa"/>
            <w:noWrap w:val="0"/>
            <w:vAlign w:val="center"/>
          </w:tcPr>
          <w:p w14:paraId="6E90325B">
            <w:pPr>
              <w:keepNext w:val="0"/>
              <w:keepLines w:val="0"/>
              <w:widowControl/>
              <w:pBdr>
                <w:top w:val="none" w:color="auto" w:sz="0" w:space="0"/>
                <w:bottom w:val="none" w:color="auto" w:sz="0" w:space="0"/>
              </w:pBdr>
              <w:shd w:val="clear" w:fill="auto"/>
              <w:overflowPunct w:val="0"/>
              <w:autoSpaceDE w:val="0"/>
              <w:autoSpaceDN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  <w:t>破坏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船只、景区游乐设施等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  <w:t>；严重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影响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危化品生产、储存场所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，造成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泄漏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风险；刮倒杆塔、损坏基站天线，机房和一体化机柜盖板，导致通信中断或设备受损；</w:t>
            </w: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auto"/>
                <w:lang w:val="en-US" w:eastAsia="zh-CN" w:bidi="ar"/>
              </w:rPr>
              <w:t>刮倒风屏障、掀翻或损坏车站顶棚，危及人员安全和影响正常运营秩序</w:t>
            </w:r>
          </w:p>
        </w:tc>
        <w:tc>
          <w:tcPr>
            <w:tcW w:w="3167" w:type="dxa"/>
            <w:noWrap w:val="0"/>
            <w:vAlign w:val="center"/>
          </w:tcPr>
          <w:p w14:paraId="6DB6ECF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shd w:val="clear" w:fill="auto"/>
              <w:overflowPunct w:val="0"/>
              <w:autoSpaceDE w:val="0"/>
              <w:autoSpaceDN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  <w:t>1822号台风“山竹”（排名1）</w:t>
            </w:r>
          </w:p>
          <w:p w14:paraId="7F5C98E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shd w:val="clear" w:fill="auto"/>
              <w:overflowPunct w:val="0"/>
              <w:autoSpaceDE w:val="0"/>
              <w:autoSpaceDN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2518号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台风“桦加沙”（排名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）</w:t>
            </w:r>
          </w:p>
          <w:p w14:paraId="24F0ABA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shd w:val="clear" w:fill="auto"/>
              <w:overflowPunct w:val="0"/>
              <w:autoSpaceDE w:val="0"/>
              <w:autoSpaceDN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  <w:t>0906号台风“莫拉菲”（排名3）</w:t>
            </w:r>
          </w:p>
          <w:p w14:paraId="46820407">
            <w:pPr>
              <w:keepNext w:val="0"/>
              <w:keepLines w:val="0"/>
              <w:widowControl w:val="0"/>
              <w:pBdr>
                <w:top w:val="none" w:color="000000" w:sz="0" w:space="0"/>
                <w:bottom w:val="none" w:color="000000" w:sz="0" w:space="0"/>
              </w:pBdr>
              <w:shd w:val="clear" w:fill="auto"/>
              <w:overflowPunct w:val="0"/>
              <w:autoSpaceDE w:val="0"/>
              <w:autoSpaceDN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position w:val="0"/>
                <w:sz w:val="21"/>
                <w:szCs w:val="21"/>
                <w:lang w:val="en-US" w:eastAsia="zh-CN" w:bidi="ar"/>
              </w:rPr>
              <w:t>1208号台风“韦森特”（排名4）</w:t>
            </w:r>
          </w:p>
        </w:tc>
      </w:tr>
    </w:tbl>
    <w:p w14:paraId="4C25E781">
      <w:pPr>
        <w:rPr>
          <w:rFonts w:hint="eastAsia" w:ascii="仿宋_GB2312" w:hAnsi="仿宋_GB2312" w:eastAsia="仿宋_GB2312" w:cs="仿宋_GB2312"/>
          <w:color w:val="000000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szCs w:val="21"/>
        </w:rPr>
        <w:br w:type="page"/>
      </w:r>
    </w:p>
    <w:p w14:paraId="435C83A8">
      <w:pPr>
        <w:pStyle w:val="2"/>
        <w:spacing w:after="0" w:line="560" w:lineRule="exact"/>
        <w:rPr>
          <w:rFonts w:hint="eastAsia" w:ascii="黑体" w:hAnsi="宋体" w:eastAsia="黑体" w:cs="微软雅黑"/>
          <w:color w:val="000000"/>
          <w:sz w:val="32"/>
          <w:szCs w:val="32"/>
        </w:rPr>
      </w:pPr>
      <w:r>
        <w:rPr>
          <w:rFonts w:hint="eastAsia" w:ascii="黑体" w:hAnsi="宋体" w:eastAsia="黑体" w:cs="微软雅黑"/>
          <w:color w:val="000000"/>
          <w:sz w:val="32"/>
          <w:szCs w:val="32"/>
          <w:lang w:bidi="ar"/>
        </w:rPr>
        <w:t>附件</w:t>
      </w:r>
      <w:r>
        <w:rPr>
          <w:rFonts w:hint="eastAsia" w:ascii="黑体" w:hAnsi="宋体" w:eastAsia="黑体" w:cs="微软雅黑"/>
          <w:color w:val="000000"/>
          <w:sz w:val="32"/>
          <w:szCs w:val="32"/>
          <w:lang w:val="en-US" w:eastAsia="zh-CN" w:bidi="ar"/>
        </w:rPr>
        <w:t>4</w:t>
      </w:r>
    </w:p>
    <w:p w14:paraId="6915C355">
      <w:pPr>
        <w:pStyle w:val="2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深圳市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主要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气象灾害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影响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提示</w:t>
      </w:r>
    </w:p>
    <w:tbl>
      <w:tblPr>
        <w:tblStyle w:val="3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675"/>
        <w:gridCol w:w="1815"/>
        <w:gridCol w:w="10274"/>
      </w:tblGrid>
      <w:tr w14:paraId="32010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  <w:jc w:val="center"/>
        </w:trPr>
        <w:tc>
          <w:tcPr>
            <w:tcW w:w="690" w:type="dxa"/>
            <w:noWrap w:val="0"/>
            <w:vAlign w:val="center"/>
          </w:tcPr>
          <w:p w14:paraId="3D0FC0F9">
            <w:pPr>
              <w:jc w:val="center"/>
              <w:rPr>
                <w:rFonts w:ascii="仿宋_GB2312" w:hAnsi="仿宋_GB2312" w:eastAsia="仿宋_GB2312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黑体"/>
                <w:b/>
                <w:bCs/>
                <w:color w:val="000000"/>
                <w:szCs w:val="21"/>
              </w:rPr>
              <w:t>序号</w:t>
            </w:r>
          </w:p>
        </w:tc>
        <w:tc>
          <w:tcPr>
            <w:tcW w:w="675" w:type="dxa"/>
            <w:noWrap w:val="0"/>
            <w:vAlign w:val="center"/>
          </w:tcPr>
          <w:p w14:paraId="22474A19">
            <w:pPr>
              <w:jc w:val="center"/>
              <w:rPr>
                <w:rFonts w:ascii="仿宋_GB2312" w:hAnsi="仿宋_GB2312" w:eastAsia="仿宋_GB2312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黑体"/>
                <w:b/>
                <w:bCs/>
                <w:color w:val="000000"/>
                <w:szCs w:val="21"/>
              </w:rPr>
              <w:t>灾种</w:t>
            </w:r>
          </w:p>
        </w:tc>
        <w:tc>
          <w:tcPr>
            <w:tcW w:w="1815" w:type="dxa"/>
            <w:noWrap w:val="0"/>
            <w:vAlign w:val="center"/>
          </w:tcPr>
          <w:p w14:paraId="31AC194D">
            <w:pPr>
              <w:jc w:val="center"/>
              <w:rPr>
                <w:rFonts w:ascii="仿宋_GB2312" w:hAnsi="仿宋_GB2312" w:eastAsia="仿宋_GB2312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黑体"/>
                <w:b/>
                <w:bCs/>
                <w:color w:val="000000"/>
                <w:szCs w:val="21"/>
              </w:rPr>
              <w:t>影响行业（对象）</w:t>
            </w:r>
          </w:p>
        </w:tc>
        <w:tc>
          <w:tcPr>
            <w:tcW w:w="10274" w:type="dxa"/>
            <w:noWrap w:val="0"/>
            <w:vAlign w:val="center"/>
          </w:tcPr>
          <w:p w14:paraId="3719DE8B">
            <w:pPr>
              <w:jc w:val="center"/>
              <w:rPr>
                <w:rFonts w:hint="eastAsia" w:ascii="仿宋_GB2312" w:hAnsi="仿宋_GB2312" w:eastAsia="仿宋_GB2312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黑体"/>
                <w:b/>
                <w:bCs/>
                <w:color w:val="000000"/>
                <w:szCs w:val="21"/>
              </w:rPr>
              <w:t>主要</w:t>
            </w:r>
            <w:r>
              <w:rPr>
                <w:rFonts w:hint="eastAsia" w:ascii="仿宋_GB2312" w:hAnsi="仿宋_GB2312" w:eastAsia="仿宋_GB2312" w:cs="黑体"/>
                <w:b/>
                <w:bCs/>
                <w:color w:val="000000"/>
                <w:szCs w:val="21"/>
                <w:lang w:val="en-US" w:eastAsia="zh-CN"/>
              </w:rPr>
              <w:t>影响</w:t>
            </w:r>
          </w:p>
        </w:tc>
      </w:tr>
      <w:tr w14:paraId="77E5F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restart"/>
            <w:noWrap w:val="0"/>
            <w:vAlign w:val="center"/>
          </w:tcPr>
          <w:p w14:paraId="50CB8621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ascii="仿宋_GB2312" w:hAnsi="仿宋_GB2312" w:eastAsia="仿宋_GB2312" w:cs="宋体"/>
                <w:color w:val="000000"/>
                <w:szCs w:val="21"/>
                <w:lang w:val="en"/>
              </w:rPr>
              <w:t>1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0A48CAE5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Cs w:val="21"/>
              </w:rPr>
              <w:t>台风</w:t>
            </w:r>
          </w:p>
          <w:p w14:paraId="6A74610D">
            <w:pPr>
              <w:rPr>
                <w:rFonts w:ascii="仿宋_GB2312" w:hAnsi="仿宋_GB2312" w:eastAsia="仿宋_GB2312" w:cs="宋体"/>
                <w:color w:val="000000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5D74EF73">
            <w:pPr>
              <w:jc w:val="center"/>
              <w:rPr>
                <w:rFonts w:ascii="仿宋_GB2312" w:hAns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教育</w:t>
            </w:r>
          </w:p>
        </w:tc>
        <w:tc>
          <w:tcPr>
            <w:tcW w:w="10274" w:type="dxa"/>
            <w:noWrap w:val="0"/>
            <w:vAlign w:val="center"/>
          </w:tcPr>
          <w:p w14:paraId="48632B8C">
            <w:pPr>
              <w:pStyle w:val="2"/>
              <w:spacing w:after="0"/>
              <w:rPr>
                <w:rFonts w:ascii="仿宋_GB2312" w:hAnsi="仿宋_GB2312" w:eastAsia="仿宋_GB2312" w:cs="宋体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影响学校室外教学活动；学校停课，可能影响重要考试；在校或在途师生安全受到威胁。</w:t>
            </w:r>
          </w:p>
        </w:tc>
      </w:tr>
      <w:tr w14:paraId="55C69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4DFD8CBB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63479AB4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3E6C3012">
            <w:pPr>
              <w:jc w:val="center"/>
              <w:rPr>
                <w:rFonts w:ascii="仿宋_GB2312" w:hAns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交通</w:t>
            </w:r>
          </w:p>
        </w:tc>
        <w:tc>
          <w:tcPr>
            <w:tcW w:w="10274" w:type="dxa"/>
            <w:noWrap w:val="0"/>
            <w:vAlign w:val="center"/>
          </w:tcPr>
          <w:p w14:paraId="7302C4E4">
            <w:pPr>
              <w:rPr>
                <w:rFonts w:ascii="仿宋_GB2312" w:hAnsi="仿宋_GB2312" w:eastAsia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交通设施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及附属设施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受损，道路交通受阻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；海上客运、铁路、民航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延误或取消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城市轨道高架或地面线受大风影响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导致降速或停运、道路客运等公交线路调整或停运，可能导致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乘客滞留；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港口码头及交通在建工程高空、户外作业存在安全风险；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风力过大会影响无人机、直升机飞行的稳定性和安全性。</w:t>
            </w:r>
          </w:p>
        </w:tc>
      </w:tr>
      <w:tr w14:paraId="06CFF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0E29ACF0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32312C0D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7A2D7E29">
            <w:pPr>
              <w:jc w:val="center"/>
              <w:rPr>
                <w:rFonts w:ascii="仿宋_GB2312" w:hAns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auto"/>
                <w:szCs w:val="21"/>
              </w:rPr>
              <w:t>住建</w:t>
            </w:r>
          </w:p>
        </w:tc>
        <w:tc>
          <w:tcPr>
            <w:tcW w:w="10274" w:type="dxa"/>
            <w:noWrap w:val="0"/>
            <w:vAlign w:val="center"/>
          </w:tcPr>
          <w:p w14:paraId="48758C25">
            <w:pPr>
              <w:rPr>
                <w:rFonts w:ascii="仿宋_GB2312" w:hAnsi="仿宋_GB2312" w:eastAsia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 w:val="21"/>
                <w:szCs w:val="44"/>
                <w:shd w:val="clear" w:fill="auto"/>
                <w:lang w:val="en-US" w:eastAsia="zh-CN"/>
              </w:rPr>
              <w:t>危及高空、户外作业（活动）安全；临时搭建物、简易工棚、老旧危房可能被风吹倒，玻璃幕墙可能被风吹脱落，建筑工地脚手架、塔吊、龙门吊等倒塌、损毁可能引发安全生产事故及次生、衍生灾害，可能造成人员伤亡。</w:t>
            </w:r>
          </w:p>
        </w:tc>
      </w:tr>
      <w:tr w14:paraId="109AA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0CC01CA8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10983BB0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5AC5B1BD">
            <w:pPr>
              <w:jc w:val="center"/>
              <w:rPr>
                <w:rFonts w:ascii="仿宋_GB2312" w:hAns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auto"/>
                <w:szCs w:val="21"/>
              </w:rPr>
              <w:t>水务</w:t>
            </w:r>
          </w:p>
        </w:tc>
        <w:tc>
          <w:tcPr>
            <w:tcW w:w="10274" w:type="dxa"/>
            <w:noWrap w:val="0"/>
            <w:vAlign w:val="center"/>
          </w:tcPr>
          <w:p w14:paraId="6723198F">
            <w:pPr>
              <w:rPr>
                <w:rFonts w:ascii="仿宋_GB2312" w:hAnsi="仿宋_GB2312" w:eastAsia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可能造成海堤损毁、潮水顶托河道水位上涨；可能造成水库浪涌；可能造成水厂</w:t>
            </w:r>
            <w: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/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泵站停产、管道破损，导致停水。</w:t>
            </w:r>
          </w:p>
        </w:tc>
      </w:tr>
      <w:tr w14:paraId="2F4AB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67858012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30F0D127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22028D08">
            <w:pPr>
              <w:jc w:val="center"/>
              <w:rPr>
                <w:rFonts w:ascii="仿宋_GB2312" w:hAns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auto"/>
                <w:szCs w:val="21"/>
              </w:rPr>
              <w:t>城管</w:t>
            </w:r>
          </w:p>
        </w:tc>
        <w:tc>
          <w:tcPr>
            <w:tcW w:w="10274" w:type="dxa"/>
            <w:noWrap w:val="0"/>
            <w:vAlign w:val="center"/>
          </w:tcPr>
          <w:p w14:paraId="1E1A12C3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吹落（倒）广告牌、路灯，影响行人和交通安全；城市景观受到破坏，行道树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lang w:eastAsia="zh-CN"/>
              </w:rPr>
              <w:t>、灯杆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出现倒伏，给行人、过路车辆、供电线路带来威胁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lang w:val="en-US" w:eastAsia="zh-CN"/>
              </w:rPr>
              <w:t>影响路灯供电设施安全， 造成大面积灭灯；行道树断枝、落叶堵塞城市排水管网。</w:t>
            </w:r>
          </w:p>
        </w:tc>
      </w:tr>
      <w:tr w14:paraId="1A80D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2CD09C20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2351F3D9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05B97A67">
            <w:pPr>
              <w:jc w:val="center"/>
              <w:rPr>
                <w:rFonts w:ascii="仿宋_GB2312" w:hAns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旅游</w:t>
            </w:r>
          </w:p>
        </w:tc>
        <w:tc>
          <w:tcPr>
            <w:tcW w:w="10274" w:type="dxa"/>
            <w:noWrap w:val="0"/>
            <w:vAlign w:val="center"/>
          </w:tcPr>
          <w:p w14:paraId="52DD878D">
            <w:pPr>
              <w:rPr>
                <w:rFonts w:ascii="仿宋_GB2312" w:hAnsi="仿宋_GB2312" w:eastAsia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影响户外文体活动、游乐项目；旅游景观、旅游设施损毁，户外旅游人员安全受到威胁，造成游客滞留。</w:t>
            </w:r>
          </w:p>
        </w:tc>
      </w:tr>
      <w:tr w14:paraId="72666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1E89F06E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2E26BC22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2DDFCDF8">
            <w:pPr>
              <w:jc w:val="center"/>
              <w:rPr>
                <w:rFonts w:ascii="仿宋_GB2312" w:hAns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32"/>
              </w:rPr>
              <w:t>农林</w:t>
            </w:r>
          </w:p>
        </w:tc>
        <w:tc>
          <w:tcPr>
            <w:tcW w:w="10274" w:type="dxa"/>
            <w:noWrap w:val="0"/>
            <w:vAlign w:val="center"/>
          </w:tcPr>
          <w:p w14:paraId="31DB67A9">
            <w:pPr>
              <w:rPr>
                <w:rFonts w:ascii="仿宋_GB2312" w:hAns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32"/>
              </w:rPr>
              <w:t>农作物倒伏减产甚至绝收，</w:t>
            </w:r>
            <w:r>
              <w:rPr>
                <w:rFonts w:ascii="仿宋_GB2312" w:hAnsi="仿宋_GB2312" w:eastAsia="仿宋_GB2312" w:cs="仿宋_GB2312"/>
                <w:color w:val="auto"/>
                <w:szCs w:val="32"/>
              </w:rPr>
              <w:t>农业生产设施遭受损坏</w:t>
            </w:r>
            <w:r>
              <w:rPr>
                <w:rFonts w:hint="eastAsia" w:ascii="仿宋_GB2312" w:hAnsi="仿宋_GB2312" w:eastAsia="仿宋_GB2312" w:cs="仿宋_GB2312"/>
                <w:color w:val="auto"/>
                <w:szCs w:val="32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32"/>
              </w:rPr>
              <w:t>养殖业遭受损失；林木倒伏，甚至连根拔起。</w:t>
            </w:r>
          </w:p>
        </w:tc>
      </w:tr>
      <w:tr w14:paraId="73574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1613FF9E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0CF3DF60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770F8A9E">
            <w:pPr>
              <w:jc w:val="center"/>
              <w:rPr>
                <w:rFonts w:ascii="仿宋_GB2312" w:hAns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auto"/>
                <w:szCs w:val="21"/>
              </w:rPr>
              <w:t>海洋</w:t>
            </w:r>
          </w:p>
        </w:tc>
        <w:tc>
          <w:tcPr>
            <w:tcW w:w="10274" w:type="dxa"/>
            <w:noWrap w:val="0"/>
            <w:vAlign w:val="center"/>
          </w:tcPr>
          <w:p w14:paraId="73BCAB9C">
            <w:pPr>
              <w:rPr>
                <w:rFonts w:ascii="仿宋_GB2312" w:hAns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海上作业船舶、航行船舶安全受到威胁，甚至引发重大安全事故，造成设施损毁、人员伤亡；港口码头集装箱可能被吹落；可能造成海水倒灌、海堤溃决等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lang w:eastAsia="zh-CN"/>
              </w:rPr>
              <w:t>；海上水产养殖业遭受损失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。</w:t>
            </w:r>
          </w:p>
        </w:tc>
      </w:tr>
      <w:tr w14:paraId="47CAA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5881D83D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351B7E3D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29A46B42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基础设施</w:t>
            </w:r>
          </w:p>
        </w:tc>
        <w:tc>
          <w:tcPr>
            <w:tcW w:w="10274" w:type="dxa"/>
            <w:noWrap w:val="0"/>
            <w:vAlign w:val="center"/>
          </w:tcPr>
          <w:p w14:paraId="71894B1F">
            <w:pPr>
              <w:rPr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吹落高层建筑物的悬挂物、搁置物及附属物（玻璃幕墙）；电力、通信、能源等设施设备或传输线路、管道损毁造成电力、通信、能源等传输中断，可能导致区域甚至大面积断水、断电、断网、断气等；小型住宅民居、公共建筑物（构筑物）结构性损坏；台风引起的风暴潮及天文大潮叠加，可能导致港口海水倒灌，导致码头设备和船只受损；核电站、LNG接收站等易受台风和风暴潮影响引发次生灾害。</w:t>
            </w:r>
          </w:p>
        </w:tc>
      </w:tr>
      <w:tr w14:paraId="2DB82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0" w:type="dxa"/>
            <w:vMerge w:val="restart"/>
            <w:noWrap w:val="0"/>
            <w:vAlign w:val="center"/>
          </w:tcPr>
          <w:p w14:paraId="4ABE8B9E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ascii="仿宋_GB2312" w:hAnsi="仿宋_GB2312" w:eastAsia="仿宋_GB2312" w:cs="宋体"/>
                <w:color w:val="000000"/>
                <w:szCs w:val="21"/>
              </w:rPr>
              <w:t>2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654BC33D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Cs w:val="21"/>
              </w:rPr>
              <w:t>暴雨</w:t>
            </w:r>
          </w:p>
        </w:tc>
        <w:tc>
          <w:tcPr>
            <w:tcW w:w="1815" w:type="dxa"/>
            <w:noWrap w:val="0"/>
            <w:vAlign w:val="center"/>
          </w:tcPr>
          <w:p w14:paraId="5CDF3BEC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教育</w:t>
            </w:r>
          </w:p>
        </w:tc>
        <w:tc>
          <w:tcPr>
            <w:tcW w:w="10274" w:type="dxa"/>
            <w:noWrap w:val="0"/>
            <w:vAlign w:val="center"/>
          </w:tcPr>
          <w:p w14:paraId="2B80EAA1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影响室外教学活动；学校停课，可能影响重要考试；在校或在途师生安全受到威胁。</w:t>
            </w:r>
          </w:p>
        </w:tc>
      </w:tr>
      <w:tr w14:paraId="5C3D9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2F62D343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7698EB1A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732B6930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交通</w:t>
            </w:r>
          </w:p>
        </w:tc>
        <w:tc>
          <w:tcPr>
            <w:tcW w:w="10274" w:type="dxa"/>
            <w:noWrap w:val="0"/>
            <w:vAlign w:val="center"/>
          </w:tcPr>
          <w:p w14:paraId="2251A144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道路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低洼易涝点及地铁站、下凹式涵隧等交通地下空间存在积水内涝风险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，可能导致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设施设备受损，车辆、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人员被困；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海上客运、铁路、民航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延误或取消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，城市轨道交通线路调整或停运，道路客运等公交线路调整或停运，可能导致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乘客滞留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；港口码头及交通在建工程高空、户外作业存在安全风险；长时间降雨易引发地陷、道路挡土墙倒塌等次生、衍生地质灾害。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暴雨天气能见度低、气流紊乱，直升机稳定性下降，可能导致迷航或失控</w:t>
            </w:r>
          </w:p>
        </w:tc>
      </w:tr>
      <w:tr w14:paraId="0D08C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2CFD291A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6CFB3A13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5723E10E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住建</w:t>
            </w:r>
          </w:p>
        </w:tc>
        <w:tc>
          <w:tcPr>
            <w:tcW w:w="10274" w:type="dxa"/>
            <w:noWrap w:val="0"/>
            <w:vAlign w:val="center"/>
          </w:tcPr>
          <w:p w14:paraId="075F81CA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可能造成地下停车场进水；可能造成住房小区地下变电站漏电停用；危及高空、户外作业安全；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 w:val="21"/>
                <w:szCs w:val="44"/>
                <w:shd w:val="clear" w:fill="auto"/>
                <w:lang w:val="en-US" w:eastAsia="zh-CN"/>
              </w:rPr>
              <w:t>老旧土石房屋可能浸泡受损；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建筑工地塔吊、龙门吊及其他大型设备等损毁可能引发事故及次生、衍生灾害。</w:t>
            </w:r>
          </w:p>
        </w:tc>
      </w:tr>
      <w:tr w14:paraId="67E38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3B3127B1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33AE8316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14314175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水务</w:t>
            </w:r>
          </w:p>
        </w:tc>
        <w:tc>
          <w:tcPr>
            <w:tcW w:w="10274" w:type="dxa"/>
            <w:noWrap w:val="0"/>
            <w:vAlign w:val="center"/>
          </w:tcPr>
          <w:p w14:paraId="0308E879">
            <w:pPr>
              <w:spacing w:line="320" w:lineRule="exact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可能造成河水上涨漫溢、河堤损毁、城市积涝、山洪暴发、垮坝；导致暗涵、河道、湖泊水位上升，滞留人员有淹溺风险；水库泄（溢）洪可能导致下游内涝风险；可能造成输水管网损毁，导致用户停水。</w:t>
            </w:r>
          </w:p>
        </w:tc>
      </w:tr>
      <w:tr w14:paraId="3ED8E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30EFB325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3325692C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096219DB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城管</w:t>
            </w:r>
          </w:p>
        </w:tc>
        <w:tc>
          <w:tcPr>
            <w:tcW w:w="10274" w:type="dxa"/>
            <w:noWrap w:val="0"/>
            <w:vAlign w:val="center"/>
          </w:tcPr>
          <w:p w14:paraId="4EA1B0C6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树木出现倒伏、断枝，给行人、过路车辆、供电线路带来威胁；大型广告牌等被暴雨伴随的大风吹倒，可能造成人员伤亡；可能导致公园积水、山体滑坡；低洼水浸区域存在漏电隐患，涉水通行有触电风险。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lang w:val="en-US" w:eastAsia="zh-CN"/>
              </w:rPr>
              <w:t>易涝点积水， 引起线缆过水漏电，引起触电安全事故等；行道树断枝、落叶堵塞城市排水管网。</w:t>
            </w:r>
          </w:p>
        </w:tc>
      </w:tr>
      <w:tr w14:paraId="0ACB0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4C603B6B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758466CE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06AAEA72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旅游</w:t>
            </w:r>
          </w:p>
        </w:tc>
        <w:tc>
          <w:tcPr>
            <w:tcW w:w="10274" w:type="dxa"/>
            <w:noWrap w:val="0"/>
            <w:vAlign w:val="center"/>
          </w:tcPr>
          <w:p w14:paraId="3254A70F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旅游景观、旅游设施损毁，户外旅游人员安全受到威胁，造成游客滞留。</w:t>
            </w:r>
          </w:p>
        </w:tc>
      </w:tr>
      <w:tr w14:paraId="42E87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026FE483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4D3FEDD5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0EFC6334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农林</w:t>
            </w:r>
          </w:p>
        </w:tc>
        <w:tc>
          <w:tcPr>
            <w:tcW w:w="10274" w:type="dxa"/>
            <w:noWrap w:val="0"/>
            <w:vAlign w:val="center"/>
          </w:tcPr>
          <w:p w14:paraId="71B836D1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农田内涝、农作物减产甚至绝收，</w:t>
            </w:r>
            <w:r>
              <w:rPr>
                <w:rFonts w:ascii="仿宋_GB2312" w:hAnsi="仿宋_GB2312" w:eastAsia="仿宋_GB2312" w:cs="仿宋_GB2312"/>
                <w:color w:val="auto"/>
                <w:szCs w:val="32"/>
              </w:rPr>
              <w:t>农业生产设施遭受损坏</w:t>
            </w:r>
            <w:r>
              <w:rPr>
                <w:rFonts w:hint="eastAsia" w:ascii="仿宋_GB2312" w:hAnsi="仿宋_GB2312" w:eastAsia="仿宋_GB2312" w:cs="仿宋_GB2312"/>
                <w:color w:val="auto"/>
                <w:szCs w:val="32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养殖业遭受损失</w:t>
            </w:r>
            <w:r>
              <w:rPr>
                <w:rFonts w:hint="eastAsia" w:ascii="仿宋_GB2312" w:hAnsi="仿宋_GB2312" w:eastAsia="仿宋_GB2312" w:cs="仿宋_GB2312"/>
                <w:color w:val="auto"/>
                <w:szCs w:val="32"/>
              </w:rPr>
              <w:t>；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连续性强降雨可造成田埂冲毁，水土流失，</w:t>
            </w:r>
            <w:r>
              <w:rPr>
                <w:rFonts w:hint="eastAsia" w:ascii="仿宋_GB2312" w:hAnsi="仿宋_GB2312" w:eastAsia="仿宋_GB2312" w:cs="仿宋_GB2312"/>
                <w:color w:val="auto"/>
                <w:szCs w:val="32"/>
              </w:rPr>
              <w:t>甚至人畜伤亡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；林木倒伏。</w:t>
            </w:r>
          </w:p>
        </w:tc>
      </w:tr>
      <w:tr w14:paraId="2445E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32A09FA6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065E6A84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01B7680A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次生灾害</w:t>
            </w:r>
          </w:p>
        </w:tc>
        <w:tc>
          <w:tcPr>
            <w:tcW w:w="10274" w:type="dxa"/>
            <w:noWrap w:val="0"/>
            <w:vAlign w:val="center"/>
          </w:tcPr>
          <w:p w14:paraId="2F27FBE9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持续强降水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lang w:eastAsia="zh-CN"/>
              </w:rPr>
              <w:t>可能引发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崩塌、滑坡、泥石流等地质灾害；暴雨导致积水增多，蚊虫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lang w:eastAsia="zh-CN"/>
              </w:rPr>
              <w:t>滋生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快，登革热等疫情暴发风险急剧上升。</w:t>
            </w:r>
          </w:p>
        </w:tc>
      </w:tr>
      <w:tr w14:paraId="1CAE3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52653DA6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58A46F9A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3F010160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基础设施</w:t>
            </w:r>
          </w:p>
        </w:tc>
        <w:tc>
          <w:tcPr>
            <w:tcW w:w="10274" w:type="dxa"/>
            <w:noWrap w:val="0"/>
            <w:vAlign w:val="center"/>
          </w:tcPr>
          <w:p w14:paraId="1A2C8D97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电力、通信、供水、供气等设施设备或传输线路、管道损毁造成电力、通信、供水、供气等传输中断，可能导致区域甚至大面积断水、断电、断网、断气等；极端暴雨期间口岸有受淹风险；水浸变电站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lang w:eastAsia="zh-CN"/>
              </w:rPr>
              <w:t>可能导致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变电站停运；冲毁道路桥梁，连续性强降雨容易造成高速公路路基坡面失稳产生垮塌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地铁站、地下商场、地下车库、下沉式隧道等被水淹浸，造成车辆损失，威胁生命安全；水浸区域室外用电设施可能漏电，周边行人有触电风险；可能引发地下管道等有限空间作业事故。</w:t>
            </w:r>
          </w:p>
        </w:tc>
      </w:tr>
      <w:tr w14:paraId="35F4D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restart"/>
            <w:noWrap w:val="0"/>
            <w:vAlign w:val="center"/>
          </w:tcPr>
          <w:p w14:paraId="54D556AD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ascii="仿宋_GB2312" w:hAnsi="仿宋_GB2312" w:eastAsia="仿宋_GB2312" w:cs="宋体"/>
                <w:color w:val="000000"/>
                <w:szCs w:val="21"/>
              </w:rPr>
              <w:t>3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086BEEC6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Cs w:val="21"/>
              </w:rPr>
              <w:t>干旱</w:t>
            </w:r>
          </w:p>
        </w:tc>
        <w:tc>
          <w:tcPr>
            <w:tcW w:w="1815" w:type="dxa"/>
            <w:noWrap w:val="0"/>
            <w:vAlign w:val="center"/>
          </w:tcPr>
          <w:p w14:paraId="1AC2FC36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水务</w:t>
            </w:r>
          </w:p>
        </w:tc>
        <w:tc>
          <w:tcPr>
            <w:tcW w:w="10274" w:type="dxa"/>
            <w:noWrap w:val="0"/>
            <w:vAlign w:val="center"/>
          </w:tcPr>
          <w:p w14:paraId="58930012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水资源不足</w:t>
            </w:r>
            <w:r>
              <w:rPr>
                <w:rFonts w:hint="eastAsia" w:ascii="仿宋_GB2312" w:hAnsi="仿宋_GB2312" w:eastAsia="仿宋_GB2312" w:cs="宋体"/>
                <w:color w:val="auto"/>
                <w:spacing w:val="-4"/>
                <w:szCs w:val="21"/>
                <w:lang w:bidi="ar"/>
              </w:rPr>
              <w:t>造成城市供水紧张。</w:t>
            </w:r>
          </w:p>
        </w:tc>
      </w:tr>
      <w:tr w14:paraId="44996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1AB0885B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00D9D99D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520385CB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农林</w:t>
            </w:r>
          </w:p>
        </w:tc>
        <w:tc>
          <w:tcPr>
            <w:tcW w:w="10274" w:type="dxa"/>
            <w:noWrap w:val="0"/>
            <w:vAlign w:val="center"/>
          </w:tcPr>
          <w:p w14:paraId="2C0E6311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ascii="仿宋_GB2312" w:hAnsi="仿宋_GB2312" w:eastAsia="仿宋_GB2312" w:cs="仿宋_GB2312"/>
                <w:color w:val="auto"/>
                <w:szCs w:val="32"/>
              </w:rPr>
              <w:t>农田</w:t>
            </w:r>
            <w:r>
              <w:rPr>
                <w:rFonts w:hint="eastAsia" w:ascii="仿宋_GB2312" w:hAnsi="仿宋_GB2312" w:eastAsia="仿宋_GB2312" w:cs="仿宋_GB2312"/>
                <w:color w:val="auto"/>
                <w:szCs w:val="32"/>
              </w:rPr>
              <w:t>、</w:t>
            </w:r>
            <w:r>
              <w:rPr>
                <w:rFonts w:ascii="仿宋_GB2312" w:hAnsi="仿宋_GB2312" w:eastAsia="仿宋_GB2312" w:cs="仿宋_GB2312"/>
                <w:color w:val="auto"/>
                <w:szCs w:val="32"/>
              </w:rPr>
              <w:t>池塘等缺水甚至干枯；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粮食等作物、林木因缺水长势差，甚至干枯绝收；林地、草场植被退化。</w:t>
            </w:r>
          </w:p>
        </w:tc>
      </w:tr>
      <w:tr w14:paraId="77E62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2732E528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54594C21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514AFFA6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卫生</w:t>
            </w:r>
          </w:p>
        </w:tc>
        <w:tc>
          <w:tcPr>
            <w:tcW w:w="10274" w:type="dxa"/>
            <w:noWrap w:val="0"/>
            <w:vAlign w:val="center"/>
          </w:tcPr>
          <w:p w14:paraId="7E59BE40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因旱灾导致的食品和饮用水卫生安全问题引发公共卫生事件。</w:t>
            </w:r>
          </w:p>
        </w:tc>
      </w:tr>
      <w:tr w14:paraId="742A1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1EE4C376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35396D70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4A8A11CB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生态</w:t>
            </w:r>
          </w:p>
        </w:tc>
        <w:tc>
          <w:tcPr>
            <w:tcW w:w="10274" w:type="dxa"/>
            <w:noWrap w:val="0"/>
            <w:vAlign w:val="center"/>
          </w:tcPr>
          <w:p w14:paraId="7D0BF3AD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江河补水不足导致水质变差风险增加。</w:t>
            </w:r>
          </w:p>
        </w:tc>
      </w:tr>
      <w:tr w14:paraId="2BF0B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1892FDA7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38B07E5A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211AF3CF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消防</w:t>
            </w:r>
          </w:p>
        </w:tc>
        <w:tc>
          <w:tcPr>
            <w:tcW w:w="10274" w:type="dxa"/>
            <w:noWrap w:val="0"/>
            <w:vAlign w:val="center"/>
          </w:tcPr>
          <w:p w14:paraId="1E88B9B7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宋体"/>
                <w:color w:val="auto"/>
                <w:spacing w:val="-4"/>
                <w:szCs w:val="21"/>
                <w:lang w:bidi="ar"/>
              </w:rPr>
              <w:t>干旱与高温耦合将增加火灾隐患，城市垃圾堆垛、天台杂物燃烧、用电过载可能引起火灾等事故。</w:t>
            </w:r>
          </w:p>
        </w:tc>
      </w:tr>
      <w:tr w14:paraId="6CE2F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restart"/>
            <w:noWrap w:val="0"/>
            <w:vAlign w:val="center"/>
          </w:tcPr>
          <w:p w14:paraId="03646404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ascii="仿宋_GB2312" w:hAnsi="仿宋_GB2312" w:eastAsia="仿宋_GB2312" w:cs="宋体"/>
                <w:color w:val="000000"/>
                <w:szCs w:val="21"/>
              </w:rPr>
              <w:t>4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37305E49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Cs w:val="21"/>
              </w:rPr>
              <w:t>寒冷</w:t>
            </w:r>
          </w:p>
        </w:tc>
        <w:tc>
          <w:tcPr>
            <w:tcW w:w="1815" w:type="dxa"/>
            <w:noWrap w:val="0"/>
            <w:vAlign w:val="center"/>
          </w:tcPr>
          <w:p w14:paraId="759002EF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交通</w:t>
            </w:r>
          </w:p>
        </w:tc>
        <w:tc>
          <w:tcPr>
            <w:tcW w:w="10274" w:type="dxa"/>
            <w:noWrap w:val="0"/>
            <w:vAlign w:val="center"/>
          </w:tcPr>
          <w:p w14:paraId="1C27F0B0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宋体"/>
                <w:color w:val="auto"/>
                <w:spacing w:val="-4"/>
                <w:szCs w:val="21"/>
                <w:shd w:val="clear" w:fill="auto"/>
                <w:lang w:val="en-US" w:eastAsia="zh-CN" w:bidi="ar"/>
              </w:rPr>
              <w:t>低温雨雪冰冻可能导致公路、铁路、民航运输受阻，易引发路面结冰打滑、线路覆冰中断、跑道结冰受限等问题，造成道路堵塞、人员被困、乘客滞留等情况；寒潮大风易加剧港口码头及交通在建工地高处作业、户外露天作业安全风险。</w:t>
            </w:r>
          </w:p>
        </w:tc>
      </w:tr>
      <w:tr w14:paraId="12689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2DE70815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21FD914A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65EFD53A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住建</w:t>
            </w:r>
          </w:p>
        </w:tc>
        <w:tc>
          <w:tcPr>
            <w:tcW w:w="10274" w:type="dxa"/>
            <w:noWrap w:val="0"/>
            <w:vAlign w:val="center"/>
          </w:tcPr>
          <w:p w14:paraId="740C3FA9">
            <w:pPr>
              <w:rPr>
                <w:rFonts w:ascii="仿宋_GB2312" w:hAnsi="仿宋_GB2312" w:eastAsia="仿宋_GB2312" w:cs="宋体"/>
                <w:color w:val="auto"/>
                <w:spacing w:val="-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寒潮大风易造成建筑工地塔吊、龙门吊及其他大型设备等倾倒或损毁，引发安全生产事故及次生、衍生灾害；老化的外墙瓷砖和其他建筑材料被风吹脱落，造成人员伤亡。</w:t>
            </w:r>
          </w:p>
        </w:tc>
      </w:tr>
      <w:tr w14:paraId="76A44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22C99415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1E8A267C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2615C4E1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城管</w:t>
            </w:r>
          </w:p>
        </w:tc>
        <w:tc>
          <w:tcPr>
            <w:tcW w:w="10274" w:type="dxa"/>
            <w:noWrap w:val="0"/>
            <w:vAlign w:val="center"/>
          </w:tcPr>
          <w:p w14:paraId="6F50A9B3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寒潮大风引发高空悬挂物、搁置物、户外广告牌等被风吹落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影响行人和交通；引发城市绿化植物冻害。</w:t>
            </w:r>
          </w:p>
        </w:tc>
      </w:tr>
      <w:tr w14:paraId="55A29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28D0B3EE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54FA57A0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1F17C590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水务</w:t>
            </w:r>
          </w:p>
        </w:tc>
        <w:tc>
          <w:tcPr>
            <w:tcW w:w="10274" w:type="dxa"/>
            <w:noWrap w:val="0"/>
            <w:vAlign w:val="center"/>
          </w:tcPr>
          <w:p w14:paraId="0FC87F4A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气温</w:t>
            </w:r>
            <w: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0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℃以下时可能造成供水管网因冰冻损坏，</w:t>
            </w:r>
            <w:r>
              <w:rPr>
                <w:rFonts w:hint="eastAsia" w:ascii="仿宋_GB2312" w:hAnsi="仿宋_GB2312" w:eastAsia="仿宋_GB2312" w:cs="宋体"/>
                <w:color w:val="auto"/>
                <w:spacing w:val="-4"/>
                <w:szCs w:val="21"/>
                <w:lang w:bidi="ar"/>
              </w:rPr>
              <w:t>居民供水受影响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；温度剧烈变化导致土壤层出现凸起和塌陷，危及水库、山塘坝体安全。</w:t>
            </w:r>
          </w:p>
        </w:tc>
      </w:tr>
      <w:tr w14:paraId="64865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5FB4E4AA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6CEF4FF0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6BCA2C36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卫生</w:t>
            </w:r>
          </w:p>
        </w:tc>
        <w:tc>
          <w:tcPr>
            <w:tcW w:w="10274" w:type="dxa"/>
            <w:noWrap w:val="0"/>
            <w:vAlign w:val="center"/>
          </w:tcPr>
          <w:p w14:paraId="5DF0ED97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感冒咳嗽、发烧、关节炎、心脑血管等患者增多，医院就诊量增加；儿童、老人、流浪乞讨人员、困难群众等群体的卫生健康因寒冷受到威胁；因使用燃气不当导致一氧化碳中毒的风险增加。</w:t>
            </w:r>
          </w:p>
        </w:tc>
      </w:tr>
      <w:tr w14:paraId="3447D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6C4F7295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1A2E09E1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1CDBE0B1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通信</w:t>
            </w:r>
          </w:p>
        </w:tc>
        <w:tc>
          <w:tcPr>
            <w:tcW w:w="10274" w:type="dxa"/>
            <w:noWrap w:val="0"/>
            <w:vAlign w:val="center"/>
          </w:tcPr>
          <w:p w14:paraId="650590D6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通信设施及传输线路因冰冻损坏，重要通信枢纽供电中断。</w:t>
            </w:r>
          </w:p>
        </w:tc>
      </w:tr>
      <w:tr w14:paraId="16B31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6AB9E945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7285B8C4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4762C69B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农林</w:t>
            </w:r>
          </w:p>
        </w:tc>
        <w:tc>
          <w:tcPr>
            <w:tcW w:w="10274" w:type="dxa"/>
            <w:noWrap w:val="0"/>
            <w:vAlign w:val="center"/>
          </w:tcPr>
          <w:p w14:paraId="589FAB5D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蔬菜、粮食等作物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以及林果业生产遭受冻害，或因日照不足、病虫害蔓延导致农作物减产减收；家禽、牲畜及水产品被冻死或患病。</w:t>
            </w:r>
          </w:p>
        </w:tc>
      </w:tr>
      <w:tr w14:paraId="02BB4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42D8A90B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0D5FDE89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5C222916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海洋</w:t>
            </w:r>
          </w:p>
        </w:tc>
        <w:tc>
          <w:tcPr>
            <w:tcW w:w="10274" w:type="dxa"/>
            <w:noWrap w:val="0"/>
            <w:vAlign w:val="center"/>
          </w:tcPr>
          <w:p w14:paraId="05F96415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寒潮大风影响海上作业、渔业养殖设施安全，甚至引发重大安全事故，造成设施损毁、人员伤亡。</w:t>
            </w:r>
          </w:p>
        </w:tc>
      </w:tr>
      <w:tr w14:paraId="03BB3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4AA6B805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17006C87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1CA9B5ED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消防</w:t>
            </w:r>
          </w:p>
        </w:tc>
        <w:tc>
          <w:tcPr>
            <w:tcW w:w="10274" w:type="dxa"/>
            <w:noWrap w:val="0"/>
            <w:vAlign w:val="center"/>
          </w:tcPr>
          <w:p w14:paraId="0F866FE6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寒潮大风及湿度下降导致森林火险等级升高。</w:t>
            </w:r>
          </w:p>
        </w:tc>
      </w:tr>
      <w:tr w14:paraId="76355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0" w:type="dxa"/>
            <w:vMerge w:val="restart"/>
            <w:noWrap w:val="0"/>
            <w:vAlign w:val="center"/>
          </w:tcPr>
          <w:p w14:paraId="0671615B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ascii="仿宋_GB2312" w:hAnsi="仿宋_GB2312" w:eastAsia="仿宋_GB2312" w:cs="宋体"/>
                <w:color w:val="000000"/>
                <w:szCs w:val="21"/>
              </w:rPr>
              <w:t>5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33EB027F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Cs w:val="21"/>
              </w:rPr>
              <w:t>道路</w:t>
            </w:r>
          </w:p>
          <w:p w14:paraId="7466DFF4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Cs w:val="21"/>
              </w:rPr>
              <w:t>结冰</w:t>
            </w:r>
          </w:p>
        </w:tc>
        <w:tc>
          <w:tcPr>
            <w:tcW w:w="1815" w:type="dxa"/>
            <w:noWrap w:val="0"/>
            <w:vAlign w:val="center"/>
          </w:tcPr>
          <w:p w14:paraId="7B47D766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交通</w:t>
            </w:r>
          </w:p>
        </w:tc>
        <w:tc>
          <w:tcPr>
            <w:tcW w:w="10274" w:type="dxa"/>
            <w:noWrap w:val="0"/>
            <w:vAlign w:val="center"/>
          </w:tcPr>
          <w:p w14:paraId="54BF0ABA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路面结冰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可能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导致道路交通受阻，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造成交通拥堵。</w:t>
            </w:r>
          </w:p>
        </w:tc>
      </w:tr>
      <w:tr w14:paraId="13DAD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4DF82B25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7494A65E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3016FE91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供水</w:t>
            </w:r>
          </w:p>
        </w:tc>
        <w:tc>
          <w:tcPr>
            <w:tcW w:w="10274" w:type="dxa"/>
            <w:noWrap w:val="0"/>
            <w:vAlign w:val="center"/>
          </w:tcPr>
          <w:p w14:paraId="1D839DCC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低温冰冻造成供水系统管道、设备冻裂，供水受阻。</w:t>
            </w:r>
          </w:p>
        </w:tc>
      </w:tr>
      <w:tr w14:paraId="676DD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restart"/>
            <w:noWrap w:val="0"/>
            <w:vAlign w:val="center"/>
          </w:tcPr>
          <w:p w14:paraId="3DF36994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ascii="仿宋_GB2312" w:hAnsi="仿宋_GB2312" w:eastAsia="仿宋_GB2312" w:cs="宋体"/>
                <w:color w:val="000000"/>
                <w:szCs w:val="21"/>
              </w:rPr>
              <w:t>6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7460FC36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Cs w:val="21"/>
              </w:rPr>
              <w:t>雷雨</w:t>
            </w:r>
          </w:p>
          <w:p w14:paraId="71D93241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Cs w:val="21"/>
              </w:rPr>
              <w:t>大风</w:t>
            </w:r>
          </w:p>
        </w:tc>
        <w:tc>
          <w:tcPr>
            <w:tcW w:w="1815" w:type="dxa"/>
            <w:noWrap w:val="0"/>
            <w:vAlign w:val="center"/>
          </w:tcPr>
          <w:p w14:paraId="48C8C9DE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教育</w:t>
            </w:r>
          </w:p>
        </w:tc>
        <w:tc>
          <w:tcPr>
            <w:tcW w:w="10274" w:type="dxa"/>
            <w:noWrap w:val="0"/>
            <w:vAlign w:val="center"/>
          </w:tcPr>
          <w:p w14:paraId="4C7F43C1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短时大风影响室外教学活动、在校和上下学学生安全。</w:t>
            </w:r>
          </w:p>
        </w:tc>
      </w:tr>
      <w:tr w14:paraId="04697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33A5ECDB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2BA76620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1270682C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交通</w:t>
            </w:r>
          </w:p>
        </w:tc>
        <w:tc>
          <w:tcPr>
            <w:tcW w:w="10274" w:type="dxa"/>
            <w:noWrap w:val="0"/>
            <w:vAlign w:val="center"/>
          </w:tcPr>
          <w:p w14:paraId="2D0D18D6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高峰繁忙时段道路、城市轨道等交通受阻；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海上客运、铁路、民航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延误或取消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城市轨道高架或地面线受大风影响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导致降速或停运，道路客运等公交线路调整或停运，可能导致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乘客滞留；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港口码头及交通在建工程高空、户外作业存在安全风险；影响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无人机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飞行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安全。</w:t>
            </w:r>
          </w:p>
        </w:tc>
      </w:tr>
      <w:tr w14:paraId="1E240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3B275DEB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6770E8F8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6EE23585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住建</w:t>
            </w:r>
          </w:p>
        </w:tc>
        <w:tc>
          <w:tcPr>
            <w:tcW w:w="10274" w:type="dxa"/>
            <w:noWrap w:val="0"/>
            <w:vAlign w:val="center"/>
          </w:tcPr>
          <w:p w14:paraId="1C60C0BA">
            <w:pPr>
              <w:pStyle w:val="2"/>
              <w:spacing w:after="0"/>
              <w:rPr>
                <w:rFonts w:ascii="仿宋_GB2312" w:hAnsi="仿宋_GB2312" w:eastAsia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可能造成地下停车场积水；可能造成住房小区地下变电站漏电停用；</w:t>
            </w:r>
            <w:r>
              <w:rPr>
                <w:rFonts w:hint="eastAsia" w:ascii="仿宋_GB2312" w:hAnsi="仿宋_GB2312" w:eastAsia="仿宋_GB2312" w:cs="宋体"/>
                <w:color w:val="auto"/>
                <w:spacing w:val="-4"/>
                <w:kern w:val="2"/>
                <w:szCs w:val="21"/>
                <w:lang w:bidi="ar"/>
              </w:rPr>
              <w:t>危及高空、户外作业安全；临时搭建物、简易工棚、老旧房屋受损；建筑工地脚手架、塔吊、龙门吊等倒塌、损毁</w:t>
            </w:r>
            <w:r>
              <w:rPr>
                <w:rFonts w:hint="eastAsia" w:ascii="仿宋_GB2312" w:hAnsi="仿宋_GB2312" w:eastAsia="仿宋_GB2312" w:cs="宋体"/>
                <w:color w:val="auto"/>
                <w:spacing w:val="-4"/>
                <w:kern w:val="2"/>
                <w:szCs w:val="21"/>
                <w:lang w:eastAsia="zh-CN" w:bidi="ar"/>
              </w:rPr>
              <w:t>，可能</w:t>
            </w:r>
            <w:r>
              <w:rPr>
                <w:rFonts w:hint="eastAsia" w:ascii="仿宋_GB2312" w:hAnsi="仿宋_GB2312" w:eastAsia="仿宋_GB2312" w:cs="宋体"/>
                <w:color w:val="auto"/>
                <w:spacing w:val="-4"/>
                <w:kern w:val="2"/>
                <w:szCs w:val="21"/>
                <w:lang w:bidi="ar"/>
              </w:rPr>
              <w:t>引发安全生产事故及次生、衍生灾害，造成人员伤亡；可能吹落高层建筑物的悬挂物、搁置物及附属物（玻璃幕墙），影响行人安全。</w:t>
            </w:r>
          </w:p>
        </w:tc>
      </w:tr>
      <w:tr w14:paraId="1D6B3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5791EB92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42FEC5B8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5CDB831A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水务</w:t>
            </w:r>
          </w:p>
        </w:tc>
        <w:tc>
          <w:tcPr>
            <w:tcW w:w="10274" w:type="dxa"/>
            <w:noWrap w:val="0"/>
            <w:vAlign w:val="center"/>
          </w:tcPr>
          <w:p w14:paraId="47034793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宋体"/>
                <w:color w:val="auto"/>
                <w:spacing w:val="-4"/>
                <w:szCs w:val="21"/>
                <w:lang w:bidi="ar"/>
              </w:rPr>
              <w:t>低洼处、易涝点积水；暗涵、河道、湖泊、水库水位迅速上升，影响滞留人员人身安全。</w:t>
            </w:r>
          </w:p>
        </w:tc>
      </w:tr>
      <w:tr w14:paraId="0F17F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4A96A580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4F5D274E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3BD5475D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城管</w:t>
            </w:r>
          </w:p>
        </w:tc>
        <w:tc>
          <w:tcPr>
            <w:tcW w:w="10274" w:type="dxa"/>
            <w:noWrap w:val="0"/>
            <w:vAlign w:val="center"/>
          </w:tcPr>
          <w:p w14:paraId="593C7357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宋体"/>
                <w:color w:val="auto"/>
                <w:spacing w:val="-4"/>
                <w:szCs w:val="21"/>
                <w:lang w:bidi="ar"/>
              </w:rPr>
              <w:t>可能吹落（倒）广告牌、路灯等，造成人员伤亡；树木倒伏，殃及行人、车辆及周边简易建筑物。</w:t>
            </w:r>
          </w:p>
        </w:tc>
      </w:tr>
      <w:tr w14:paraId="59620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69480272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2505DF0B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4E3C2086">
            <w:pPr>
              <w:jc w:val="center"/>
              <w:rPr>
                <w:rFonts w:ascii="仿宋_GB2312" w:hAnsi="仿宋_GB2312" w:eastAsia="仿宋_GB2312" w:cs="宋体"/>
                <w:color w:val="auto"/>
                <w:spacing w:val="-4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auto"/>
                <w:spacing w:val="-4"/>
                <w:szCs w:val="21"/>
                <w:lang w:bidi="ar"/>
              </w:rPr>
              <w:t>旅游</w:t>
            </w:r>
          </w:p>
        </w:tc>
        <w:tc>
          <w:tcPr>
            <w:tcW w:w="10274" w:type="dxa"/>
            <w:noWrap w:val="0"/>
            <w:vAlign w:val="center"/>
          </w:tcPr>
          <w:p w14:paraId="6135533B">
            <w:pPr>
              <w:rPr>
                <w:rFonts w:ascii="仿宋_GB2312" w:hAnsi="仿宋_GB2312" w:eastAsia="仿宋_GB2312" w:cs="宋体"/>
                <w:color w:val="auto"/>
                <w:spacing w:val="-4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auto"/>
                <w:spacing w:val="-4"/>
                <w:szCs w:val="21"/>
                <w:lang w:bidi="ar"/>
              </w:rPr>
              <w:t>影响户外文体旅游场所运营；海上旅游人员安全受到威胁。</w:t>
            </w:r>
          </w:p>
        </w:tc>
      </w:tr>
      <w:tr w14:paraId="6CA64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4621B6DE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31ED5F75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6B0EFFC3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32"/>
              </w:rPr>
              <w:t>农林</w:t>
            </w:r>
          </w:p>
        </w:tc>
        <w:tc>
          <w:tcPr>
            <w:tcW w:w="10274" w:type="dxa"/>
            <w:noWrap w:val="0"/>
            <w:vAlign w:val="center"/>
          </w:tcPr>
          <w:p w14:paraId="6512745B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ascii="仿宋_GB2312" w:hAnsi="仿宋_GB2312" w:eastAsia="仿宋_GB2312" w:cs="仿宋_GB2312"/>
                <w:color w:val="auto"/>
                <w:szCs w:val="32"/>
              </w:rPr>
              <w:t>农作物因强风折断而减产，农业生产设施因强风吹倒而遭受损失</w:t>
            </w:r>
            <w:r>
              <w:rPr>
                <w:rFonts w:hint="eastAsia" w:ascii="仿宋_GB2312" w:hAnsi="仿宋_GB2312" w:eastAsia="仿宋_GB2312" w:cs="仿宋_GB2312"/>
                <w:color w:val="auto"/>
                <w:szCs w:val="32"/>
              </w:rPr>
              <w:t>，林木倒伏</w:t>
            </w:r>
            <w:r>
              <w:rPr>
                <w:rFonts w:ascii="仿宋_GB2312" w:hAnsi="仿宋_GB2312" w:eastAsia="仿宋_GB2312" w:cs="仿宋_GB2312"/>
                <w:color w:val="auto"/>
                <w:szCs w:val="32"/>
              </w:rPr>
              <w:t>。</w:t>
            </w:r>
          </w:p>
        </w:tc>
      </w:tr>
      <w:tr w14:paraId="520D8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386EA75F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73D9D240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33E1B8B3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海洋</w:t>
            </w:r>
          </w:p>
        </w:tc>
        <w:tc>
          <w:tcPr>
            <w:tcW w:w="10274" w:type="dxa"/>
            <w:noWrap w:val="0"/>
            <w:vAlign w:val="center"/>
          </w:tcPr>
          <w:p w14:paraId="774FDA75">
            <w:pPr>
              <w:rPr>
                <w:rFonts w:ascii="仿宋_GB2312" w:hAnsi="仿宋_GB2312" w:eastAsia="仿宋_GB2312"/>
                <w:color w:val="auto"/>
              </w:rPr>
            </w:pPr>
            <w:r>
              <w:rPr>
                <w:rFonts w:hint="eastAsia" w:ascii="仿宋_GB2312" w:hAnsi="仿宋_GB2312" w:eastAsia="仿宋_GB2312"/>
                <w:color w:val="auto"/>
              </w:rPr>
              <w:t>作业船舶、航行船舶、渔业养殖设施安全受到严重威胁，甚至引发重大安全事故，造成设施损毁、人员伤亡。</w:t>
            </w:r>
          </w:p>
        </w:tc>
      </w:tr>
      <w:tr w14:paraId="43ADB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43351B2A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6EBEA039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3693D8F3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危化</w:t>
            </w:r>
          </w:p>
        </w:tc>
        <w:tc>
          <w:tcPr>
            <w:tcW w:w="10274" w:type="dxa"/>
            <w:noWrap w:val="0"/>
            <w:vAlign w:val="center"/>
          </w:tcPr>
          <w:p w14:paraId="4BB6A277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雷击引发工业园区和相关危化品企业的燃爆、火灾等事故；雷击造成停机坪上户外作业人员受伤害，引发航油存储区域的火灾等事故。</w:t>
            </w:r>
          </w:p>
        </w:tc>
      </w:tr>
      <w:tr w14:paraId="00B5B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5B55EA63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38D05C40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17B17C19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基础设施</w:t>
            </w:r>
          </w:p>
        </w:tc>
        <w:tc>
          <w:tcPr>
            <w:tcW w:w="10274" w:type="dxa"/>
            <w:noWrap w:val="0"/>
            <w:vAlign w:val="center"/>
          </w:tcPr>
          <w:p w14:paraId="655D00BF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电力、通信等设施设备或传输线路、管道损毁造成电力、通信等传输中断。地下空间（地下商场、地铁站、地下通道、地下车库等）水浸。</w:t>
            </w:r>
          </w:p>
        </w:tc>
      </w:tr>
      <w:tr w14:paraId="7810E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restart"/>
            <w:noWrap w:val="0"/>
            <w:vAlign w:val="center"/>
          </w:tcPr>
          <w:p w14:paraId="40E1B90A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ascii="仿宋_GB2312" w:hAnsi="仿宋_GB2312" w:eastAsia="仿宋_GB2312" w:cs="宋体"/>
                <w:color w:val="000000"/>
                <w:szCs w:val="21"/>
              </w:rPr>
              <w:t>7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12B68B68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Cs w:val="21"/>
              </w:rPr>
              <w:t>冰雹</w:t>
            </w:r>
          </w:p>
        </w:tc>
        <w:tc>
          <w:tcPr>
            <w:tcW w:w="1815" w:type="dxa"/>
            <w:noWrap w:val="0"/>
            <w:vAlign w:val="center"/>
          </w:tcPr>
          <w:p w14:paraId="32ED477E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交通</w:t>
            </w:r>
          </w:p>
        </w:tc>
        <w:tc>
          <w:tcPr>
            <w:tcW w:w="10274" w:type="dxa"/>
            <w:shd w:val="clear" w:color="auto" w:fill="auto"/>
            <w:noWrap w:val="0"/>
            <w:vAlign w:val="center"/>
          </w:tcPr>
          <w:p w14:paraId="41BDE6ED">
            <w:pPr>
              <w:ind w:left="0" w:leftChars="0" w:right="0" w:rightChars="0" w:firstLine="0" w:firstLineChars="0"/>
              <w:rPr>
                <w:rFonts w:hint="default" w:ascii="仿宋_GB2312" w:hAnsi="仿宋_GB2312" w:eastAsia="仿宋_GB2312" w:cs="仿宋_GB2312"/>
                <w:bCs/>
                <w:color w:val="auto"/>
                <w:spacing w:val="0"/>
                <w:kern w:val="44"/>
                <w:position w:val="0"/>
                <w:sz w:val="21"/>
                <w:szCs w:val="44"/>
                <w:shd w:val="clear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高峰繁忙时段道路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交通受阻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；城市轨道高架或地面线受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冰雹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影响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导致降速或停运，海上客运、铁路、民航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延误或取消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，可能导致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乘客滞留；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交通场站、港口码头及交通在建工程高空、户外作业存在安全风险。</w:t>
            </w:r>
          </w:p>
        </w:tc>
      </w:tr>
      <w:tr w14:paraId="4D4C2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77B0BF11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3D7321B2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7642245B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住建</w:t>
            </w:r>
          </w:p>
        </w:tc>
        <w:tc>
          <w:tcPr>
            <w:tcW w:w="10274" w:type="dxa"/>
            <w:noWrap w:val="0"/>
            <w:vAlign w:val="center"/>
          </w:tcPr>
          <w:p w14:paraId="5E827384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塔吊、龙门吊及其他大型设备等损毁可能引发事故及次生、衍生灾害。</w:t>
            </w:r>
          </w:p>
        </w:tc>
      </w:tr>
      <w:tr w14:paraId="28F55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6E7C387D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64C0F57A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6C904F89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城管</w:t>
            </w:r>
          </w:p>
        </w:tc>
        <w:tc>
          <w:tcPr>
            <w:tcW w:w="10274" w:type="dxa"/>
            <w:noWrap w:val="0"/>
            <w:vAlign w:val="center"/>
          </w:tcPr>
          <w:p w14:paraId="61263BE4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宋体"/>
                <w:color w:val="auto"/>
                <w:spacing w:val="-4"/>
                <w:szCs w:val="21"/>
                <w:lang w:bidi="ar"/>
              </w:rPr>
              <w:t>户外设施（路灯、广告</w:t>
            </w:r>
            <w:r>
              <w:rPr>
                <w:rFonts w:hint="eastAsia" w:ascii="仿宋_GB2312" w:hAnsi="仿宋_GB2312" w:eastAsia="仿宋_GB2312" w:cs="宋体"/>
                <w:color w:val="auto"/>
                <w:spacing w:val="-4"/>
                <w:szCs w:val="21"/>
                <w:lang w:eastAsia="zh-CN" w:bidi="ar"/>
              </w:rPr>
              <w:t>灯箱</w:t>
            </w:r>
            <w:r>
              <w:rPr>
                <w:rFonts w:hint="eastAsia" w:ascii="仿宋_GB2312" w:hAnsi="仿宋_GB2312" w:eastAsia="仿宋_GB2312" w:cs="宋体"/>
                <w:color w:val="auto"/>
                <w:spacing w:val="-4"/>
                <w:szCs w:val="21"/>
                <w:lang w:bidi="ar"/>
              </w:rPr>
              <w:t>）造成损失；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大型广告牌等损毁，可能造成人员伤亡。</w:t>
            </w:r>
          </w:p>
        </w:tc>
      </w:tr>
      <w:tr w14:paraId="643FE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063EE6DB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71C6AD45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2DE555C5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旅游</w:t>
            </w:r>
          </w:p>
        </w:tc>
        <w:tc>
          <w:tcPr>
            <w:tcW w:w="10274" w:type="dxa"/>
            <w:noWrap w:val="0"/>
            <w:vAlign w:val="center"/>
          </w:tcPr>
          <w:p w14:paraId="4CEAE69F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户外旅游人员安全受到威胁。</w:t>
            </w:r>
          </w:p>
        </w:tc>
      </w:tr>
      <w:tr w14:paraId="4FFB1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142A8D35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1BF90C4D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3453C047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32"/>
              </w:rPr>
              <w:t>农业</w:t>
            </w:r>
          </w:p>
        </w:tc>
        <w:tc>
          <w:tcPr>
            <w:tcW w:w="10274" w:type="dxa"/>
            <w:noWrap w:val="0"/>
            <w:vAlign w:val="center"/>
          </w:tcPr>
          <w:p w14:paraId="78BF1909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ascii="仿宋_GB2312" w:hAnsi="仿宋_GB2312" w:eastAsia="仿宋_GB2312" w:cs="仿宋_GB2312"/>
                <w:color w:val="auto"/>
                <w:szCs w:val="32"/>
              </w:rPr>
              <w:t>造成农作物受损，</w:t>
            </w:r>
            <w:r>
              <w:rPr>
                <w:rFonts w:hint="eastAsia" w:ascii="仿宋_GB2312" w:hAnsi="仿宋_GB2312" w:eastAsia="仿宋_GB2312" w:cs="仿宋_GB2312"/>
                <w:color w:val="auto"/>
                <w:szCs w:val="32"/>
              </w:rPr>
              <w:t>户外</w:t>
            </w:r>
            <w:r>
              <w:rPr>
                <w:rFonts w:ascii="仿宋_GB2312" w:hAnsi="仿宋_GB2312" w:eastAsia="仿宋_GB2312" w:cs="仿宋_GB2312"/>
                <w:color w:val="auto"/>
                <w:szCs w:val="32"/>
              </w:rPr>
              <w:t>农业生产设施受损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32"/>
              </w:rPr>
              <w:t>。</w:t>
            </w:r>
          </w:p>
        </w:tc>
      </w:tr>
      <w:tr w14:paraId="0366E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236CB29C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20000457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003E8C06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海洋</w:t>
            </w:r>
          </w:p>
        </w:tc>
        <w:tc>
          <w:tcPr>
            <w:tcW w:w="10274" w:type="dxa"/>
            <w:noWrap w:val="0"/>
            <w:vAlign w:val="center"/>
          </w:tcPr>
          <w:p w14:paraId="55D38823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作业船舶、航行船舶、渔业养殖设施及海上石油平台安全受到严重威胁，甚至引发重大安全事故，造成设施损毁、人员伤亡。</w:t>
            </w:r>
          </w:p>
        </w:tc>
      </w:tr>
      <w:tr w14:paraId="2B0AC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18A4E3DF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035046D6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57142CEE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基础设施</w:t>
            </w:r>
          </w:p>
        </w:tc>
        <w:tc>
          <w:tcPr>
            <w:tcW w:w="10274" w:type="dxa"/>
            <w:noWrap w:val="0"/>
            <w:vAlign w:val="center"/>
          </w:tcPr>
          <w:p w14:paraId="68044AFB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电力、通信等设施设备或传输线路、管道损毁造成电力、通信等传输中断。</w:t>
            </w:r>
          </w:p>
        </w:tc>
      </w:tr>
      <w:tr w14:paraId="6325A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restart"/>
            <w:noWrap w:val="0"/>
            <w:vAlign w:val="center"/>
          </w:tcPr>
          <w:p w14:paraId="5F575521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ascii="仿宋_GB2312" w:hAnsi="仿宋_GB2312" w:eastAsia="仿宋_GB2312" w:cs="宋体"/>
                <w:color w:val="000000"/>
                <w:szCs w:val="21"/>
              </w:rPr>
              <w:t>8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34C3F2A9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Cs w:val="21"/>
              </w:rPr>
              <w:t>雷电</w:t>
            </w:r>
          </w:p>
        </w:tc>
        <w:tc>
          <w:tcPr>
            <w:tcW w:w="1815" w:type="dxa"/>
            <w:noWrap w:val="0"/>
            <w:vAlign w:val="center"/>
          </w:tcPr>
          <w:p w14:paraId="610A1B67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教育</w:t>
            </w:r>
          </w:p>
        </w:tc>
        <w:tc>
          <w:tcPr>
            <w:tcW w:w="10274" w:type="dxa"/>
            <w:noWrap w:val="0"/>
            <w:vAlign w:val="center"/>
          </w:tcPr>
          <w:p w14:paraId="10453A14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造成雷电防护装置有待完善的学校老旧建筑破坏；学校功能教室设备及系统损坏，影响教学活动开展。</w:t>
            </w:r>
          </w:p>
        </w:tc>
      </w:tr>
      <w:tr w14:paraId="1CBBB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3EDEAE8D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298A0BDC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1C918473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交通</w:t>
            </w:r>
          </w:p>
        </w:tc>
        <w:tc>
          <w:tcPr>
            <w:tcW w:w="10274" w:type="dxa"/>
            <w:noWrap w:val="0"/>
            <w:vAlign w:val="center"/>
          </w:tcPr>
          <w:p w14:paraId="171ABF41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民航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海上客运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、铁路、轨道交通等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延误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或停运，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可能导致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乘客滞留；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可能导致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交通信号灯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、情报板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等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交通附属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设备失灵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或损坏，造成交通拥堵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；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港口码头、交通在建工地等高空、户外作业人员存在安全风险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；可能导致直升机机械损伤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电子设备失灵或火灾。</w:t>
            </w:r>
          </w:p>
        </w:tc>
      </w:tr>
      <w:tr w14:paraId="7DB33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3B17BCC6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20F6E0F9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3B25EA57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旅游</w:t>
            </w:r>
          </w:p>
        </w:tc>
        <w:tc>
          <w:tcPr>
            <w:tcW w:w="10274" w:type="dxa"/>
            <w:noWrap w:val="0"/>
            <w:vAlign w:val="center"/>
          </w:tcPr>
          <w:p w14:paraId="039056A8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32"/>
              </w:rPr>
              <w:t>文物古建遭雷击破坏，旅游景区等户外经营场所旅游人员安全受到威胁。</w:t>
            </w:r>
          </w:p>
        </w:tc>
      </w:tr>
      <w:tr w14:paraId="58199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0093EE00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445D0ED1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48BBAFDB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电力</w:t>
            </w:r>
          </w:p>
        </w:tc>
        <w:tc>
          <w:tcPr>
            <w:tcW w:w="10274" w:type="dxa"/>
            <w:noWrap w:val="0"/>
            <w:vAlign w:val="center"/>
          </w:tcPr>
          <w:p w14:paraId="7CEA5B1A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44"/>
                <w:szCs w:val="44"/>
              </w:rPr>
              <w:t>引起线路故障、人员伤亡、设备损坏，可能造成区域甚至大面积停电。</w:t>
            </w:r>
          </w:p>
        </w:tc>
      </w:tr>
      <w:tr w14:paraId="571AF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086D25AC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2EBB5B77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72708BDC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通信</w:t>
            </w:r>
          </w:p>
        </w:tc>
        <w:tc>
          <w:tcPr>
            <w:tcW w:w="10274" w:type="dxa"/>
            <w:noWrap w:val="0"/>
            <w:vAlign w:val="center"/>
          </w:tcPr>
          <w:p w14:paraId="0F7C3C63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通信信号缺失，数据中断，设备故障，引发生产和安全事故；政府、企业等信息系统损坏，造成城市运行混乱。</w:t>
            </w:r>
          </w:p>
        </w:tc>
      </w:tr>
      <w:tr w14:paraId="3F455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08B4B873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5179FCA4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03F80479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广电</w:t>
            </w:r>
          </w:p>
        </w:tc>
        <w:tc>
          <w:tcPr>
            <w:tcW w:w="10274" w:type="dxa"/>
            <w:noWrap w:val="0"/>
            <w:vAlign w:val="center"/>
          </w:tcPr>
          <w:p w14:paraId="4473D36C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广播电视设备损坏，广播电视信息中断。</w:t>
            </w:r>
          </w:p>
        </w:tc>
      </w:tr>
      <w:tr w14:paraId="43FEB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2AB0CDA5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2A11979A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3DC8A58D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危化</w:t>
            </w:r>
          </w:p>
        </w:tc>
        <w:tc>
          <w:tcPr>
            <w:tcW w:w="10274" w:type="dxa"/>
            <w:noWrap w:val="0"/>
            <w:vAlign w:val="center"/>
          </w:tcPr>
          <w:p w14:paraId="6DF60903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引发油库、气库、加油加气站、液化天然气、油</w:t>
            </w:r>
            <w: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（气）管道站场、阀室等危险环境及设施损坏、爆炸或者火灾，造成人员伤亡。</w:t>
            </w:r>
          </w:p>
        </w:tc>
      </w:tr>
      <w:tr w14:paraId="0BB77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5EE5D6F8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53346AF4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4E0EF5BA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消防</w:t>
            </w:r>
          </w:p>
        </w:tc>
        <w:tc>
          <w:tcPr>
            <w:tcW w:w="10274" w:type="dxa"/>
            <w:noWrap w:val="0"/>
            <w:vAlign w:val="center"/>
          </w:tcPr>
          <w:p w14:paraId="57443837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引发森林火灾，导致森林火险等级升高。</w:t>
            </w:r>
          </w:p>
        </w:tc>
      </w:tr>
      <w:tr w14:paraId="089FB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58AB3B0D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08C95BF7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068B5B36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基础设施</w:t>
            </w:r>
          </w:p>
        </w:tc>
        <w:tc>
          <w:tcPr>
            <w:tcW w:w="10274" w:type="dxa"/>
            <w:noWrap w:val="0"/>
            <w:vAlign w:val="center"/>
          </w:tcPr>
          <w:p w14:paraId="39C13985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充电桩硬件损坏导致无法正常提供充电服务，建筑物、建筑物内电子设备损坏，甚至引发人身伤害。</w:t>
            </w:r>
          </w:p>
        </w:tc>
      </w:tr>
      <w:tr w14:paraId="4C974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restart"/>
            <w:noWrap w:val="0"/>
            <w:vAlign w:val="center"/>
          </w:tcPr>
          <w:p w14:paraId="1E08D1F8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ascii="仿宋_GB2312" w:hAnsi="仿宋_GB2312" w:eastAsia="仿宋_GB2312" w:cs="宋体"/>
                <w:color w:val="000000"/>
                <w:szCs w:val="21"/>
              </w:rPr>
              <w:t>9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45B62019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Cs w:val="21"/>
              </w:rPr>
              <w:t>强季风</w:t>
            </w:r>
          </w:p>
        </w:tc>
        <w:tc>
          <w:tcPr>
            <w:tcW w:w="1815" w:type="dxa"/>
            <w:noWrap w:val="0"/>
            <w:vAlign w:val="center"/>
          </w:tcPr>
          <w:p w14:paraId="7DD5D4F1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教育</w:t>
            </w:r>
          </w:p>
        </w:tc>
        <w:tc>
          <w:tcPr>
            <w:tcW w:w="10274" w:type="dxa"/>
            <w:noWrap w:val="0"/>
            <w:vAlign w:val="center"/>
          </w:tcPr>
          <w:p w14:paraId="2096BAFD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学校停课，可能影响重要考试；在校或在途师生的安全受到威胁。</w:t>
            </w:r>
          </w:p>
        </w:tc>
      </w:tr>
      <w:tr w14:paraId="34F44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3209AF0D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6FAF77BD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60645EA1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交通</w:t>
            </w:r>
          </w:p>
        </w:tc>
        <w:tc>
          <w:tcPr>
            <w:tcW w:w="10274" w:type="dxa"/>
            <w:noWrap w:val="0"/>
            <w:vAlign w:val="center"/>
          </w:tcPr>
          <w:p w14:paraId="26793158">
            <w:pPr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城市轨道高架或地面线受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冰雹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影响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导致降速或停运、海上客运、铁路、民航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延误或取消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，可能导致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乘客滞留；风力过大会影响无人机、直升机飞行的稳定性和安全性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；港口码头、交通在建工地等高空、户外作业人员存在安全风险。</w:t>
            </w:r>
          </w:p>
        </w:tc>
      </w:tr>
      <w:tr w14:paraId="07DCC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0AB7E74C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0AA4D1CE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785D4587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住建</w:t>
            </w:r>
          </w:p>
        </w:tc>
        <w:tc>
          <w:tcPr>
            <w:tcW w:w="10274" w:type="dxa"/>
            <w:noWrap w:val="0"/>
            <w:vAlign w:val="center"/>
          </w:tcPr>
          <w:p w14:paraId="34952872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可能造成地下停车场积水；可能造成住房小区地下变电站漏电停用；</w:t>
            </w:r>
            <w:r>
              <w:rPr>
                <w:rFonts w:hint="eastAsia" w:ascii="仿宋_GB2312" w:hAnsi="仿宋_GB2312" w:eastAsia="仿宋_GB2312" w:cs="宋体"/>
                <w:color w:val="auto"/>
                <w:spacing w:val="-4"/>
                <w:szCs w:val="21"/>
                <w:lang w:bidi="ar"/>
              </w:rPr>
              <w:t>危及高空、户外作业安全；临时搭建物、简易工棚、老旧房屋受损；建筑工地脚手架、塔吊、龙门吊等倒塌、损毁可能引发安全生产事故及次生、衍生灾害，造成人员伤亡；可能吹落高层建筑物的悬挂物、搁置物及附属物（玻璃幕墙），影响行人安全。</w:t>
            </w:r>
          </w:p>
        </w:tc>
      </w:tr>
      <w:tr w14:paraId="5F79E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5CD03C41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57708FAD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26225066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城管</w:t>
            </w:r>
          </w:p>
        </w:tc>
        <w:tc>
          <w:tcPr>
            <w:tcW w:w="10274" w:type="dxa"/>
            <w:noWrap w:val="0"/>
            <w:vAlign w:val="center"/>
          </w:tcPr>
          <w:p w14:paraId="743A2D06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户外广告牌等被风吹倒，可能造成人员伤亡；城市景观受到破坏，树木出现倒伏、断枝，给行人、过路车辆、供电线路等带来威胁。</w:t>
            </w:r>
          </w:p>
        </w:tc>
      </w:tr>
      <w:tr w14:paraId="5C33C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2DC332E3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664300CD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5E98EAF0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旅游</w:t>
            </w:r>
          </w:p>
        </w:tc>
        <w:tc>
          <w:tcPr>
            <w:tcW w:w="10274" w:type="dxa"/>
            <w:noWrap w:val="0"/>
            <w:vAlign w:val="center"/>
          </w:tcPr>
          <w:p w14:paraId="2664E1DA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旅游景观、旅游设施损毁，户外旅游人员安全受到威胁，造成游客滞留。</w:t>
            </w:r>
          </w:p>
        </w:tc>
      </w:tr>
      <w:tr w14:paraId="38515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03ED5A34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28A43D0F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5B7F2EC0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32"/>
              </w:rPr>
              <w:t>农林</w:t>
            </w:r>
          </w:p>
        </w:tc>
        <w:tc>
          <w:tcPr>
            <w:tcW w:w="10274" w:type="dxa"/>
            <w:noWrap w:val="0"/>
            <w:vAlign w:val="center"/>
          </w:tcPr>
          <w:p w14:paraId="48D1A5EA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ascii="仿宋_GB2312" w:hAnsi="仿宋_GB2312" w:eastAsia="仿宋_GB2312" w:cs="仿宋_GB2312"/>
                <w:color w:val="auto"/>
                <w:szCs w:val="32"/>
              </w:rPr>
              <w:t>农作物倒伏减产甚至绝收，农业生产设施受损，养殖业遭受损失</w:t>
            </w:r>
            <w:r>
              <w:rPr>
                <w:rFonts w:hint="eastAsia" w:ascii="仿宋_GB2312" w:hAnsi="仿宋_GB2312" w:eastAsia="仿宋_GB2312" w:cs="仿宋_GB2312"/>
                <w:color w:val="auto"/>
                <w:szCs w:val="32"/>
              </w:rPr>
              <w:t>，林木倒伏、断枝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32"/>
              </w:rPr>
              <w:t>。</w:t>
            </w:r>
          </w:p>
        </w:tc>
      </w:tr>
      <w:tr w14:paraId="64A7B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389D4B90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029A0E77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725E0A6C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海洋</w:t>
            </w:r>
          </w:p>
        </w:tc>
        <w:tc>
          <w:tcPr>
            <w:tcW w:w="10274" w:type="dxa"/>
            <w:noWrap w:val="0"/>
            <w:vAlign w:val="center"/>
          </w:tcPr>
          <w:p w14:paraId="4E112861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作业船舶、航行船舶安全受到严重威胁，甚至引发重大安全事故，造成设施损毁、人员伤亡；海上客船延航、停航，乘客大量滞留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lang w:eastAsia="zh-CN"/>
              </w:rPr>
              <w:t>；海上水产养殖业遭受损失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。</w:t>
            </w:r>
          </w:p>
        </w:tc>
      </w:tr>
      <w:tr w14:paraId="47A01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049A7DD2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0A9F4878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03BBB4F8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基础设施</w:t>
            </w:r>
          </w:p>
        </w:tc>
        <w:tc>
          <w:tcPr>
            <w:tcW w:w="10274" w:type="dxa"/>
            <w:noWrap w:val="0"/>
            <w:vAlign w:val="center"/>
          </w:tcPr>
          <w:p w14:paraId="2450A102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临时搭建物、简易工棚、建筑物的悬挂物、广告牌、标识牌、农用薄膜、防尘网等易飘物被大风吹至电力设备上造成跳闸故障，导致区域甚至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lang w:eastAsia="zh-CN"/>
              </w:rPr>
              <w:t>全市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大面积停电；电力、通信、能源等设施设备或传输线路、管道损毁造成电力、通信、能源等传输中断；高层建筑、公共场馆、交通设施受损。</w:t>
            </w:r>
          </w:p>
        </w:tc>
      </w:tr>
      <w:tr w14:paraId="22EF4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restart"/>
            <w:noWrap w:val="0"/>
            <w:vAlign w:val="center"/>
          </w:tcPr>
          <w:p w14:paraId="5CF49AC9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ascii="仿宋_GB2312" w:hAnsi="仿宋_GB2312" w:eastAsia="仿宋_GB2312" w:cs="宋体"/>
                <w:color w:val="000000"/>
                <w:szCs w:val="21"/>
              </w:rPr>
              <w:t>10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063D66BB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Cs w:val="21"/>
              </w:rPr>
              <w:t>高温</w:t>
            </w:r>
          </w:p>
        </w:tc>
        <w:tc>
          <w:tcPr>
            <w:tcW w:w="1815" w:type="dxa"/>
            <w:noWrap w:val="0"/>
            <w:vAlign w:val="center"/>
          </w:tcPr>
          <w:p w14:paraId="139C482A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教育</w:t>
            </w:r>
          </w:p>
        </w:tc>
        <w:tc>
          <w:tcPr>
            <w:tcW w:w="10274" w:type="dxa"/>
            <w:noWrap w:val="0"/>
            <w:vAlign w:val="center"/>
          </w:tcPr>
          <w:p w14:paraId="340BD536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中小学生戏水溺亡事故概率高；户外教学活动中，学生中暑概率高。</w:t>
            </w:r>
          </w:p>
        </w:tc>
      </w:tr>
      <w:tr w14:paraId="4C4CE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60768099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24DF1C2A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4B02B940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交通</w:t>
            </w:r>
          </w:p>
        </w:tc>
        <w:tc>
          <w:tcPr>
            <w:tcW w:w="10274" w:type="dxa"/>
            <w:noWrap w:val="0"/>
            <w:vAlign w:val="center"/>
          </w:tcPr>
          <w:p w14:paraId="01EECB8E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高温可能导致汽车驾驶员疲劳驾驶以及汽车爆胎、自燃等交通事故；高温可能导致危险化学品在运输过程中“跑、冒、滴、漏”，并在高温下分解，导致燃烧、爆炸。</w:t>
            </w:r>
          </w:p>
        </w:tc>
      </w:tr>
      <w:tr w14:paraId="68D05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58F0F008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4EC014CD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3154A4C7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住建</w:t>
            </w:r>
          </w:p>
        </w:tc>
        <w:tc>
          <w:tcPr>
            <w:tcW w:w="10274" w:type="dxa"/>
            <w:noWrap w:val="0"/>
            <w:vAlign w:val="center"/>
          </w:tcPr>
          <w:p w14:paraId="6312DF0E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有限空间内污物在高温下更易产生沼气、硫化氢、一氧化碳等有毒有害易燃气体，导致人员中毒，气体爆燃的风险增大；高温天气下，人员容易忽视个人防护，高空坠落事故易发；高温下室外作业人员中暑概率增加。</w:t>
            </w:r>
          </w:p>
        </w:tc>
      </w:tr>
      <w:tr w14:paraId="714B7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7C094A8D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6E3591C3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6A3DC15C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32"/>
              </w:rPr>
              <w:t>农林</w:t>
            </w:r>
          </w:p>
        </w:tc>
        <w:tc>
          <w:tcPr>
            <w:tcW w:w="10274" w:type="dxa"/>
            <w:noWrap w:val="0"/>
            <w:vAlign w:val="center"/>
          </w:tcPr>
          <w:p w14:paraId="252A701C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ascii="仿宋_GB2312" w:hAnsi="仿宋_GB2312" w:eastAsia="仿宋_GB2312" w:cs="仿宋_GB2312"/>
                <w:color w:val="auto"/>
                <w:szCs w:val="32"/>
              </w:rPr>
              <w:t>影响农作物生长以及水产养殖业，可能引发森林火灾</w:t>
            </w:r>
            <w:r>
              <w:rPr>
                <w:rFonts w:hint="eastAsia" w:ascii="仿宋_GB2312" w:hAnsi="仿宋_GB2312" w:eastAsia="仿宋_GB2312" w:cs="仿宋_GB2312"/>
                <w:color w:val="auto"/>
                <w:szCs w:val="32"/>
              </w:rPr>
              <w:t>。</w:t>
            </w:r>
          </w:p>
        </w:tc>
      </w:tr>
      <w:tr w14:paraId="1E0F7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22A9325E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0278274F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24B3D0C3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旅游</w:t>
            </w:r>
          </w:p>
        </w:tc>
        <w:tc>
          <w:tcPr>
            <w:tcW w:w="10274" w:type="dxa"/>
            <w:noWrap w:val="0"/>
            <w:vAlign w:val="center"/>
          </w:tcPr>
          <w:p w14:paraId="32B0369F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32"/>
              </w:rPr>
              <w:t>高温天气下，水上旅游人数增加，人员溺水事故可能增加。</w:t>
            </w:r>
          </w:p>
        </w:tc>
      </w:tr>
      <w:tr w14:paraId="53820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55686F3B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2185F738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3686355B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卫生</w:t>
            </w:r>
          </w:p>
        </w:tc>
        <w:tc>
          <w:tcPr>
            <w:tcW w:w="10274" w:type="dxa"/>
            <w:noWrap w:val="0"/>
            <w:vAlign w:val="center"/>
          </w:tcPr>
          <w:p w14:paraId="0127A12A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户外、露天工作者健康受到威胁，热射病、中暑、心脏病、高血压等患者增加，疟疾和登革热等疾病传播加剧，医院就诊量增加。</w:t>
            </w:r>
          </w:p>
        </w:tc>
      </w:tr>
      <w:tr w14:paraId="1B769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2B869F90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7AE504F4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7367764E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电力</w:t>
            </w:r>
          </w:p>
        </w:tc>
        <w:tc>
          <w:tcPr>
            <w:tcW w:w="10274" w:type="dxa"/>
            <w:noWrap w:val="0"/>
            <w:vAlign w:val="center"/>
          </w:tcPr>
          <w:p w14:paraId="1768408E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电网负荷增大，供电紧张，可能引发区域性停电事件。</w:t>
            </w:r>
          </w:p>
        </w:tc>
      </w:tr>
      <w:tr w14:paraId="6FD9C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109D780F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5C12CED8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0F76A1F8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危化</w:t>
            </w:r>
          </w:p>
        </w:tc>
        <w:tc>
          <w:tcPr>
            <w:tcW w:w="10274" w:type="dxa"/>
            <w:noWrap w:val="0"/>
            <w:vAlign w:val="center"/>
          </w:tcPr>
          <w:p w14:paraId="22DE091A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易燃易爆危险品运输或存放不当可能引发生产安全事故。</w:t>
            </w:r>
          </w:p>
        </w:tc>
      </w:tr>
      <w:tr w14:paraId="4205F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2AC6151F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37623BEA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3A011249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消防</w:t>
            </w:r>
          </w:p>
        </w:tc>
        <w:tc>
          <w:tcPr>
            <w:tcW w:w="10274" w:type="dxa"/>
            <w:noWrap w:val="0"/>
            <w:vAlign w:val="center"/>
          </w:tcPr>
          <w:p w14:paraId="59E67F63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超负荷用电导致火灾等事故；线路高温老化导致漏电、火灾等事故。</w:t>
            </w:r>
          </w:p>
        </w:tc>
      </w:tr>
      <w:tr w14:paraId="70884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0257E412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25ECC0C1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4CB3CD10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32"/>
              </w:rPr>
              <w:t>生态</w:t>
            </w:r>
          </w:p>
        </w:tc>
        <w:tc>
          <w:tcPr>
            <w:tcW w:w="10274" w:type="dxa"/>
            <w:noWrap w:val="0"/>
            <w:vAlign w:val="center"/>
          </w:tcPr>
          <w:p w14:paraId="6BDF890C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32"/>
              </w:rPr>
              <w:t>高温天气易加剧臭氧污染，威胁人体健康。</w:t>
            </w:r>
          </w:p>
        </w:tc>
      </w:tr>
      <w:tr w14:paraId="38CE9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90" w:type="dxa"/>
            <w:vMerge w:val="restart"/>
            <w:noWrap w:val="0"/>
            <w:vAlign w:val="center"/>
          </w:tcPr>
          <w:p w14:paraId="7FA871C9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ascii="仿宋_GB2312" w:hAnsi="仿宋_GB2312" w:eastAsia="仿宋_GB2312" w:cs="宋体"/>
                <w:color w:val="000000"/>
                <w:szCs w:val="21"/>
              </w:rPr>
              <w:t>11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45CB1E02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Cs w:val="21"/>
              </w:rPr>
              <w:t>大雾</w:t>
            </w:r>
          </w:p>
        </w:tc>
        <w:tc>
          <w:tcPr>
            <w:tcW w:w="1815" w:type="dxa"/>
            <w:noWrap w:val="0"/>
            <w:vAlign w:val="center"/>
          </w:tcPr>
          <w:p w14:paraId="75BB9736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交通</w:t>
            </w:r>
          </w:p>
        </w:tc>
        <w:tc>
          <w:tcPr>
            <w:tcW w:w="10274" w:type="dxa"/>
            <w:noWrap w:val="0"/>
            <w:vAlign w:val="center"/>
          </w:tcPr>
          <w:p w14:paraId="073308EF">
            <w:pPr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低能见度可能影响道路交通、机场、港口码头等安全运营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，存在乘客滞留风险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。</w:t>
            </w:r>
          </w:p>
        </w:tc>
      </w:tr>
      <w:tr w14:paraId="159FA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3ADDF515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2D44B315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4E88D1BA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卫生</w:t>
            </w:r>
          </w:p>
        </w:tc>
        <w:tc>
          <w:tcPr>
            <w:tcW w:w="10274" w:type="dxa"/>
            <w:noWrap w:val="0"/>
            <w:vAlign w:val="center"/>
          </w:tcPr>
          <w:p w14:paraId="27E1F271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易诱发呼吸系统疾病，医院就诊量增加。</w:t>
            </w:r>
          </w:p>
        </w:tc>
      </w:tr>
      <w:tr w14:paraId="12CFB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17D20145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0BCE807E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579FD69F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电力</w:t>
            </w:r>
          </w:p>
        </w:tc>
        <w:tc>
          <w:tcPr>
            <w:tcW w:w="10274" w:type="dxa"/>
            <w:noWrap w:val="0"/>
            <w:vAlign w:val="center"/>
          </w:tcPr>
          <w:p w14:paraId="3402EBE3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电网发生“污闪”故障，造成大面积停电。</w:t>
            </w:r>
          </w:p>
        </w:tc>
      </w:tr>
      <w:tr w14:paraId="16058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restart"/>
            <w:noWrap w:val="0"/>
            <w:vAlign w:val="center"/>
          </w:tcPr>
          <w:p w14:paraId="45EBD2F2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ascii="仿宋_GB2312" w:hAnsi="仿宋_GB2312" w:eastAsia="仿宋_GB2312" w:cs="宋体"/>
                <w:color w:val="000000"/>
                <w:szCs w:val="21"/>
              </w:rPr>
              <w:t>12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733C113F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Cs w:val="21"/>
              </w:rPr>
              <w:t>灰霾</w:t>
            </w:r>
          </w:p>
        </w:tc>
        <w:tc>
          <w:tcPr>
            <w:tcW w:w="1815" w:type="dxa"/>
            <w:noWrap w:val="0"/>
            <w:vAlign w:val="center"/>
          </w:tcPr>
          <w:p w14:paraId="300D9DBE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交通</w:t>
            </w:r>
          </w:p>
        </w:tc>
        <w:tc>
          <w:tcPr>
            <w:tcW w:w="10274" w:type="dxa"/>
            <w:noWrap w:val="0"/>
            <w:vAlign w:val="center"/>
          </w:tcPr>
          <w:p w14:paraId="7F8AEA64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低能见度可能影响道路交通、机场、港口码头等安全运营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  <w:lang w:eastAsia="zh-CN"/>
              </w:rPr>
              <w:t>，存在乘客滞留风险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shd w:val="clear" w:fill="auto"/>
              </w:rPr>
              <w:t>。</w:t>
            </w:r>
          </w:p>
        </w:tc>
      </w:tr>
      <w:tr w14:paraId="6874B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273609E4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25F9FF9D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6F47389C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卫生</w:t>
            </w:r>
          </w:p>
        </w:tc>
        <w:tc>
          <w:tcPr>
            <w:tcW w:w="10274" w:type="dxa"/>
            <w:noWrap w:val="0"/>
            <w:vAlign w:val="center"/>
          </w:tcPr>
          <w:p w14:paraId="27712D35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lang w:eastAsia="zh-CN"/>
              </w:rPr>
              <w:t>直接影响身体健康，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户外活动易诱发呼吸系统、心脑血管系统疾病等。</w:t>
            </w:r>
          </w:p>
        </w:tc>
      </w:tr>
      <w:tr w14:paraId="6BDD2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376211FF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07114F53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0AA15142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生态</w:t>
            </w:r>
          </w:p>
        </w:tc>
        <w:tc>
          <w:tcPr>
            <w:tcW w:w="10274" w:type="dxa"/>
            <w:noWrap w:val="0"/>
            <w:vAlign w:val="center"/>
          </w:tcPr>
          <w:p w14:paraId="1FE21388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造成大气环境质量变差，加重大气污染，对生态环境产生危害。</w:t>
            </w:r>
          </w:p>
        </w:tc>
      </w:tr>
      <w:tr w14:paraId="36A1F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690" w:type="dxa"/>
            <w:vMerge w:val="continue"/>
            <w:noWrap w:val="0"/>
            <w:vAlign w:val="center"/>
          </w:tcPr>
          <w:p w14:paraId="2C9B471A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11A602DD">
            <w:pPr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287963A9">
            <w:pPr>
              <w:shd w:val="clear" w:fill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lang w:eastAsia="zh-CN"/>
              </w:rPr>
              <w:t>电力</w:t>
            </w:r>
          </w:p>
        </w:tc>
        <w:tc>
          <w:tcPr>
            <w:tcW w:w="10274" w:type="dxa"/>
            <w:noWrap w:val="0"/>
            <w:vAlign w:val="center"/>
          </w:tcPr>
          <w:p w14:paraId="3746EED0">
            <w:pPr>
              <w:shd w:val="clear" w:fill="auto"/>
              <w:ind w:left="0" w:leftChars="0" w:right="0" w:rightChars="0" w:firstLine="0" w:firstLineChars="0"/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电网发生“污闪”故障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造成大面积停电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  <w:lang w:eastAsia="zh-CN"/>
              </w:rPr>
              <w:t>。</w:t>
            </w:r>
          </w:p>
        </w:tc>
      </w:tr>
      <w:tr w14:paraId="709D0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noWrap w:val="0"/>
            <w:vAlign w:val="center"/>
          </w:tcPr>
          <w:p w14:paraId="4D989237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ascii="仿宋_GB2312" w:hAnsi="仿宋_GB2312" w:eastAsia="仿宋_GB2312" w:cs="宋体"/>
                <w:color w:val="000000"/>
                <w:szCs w:val="21"/>
              </w:rPr>
              <w:t>13</w:t>
            </w:r>
          </w:p>
        </w:tc>
        <w:tc>
          <w:tcPr>
            <w:tcW w:w="675" w:type="dxa"/>
            <w:noWrap w:val="0"/>
            <w:vAlign w:val="center"/>
          </w:tcPr>
          <w:p w14:paraId="59ECAF15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Cs w:val="21"/>
              </w:rPr>
              <w:t>地质</w:t>
            </w:r>
          </w:p>
          <w:p w14:paraId="6B9112A7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Cs w:val="21"/>
              </w:rPr>
              <w:t>灾害</w:t>
            </w:r>
          </w:p>
        </w:tc>
        <w:tc>
          <w:tcPr>
            <w:tcW w:w="1815" w:type="dxa"/>
            <w:noWrap w:val="0"/>
            <w:vAlign w:val="center"/>
          </w:tcPr>
          <w:p w14:paraId="3A89CCF0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</w:p>
        </w:tc>
        <w:tc>
          <w:tcPr>
            <w:tcW w:w="10274" w:type="dxa"/>
            <w:noWrap w:val="0"/>
            <w:vAlign w:val="center"/>
          </w:tcPr>
          <w:p w14:paraId="55D14A59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发生滑坡、崩塌、泥石流，可能造成电力设施受损以及人员伤亡和财产损失。</w:t>
            </w:r>
          </w:p>
        </w:tc>
      </w:tr>
      <w:tr w14:paraId="1DECF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noWrap w:val="0"/>
            <w:vAlign w:val="center"/>
          </w:tcPr>
          <w:p w14:paraId="3216F9A3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ascii="仿宋_GB2312" w:hAnsi="仿宋_GB2312" w:eastAsia="仿宋_GB2312" w:cs="宋体"/>
                <w:color w:val="000000"/>
                <w:szCs w:val="21"/>
              </w:rPr>
              <w:t>14</w:t>
            </w:r>
          </w:p>
        </w:tc>
        <w:tc>
          <w:tcPr>
            <w:tcW w:w="675" w:type="dxa"/>
            <w:noWrap w:val="0"/>
            <w:vAlign w:val="center"/>
          </w:tcPr>
          <w:p w14:paraId="2D765026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Cs w:val="21"/>
              </w:rPr>
              <w:t>森林</w:t>
            </w:r>
          </w:p>
          <w:p w14:paraId="16E5B0E0">
            <w:pPr>
              <w:jc w:val="center"/>
              <w:rPr>
                <w:rFonts w:ascii="仿宋_GB2312" w:hAnsi="仿宋_GB2312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Cs w:val="21"/>
              </w:rPr>
              <w:t>火险</w:t>
            </w:r>
          </w:p>
        </w:tc>
        <w:tc>
          <w:tcPr>
            <w:tcW w:w="1815" w:type="dxa"/>
            <w:noWrap w:val="0"/>
            <w:vAlign w:val="center"/>
          </w:tcPr>
          <w:p w14:paraId="3BEB7EB0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</w:p>
        </w:tc>
        <w:tc>
          <w:tcPr>
            <w:tcW w:w="10274" w:type="dxa"/>
            <w:noWrap w:val="0"/>
            <w:vAlign w:val="center"/>
          </w:tcPr>
          <w:p w14:paraId="6CF6BE56">
            <w:pPr>
              <w:rPr>
                <w:rFonts w:ascii="仿宋_GB2312" w:hAnsi="仿宋_GB2312" w:eastAsia="仿宋_GB2312" w:cs="仿宋_GB2312"/>
                <w:bCs/>
                <w:color w:val="auto"/>
                <w:kern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44"/>
                <w:szCs w:val="44"/>
              </w:rPr>
              <w:t>造成林木损毁，导致人员伤亡、空气污染等。电力设施周边森林火灾导致电力设备故障跳闸、受损，导致区域甚至大面积停电。</w:t>
            </w:r>
          </w:p>
        </w:tc>
      </w:tr>
    </w:tbl>
    <w:p w14:paraId="09686326">
      <w:pPr>
        <w:pStyle w:val="2"/>
        <w:ind w:firstLine="630"/>
        <w:rPr>
          <w:color w:val="000000"/>
        </w:rPr>
      </w:pPr>
      <w:r>
        <w:rPr>
          <w:rFonts w:hint="eastAsia" w:ascii="仿宋_GB2312" w:hAnsi="仿宋_GB2312" w:eastAsia="仿宋_GB2312" w:cs="仿宋_GB2312"/>
          <w:color w:val="000000"/>
          <w:szCs w:val="21"/>
          <w:lang w:eastAsia="zh-CN"/>
        </w:rPr>
        <w:t>说明：</w:t>
      </w:r>
      <w:r>
        <w:rPr>
          <w:rFonts w:hint="eastAsia" w:ascii="仿宋_GB2312" w:hAnsi="仿宋_GB2312" w:eastAsia="仿宋_GB2312" w:cs="仿宋_GB2312"/>
          <w:color w:val="000000"/>
          <w:szCs w:val="21"/>
        </w:rPr>
        <w:t>台风风险主要考虑大风、风暴潮，由台风引起的降雨风险参照暴雨灾种。</w:t>
      </w:r>
    </w:p>
    <w:sectPr>
      <w:pgSz w:w="16838" w:h="11906" w:orient="landscape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23DF50">
    <w:pPr>
      <w:pStyle w:val="2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-74295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F5EAB2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-5.8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8fm4Z9YAAAAIAQAADwAAAAAA&#10;AAABACAAAAAiAAAAZHJzL2Rvd25yZXYueG1sUEsBAhQAFAAAAAgAh07iQMIEgLDcAQAAtgMAAA4A&#10;AAAAAAAAAQAgAAAAJQEAAGRycy9lMm9Eb2MueG1sUEsFBgAAAAAGAAYAWQEAAHM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F5EAB2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C2A679">
    <w:pPr>
      <w:pStyle w:val="2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-74295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bevel/>
                      </a:ln>
                    </wps:spPr>
                    <wps:txbx>
                      <w:txbxContent>
                        <w:p w14:paraId="45209D1D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-5.8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yfwjvXAAAACAEAAA8A&#10;AAAAAAAAAQAgAAAAIgAAAGRycy9kb3ducmV2LnhtbFBLAQIUABQAAAAIAIdO4kBI4YkS3wEAAMAD&#10;AAAOAAAAAAAAAAEAIAAAACYBAABkcnMvZTJvRG9jLnhtbFBLBQYAAAAABgAGAFkBAAB3BQAAAAA=&#10;">
              <v:fill on="f" focussize="0,0"/>
              <v:stroke on="f" joinstyle="bevel"/>
              <v:imagedata o:title=""/>
              <o:lock v:ext="edit" aspectratio="f"/>
              <v:textbox inset="0mm,0mm,0mm,0mm" style="mso-fit-shape-to-text:t;">
                <w:txbxContent>
                  <w:p w14:paraId="45209D1D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8A427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D7B6D">
    <w:pPr>
      <w:pStyle w:val="2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C93798"/>
    <w:rsid w:val="12FA76A4"/>
    <w:rsid w:val="36694C26"/>
    <w:rsid w:val="695B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qFormat="1" w:uiPriority="99" w:name="footnote text"/>
    <w:lsdException w:qFormat="1"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0" w:beforeAutospacing="0" w:after="0" w:afterAutospacing="0" w:line="240" w:lineRule="auto"/>
      <w:ind w:left="0" w:right="0" w:firstLine="0"/>
      <w:jc w:val="both"/>
    </w:pPr>
    <w:rPr>
      <w:rFonts w:hint="default" w:ascii="Calibri" w:hAnsi="Calibri" w:eastAsia="宋体" w:cs="Times New Roman"/>
      <w:color w:val="auto"/>
      <w:spacing w:val="0"/>
      <w:kern w:val="2"/>
      <w:position w:val="0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51"/>
    <w:qFormat/>
    <w:uiPriority w:val="9"/>
    <w:pPr>
      <w:keepNext/>
      <w:keepLines/>
      <w:overflowPunct w:val="0"/>
      <w:autoSpaceDE w:val="0"/>
      <w:autoSpaceDN w:val="0"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4">
    <w:name w:val="heading 2"/>
    <w:basedOn w:val="1"/>
    <w:next w:val="1"/>
    <w:link w:val="52"/>
    <w:unhideWhenUsed/>
    <w:qFormat/>
    <w:uiPriority w:val="9"/>
    <w:pPr>
      <w:keepNext/>
      <w:keepLines/>
      <w:overflowPunct w:val="0"/>
      <w:autoSpaceDE w:val="0"/>
      <w:autoSpaceDN w:val="0"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5">
    <w:name w:val="heading 3"/>
    <w:basedOn w:val="1"/>
    <w:next w:val="1"/>
    <w:link w:val="53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">
    <w:name w:val="heading 4"/>
    <w:basedOn w:val="1"/>
    <w:next w:val="1"/>
    <w:link w:val="54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">
    <w:name w:val="heading 5"/>
    <w:basedOn w:val="1"/>
    <w:next w:val="1"/>
    <w:link w:val="55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4"/>
    </w:pPr>
    <w:rPr>
      <w:rFonts w:ascii="Arial" w:hAnsi="Arial" w:eastAsia="Arial" w:cs="Arial"/>
      <w:b/>
      <w:bCs/>
      <w:sz w:val="24"/>
    </w:rPr>
  </w:style>
  <w:style w:type="paragraph" w:styleId="8">
    <w:name w:val="heading 6"/>
    <w:basedOn w:val="1"/>
    <w:next w:val="1"/>
    <w:link w:val="56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">
    <w:name w:val="heading 7"/>
    <w:basedOn w:val="1"/>
    <w:next w:val="1"/>
    <w:link w:val="57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10">
    <w:name w:val="heading 8"/>
    <w:basedOn w:val="1"/>
    <w:next w:val="1"/>
    <w:link w:val="58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1">
    <w:name w:val="heading 9"/>
    <w:basedOn w:val="1"/>
    <w:next w:val="1"/>
    <w:link w:val="59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8"/>
    </w:pPr>
    <w:rPr>
      <w:rFonts w:ascii="Arial" w:hAnsi="Arial" w:eastAsia="Arial" w:cs="Arial"/>
      <w:i/>
      <w:iCs/>
      <w:szCs w:val="21"/>
    </w:rPr>
  </w:style>
  <w:style w:type="character" w:default="1" w:styleId="33">
    <w:name w:val="Default Paragraph Font"/>
    <w:semiHidden/>
    <w:unhideWhenUsed/>
    <w:qFormat/>
    <w:uiPriority w:val="1"/>
  </w:style>
  <w:style w:type="table" w:default="1" w:styleId="3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2">
    <w:name w:val="Body Text"/>
    <w:basedOn w:val="1"/>
    <w:link w:val="199"/>
    <w:qFormat/>
    <w:uiPriority w:val="99"/>
    <w:pPr>
      <w:spacing w:after="120"/>
    </w:pPr>
    <w:rPr>
      <w:kern w:val="0"/>
      <w:szCs w:val="20"/>
    </w:rPr>
  </w:style>
  <w:style w:type="paragraph" w:styleId="12">
    <w:name w:val="toc 7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1701"/>
    </w:pPr>
  </w:style>
  <w:style w:type="paragraph" w:styleId="13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/>
      <w:sz w:val="28"/>
    </w:rPr>
  </w:style>
  <w:style w:type="paragraph" w:styleId="14">
    <w:name w:val="caption"/>
    <w:basedOn w:val="1"/>
    <w:next w:val="1"/>
    <w:semiHidden/>
    <w:unhideWhenUsed/>
    <w:qFormat/>
    <w:uiPriority w:val="35"/>
    <w:pPr>
      <w:overflowPunct w:val="0"/>
      <w:autoSpaceDE w:val="0"/>
      <w:autoSpaceDN w:val="0"/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5">
    <w:name w:val="annotation text"/>
    <w:basedOn w:val="1"/>
    <w:semiHidden/>
    <w:unhideWhenUsed/>
    <w:qFormat/>
    <w:uiPriority w:val="99"/>
    <w:pPr>
      <w:jc w:val="left"/>
    </w:pPr>
  </w:style>
  <w:style w:type="paragraph" w:styleId="16">
    <w:name w:val="toc 5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1134"/>
    </w:pPr>
  </w:style>
  <w:style w:type="paragraph" w:styleId="17">
    <w:name w:val="toc 3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567"/>
    </w:pPr>
  </w:style>
  <w:style w:type="paragraph" w:styleId="18">
    <w:name w:val="Plain Text"/>
    <w:basedOn w:val="1"/>
    <w:qFormat/>
    <w:uiPriority w:val="99"/>
    <w:rPr>
      <w:rFonts w:ascii="宋体" w:hAnsi="Courier New"/>
      <w:szCs w:val="20"/>
    </w:rPr>
  </w:style>
  <w:style w:type="paragraph" w:styleId="19">
    <w:name w:val="toc 8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1984"/>
    </w:pPr>
  </w:style>
  <w:style w:type="paragraph" w:styleId="20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2">
    <w:name w:val="toc 1"/>
    <w:basedOn w:val="1"/>
    <w:next w:val="1"/>
    <w:unhideWhenUsed/>
    <w:qFormat/>
    <w:uiPriority w:val="39"/>
    <w:pPr>
      <w:overflowPunct w:val="0"/>
      <w:autoSpaceDE w:val="0"/>
      <w:autoSpaceDN w:val="0"/>
      <w:spacing w:after="57"/>
    </w:pPr>
  </w:style>
  <w:style w:type="paragraph" w:styleId="23">
    <w:name w:val="toc 4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850"/>
    </w:pPr>
  </w:style>
  <w:style w:type="paragraph" w:styleId="24">
    <w:name w:val="Subtitle"/>
    <w:basedOn w:val="1"/>
    <w:next w:val="1"/>
    <w:link w:val="63"/>
    <w:qFormat/>
    <w:uiPriority w:val="11"/>
    <w:pPr>
      <w:overflowPunct w:val="0"/>
      <w:autoSpaceDE w:val="0"/>
      <w:autoSpaceDN w:val="0"/>
      <w:spacing w:before="200" w:after="200"/>
    </w:pPr>
    <w:rPr>
      <w:sz w:val="24"/>
    </w:rPr>
  </w:style>
  <w:style w:type="paragraph" w:styleId="25">
    <w:name w:val="footnote text"/>
    <w:basedOn w:val="1"/>
    <w:link w:val="196"/>
    <w:semiHidden/>
    <w:unhideWhenUsed/>
    <w:qFormat/>
    <w:uiPriority w:val="99"/>
    <w:pPr>
      <w:overflowPunct w:val="0"/>
      <w:autoSpaceDE w:val="0"/>
      <w:autoSpaceDN w:val="0"/>
      <w:spacing w:after="40"/>
    </w:pPr>
    <w:rPr>
      <w:sz w:val="18"/>
    </w:rPr>
  </w:style>
  <w:style w:type="paragraph" w:styleId="26">
    <w:name w:val="toc 6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1417"/>
    </w:pPr>
  </w:style>
  <w:style w:type="paragraph" w:styleId="27">
    <w:name w:val="toc 2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283"/>
    </w:pPr>
  </w:style>
  <w:style w:type="paragraph" w:styleId="28">
    <w:name w:val="toc 9"/>
    <w:basedOn w:val="1"/>
    <w:next w:val="1"/>
    <w:unhideWhenUsed/>
    <w:qFormat/>
    <w:uiPriority w:val="39"/>
    <w:pPr>
      <w:overflowPunct w:val="0"/>
      <w:autoSpaceDE w:val="0"/>
      <w:autoSpaceDN w:val="0"/>
      <w:spacing w:after="57"/>
      <w:ind w:left="2268"/>
    </w:pPr>
  </w:style>
  <w:style w:type="paragraph" w:styleId="2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30">
    <w:name w:val="Title"/>
    <w:basedOn w:val="1"/>
    <w:next w:val="1"/>
    <w:link w:val="62"/>
    <w:qFormat/>
    <w:uiPriority w:val="10"/>
    <w:pPr>
      <w:overflowPunct w:val="0"/>
      <w:autoSpaceDE w:val="0"/>
      <w:autoSpaceDN w:val="0"/>
      <w:spacing w:before="300" w:after="200"/>
      <w:contextualSpacing/>
    </w:pPr>
    <w:rPr>
      <w:sz w:val="48"/>
      <w:szCs w:val="48"/>
    </w:rPr>
  </w:style>
  <w:style w:type="table" w:styleId="32">
    <w:name w:val="Table Grid"/>
    <w:basedOn w:val="31"/>
    <w:qFormat/>
    <w:uiPriority w:val="59"/>
    <w:pPr>
      <w:overflowPunct w:val="0"/>
      <w:autoSpaceDE w:val="0"/>
      <w:autoSpaceDN w:val="0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4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footnote reference"/>
    <w:basedOn w:val="33"/>
    <w:unhideWhenUsed/>
    <w:qFormat/>
    <w:uiPriority w:val="99"/>
    <w:rPr>
      <w:vertAlign w:val="superscript"/>
    </w:rPr>
  </w:style>
  <w:style w:type="character" w:customStyle="1" w:styleId="36">
    <w:name w:val="Heading 1 Char"/>
    <w:basedOn w:val="33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7">
    <w:name w:val="Heading 2 Char"/>
    <w:basedOn w:val="33"/>
    <w:qFormat/>
    <w:uiPriority w:val="9"/>
    <w:rPr>
      <w:rFonts w:ascii="Arial" w:hAnsi="Arial" w:eastAsia="Arial" w:cs="Arial"/>
      <w:sz w:val="34"/>
    </w:rPr>
  </w:style>
  <w:style w:type="character" w:customStyle="1" w:styleId="38">
    <w:name w:val="Heading 3 Char"/>
    <w:basedOn w:val="33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9">
    <w:name w:val="Heading 4 Char"/>
    <w:basedOn w:val="33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0">
    <w:name w:val="Heading 5 Char"/>
    <w:basedOn w:val="3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1">
    <w:name w:val="Heading 6 Char"/>
    <w:basedOn w:val="33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2">
    <w:name w:val="Heading 7 Char"/>
    <w:basedOn w:val="33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3">
    <w:name w:val="Heading 8 Char"/>
    <w:basedOn w:val="33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4">
    <w:name w:val="Heading 9 Char"/>
    <w:basedOn w:val="33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45">
    <w:name w:val="Title Char"/>
    <w:basedOn w:val="33"/>
    <w:qFormat/>
    <w:uiPriority w:val="10"/>
    <w:rPr>
      <w:sz w:val="48"/>
      <w:szCs w:val="48"/>
    </w:rPr>
  </w:style>
  <w:style w:type="character" w:customStyle="1" w:styleId="46">
    <w:name w:val="Subtitle Char"/>
    <w:basedOn w:val="33"/>
    <w:qFormat/>
    <w:uiPriority w:val="11"/>
    <w:rPr>
      <w:sz w:val="24"/>
      <w:szCs w:val="24"/>
    </w:rPr>
  </w:style>
  <w:style w:type="character" w:customStyle="1" w:styleId="47">
    <w:name w:val="Quote Char"/>
    <w:qFormat/>
    <w:uiPriority w:val="29"/>
    <w:rPr>
      <w:i/>
    </w:rPr>
  </w:style>
  <w:style w:type="character" w:customStyle="1" w:styleId="48">
    <w:name w:val="Intense Quote Char"/>
    <w:qFormat/>
    <w:uiPriority w:val="30"/>
    <w:rPr>
      <w:i/>
    </w:rPr>
  </w:style>
  <w:style w:type="character" w:customStyle="1" w:styleId="49">
    <w:name w:val="Footnote Text Char"/>
    <w:qFormat/>
    <w:uiPriority w:val="99"/>
    <w:rPr>
      <w:sz w:val="18"/>
    </w:rPr>
  </w:style>
  <w:style w:type="paragraph" w:customStyle="1" w:styleId="50">
    <w:name w:val="TOC Heading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overflowPunct w:val="0"/>
      <w:autoSpaceDE w:val="0"/>
      <w:autoSpaceDN w:val="0"/>
      <w:spacing w:before="0" w:beforeAutospacing="0" w:after="0" w:afterAutospacing="0" w:line="240" w:lineRule="auto"/>
      <w:ind w:left="0" w:right="0" w:firstLine="0"/>
      <w:jc w:val="left"/>
    </w:pPr>
    <w:rPr>
      <w:rFonts w:hint="default" w:ascii="Times New Roman" w:hAnsi="Times New Roman" w:eastAsia="宋体" w:cs="Times New Roman"/>
      <w:color w:val="auto"/>
      <w:spacing w:val="0"/>
      <w:position w:val="0"/>
      <w:sz w:val="21"/>
      <w:szCs w:val="22"/>
      <w:lang w:val="en-US" w:eastAsia="en-US" w:bidi="en-US"/>
    </w:rPr>
  </w:style>
  <w:style w:type="character" w:customStyle="1" w:styleId="51">
    <w:name w:val="标题 1 Char"/>
    <w:basedOn w:val="33"/>
    <w:link w:val="3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52">
    <w:name w:val="标题 2 Char"/>
    <w:basedOn w:val="33"/>
    <w:link w:val="4"/>
    <w:qFormat/>
    <w:uiPriority w:val="9"/>
    <w:rPr>
      <w:rFonts w:ascii="Arial" w:hAnsi="Arial" w:eastAsia="Arial" w:cs="Arial"/>
      <w:sz w:val="34"/>
    </w:rPr>
  </w:style>
  <w:style w:type="character" w:customStyle="1" w:styleId="53">
    <w:name w:val="标题 3 Char"/>
    <w:basedOn w:val="33"/>
    <w:link w:val="5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4">
    <w:name w:val="标题 4 Char"/>
    <w:basedOn w:val="33"/>
    <w:link w:val="6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5">
    <w:name w:val="标题 5 Char"/>
    <w:basedOn w:val="33"/>
    <w:link w:val="7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6">
    <w:name w:val="标题 6 Char"/>
    <w:basedOn w:val="33"/>
    <w:link w:val="8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7">
    <w:name w:val="标题 7 Char"/>
    <w:basedOn w:val="33"/>
    <w:link w:val="9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8">
    <w:name w:val="标题 8 Char"/>
    <w:basedOn w:val="33"/>
    <w:link w:val="10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9">
    <w:name w:val="标题 9 Char"/>
    <w:basedOn w:val="33"/>
    <w:link w:val="11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60">
    <w:name w:val="List Paragraph"/>
    <w:basedOn w:val="1"/>
    <w:qFormat/>
    <w:uiPriority w:val="34"/>
    <w:pPr>
      <w:overflowPunct w:val="0"/>
      <w:autoSpaceDE w:val="0"/>
      <w:autoSpaceDN w:val="0"/>
      <w:ind w:left="720"/>
      <w:contextualSpacing/>
    </w:pPr>
  </w:style>
  <w:style w:type="paragraph" w:styleId="61">
    <w:name w:val="No Spacing"/>
    <w:qFormat/>
    <w:uiPriority w:val="1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overflowPunct w:val="0"/>
      <w:autoSpaceDE w:val="0"/>
      <w:autoSpaceDN w:val="0"/>
      <w:spacing w:before="0" w:beforeAutospacing="0" w:after="0" w:afterAutospacing="0" w:line="240" w:lineRule="auto"/>
      <w:ind w:left="0" w:right="0" w:firstLine="0"/>
      <w:jc w:val="left"/>
    </w:pPr>
    <w:rPr>
      <w:rFonts w:hint="default" w:ascii="Times New Roman" w:hAnsi="Times New Roman" w:eastAsia="宋体" w:cs="Times New Roman"/>
      <w:color w:val="auto"/>
      <w:spacing w:val="0"/>
      <w:position w:val="0"/>
      <w:sz w:val="21"/>
      <w:szCs w:val="22"/>
      <w:lang w:val="en-US" w:eastAsia="en-US" w:bidi="en-US"/>
    </w:rPr>
  </w:style>
  <w:style w:type="character" w:customStyle="1" w:styleId="62">
    <w:name w:val="标题 Char"/>
    <w:basedOn w:val="33"/>
    <w:link w:val="30"/>
    <w:qFormat/>
    <w:uiPriority w:val="10"/>
    <w:rPr>
      <w:sz w:val="48"/>
      <w:szCs w:val="48"/>
    </w:rPr>
  </w:style>
  <w:style w:type="character" w:customStyle="1" w:styleId="63">
    <w:name w:val="副标题 Char"/>
    <w:basedOn w:val="33"/>
    <w:link w:val="24"/>
    <w:qFormat/>
    <w:uiPriority w:val="11"/>
    <w:rPr>
      <w:sz w:val="24"/>
      <w:szCs w:val="24"/>
    </w:rPr>
  </w:style>
  <w:style w:type="paragraph" w:styleId="64">
    <w:name w:val="Quote"/>
    <w:basedOn w:val="1"/>
    <w:next w:val="1"/>
    <w:link w:val="65"/>
    <w:qFormat/>
    <w:uiPriority w:val="29"/>
    <w:pPr>
      <w:overflowPunct w:val="0"/>
      <w:autoSpaceDE w:val="0"/>
      <w:autoSpaceDN w:val="0"/>
      <w:ind w:left="720" w:right="720"/>
    </w:pPr>
    <w:rPr>
      <w:i/>
    </w:rPr>
  </w:style>
  <w:style w:type="character" w:customStyle="1" w:styleId="65">
    <w:name w:val="引用 Char"/>
    <w:link w:val="64"/>
    <w:qFormat/>
    <w:uiPriority w:val="29"/>
    <w:rPr>
      <w:i/>
    </w:rPr>
  </w:style>
  <w:style w:type="paragraph" w:styleId="66">
    <w:name w:val="Intense Quote"/>
    <w:basedOn w:val="1"/>
    <w:next w:val="1"/>
    <w:link w:val="67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overflowPunct w:val="0"/>
      <w:autoSpaceDE w:val="0"/>
      <w:autoSpaceDN w:val="0"/>
      <w:ind w:left="720" w:right="720"/>
    </w:pPr>
    <w:rPr>
      <w:i/>
    </w:rPr>
  </w:style>
  <w:style w:type="character" w:customStyle="1" w:styleId="67">
    <w:name w:val="明显引用 Char"/>
    <w:link w:val="66"/>
    <w:qFormat/>
    <w:uiPriority w:val="30"/>
    <w:rPr>
      <w:i/>
    </w:rPr>
  </w:style>
  <w:style w:type="character" w:customStyle="1" w:styleId="68">
    <w:name w:val="Header Char"/>
    <w:basedOn w:val="33"/>
    <w:qFormat/>
    <w:uiPriority w:val="99"/>
  </w:style>
  <w:style w:type="character" w:customStyle="1" w:styleId="69">
    <w:name w:val="Footer Char"/>
    <w:basedOn w:val="33"/>
    <w:qFormat/>
    <w:uiPriority w:val="99"/>
  </w:style>
  <w:style w:type="character" w:customStyle="1" w:styleId="70">
    <w:name w:val="Caption Char"/>
    <w:qFormat/>
    <w:uiPriority w:val="99"/>
  </w:style>
  <w:style w:type="table" w:customStyle="1" w:styleId="71">
    <w:name w:val="Table Grid Light"/>
    <w:basedOn w:val="31"/>
    <w:qFormat/>
    <w:uiPriority w:val="59"/>
    <w:pPr>
      <w:overflowPunct w:val="0"/>
      <w:autoSpaceDE w:val="0"/>
      <w:autoSpaceDN w:val="0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72">
    <w:name w:val="Plain Table 1"/>
    <w:basedOn w:val="31"/>
    <w:qFormat/>
    <w:uiPriority w:val="59"/>
    <w:pPr>
      <w:overflowPunct w:val="0"/>
      <w:autoSpaceDE w:val="0"/>
      <w:autoSpaceDN w:val="0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auto" w:fill="F1F1F1" w:themeFill="text1" w:themeFillTint="0D"/>
      </w:tcPr>
    </w:tblStylePr>
    <w:tblStylePr w:type="band1Horz">
      <w:tcPr>
        <w:shd w:val="clear" w:color="auto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73">
    <w:name w:val="Plain Table 2"/>
    <w:basedOn w:val="31"/>
    <w:qFormat/>
    <w:uiPriority w:val="59"/>
    <w:pPr>
      <w:overflowPunct w:val="0"/>
      <w:autoSpaceDE w:val="0"/>
      <w:autoSpaceDN w:val="0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Plain Table 3"/>
    <w:basedOn w:val="31"/>
    <w:qFormat/>
    <w:uiPriority w:val="99"/>
    <w:pPr>
      <w:overflowPunct w:val="0"/>
      <w:autoSpaceDE w:val="0"/>
      <w:autoSpaceDN w:val="0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75">
    <w:name w:val="Plain Table 4"/>
    <w:basedOn w:val="31"/>
    <w:qFormat/>
    <w:uiPriority w:val="99"/>
    <w:pPr>
      <w:overflowPunct w:val="0"/>
      <w:autoSpaceDE w:val="0"/>
      <w:autoSpaceDN w:val="0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76">
    <w:name w:val="Plain Table 5"/>
    <w:basedOn w:val="31"/>
    <w:qFormat/>
    <w:uiPriority w:val="99"/>
    <w:pPr>
      <w:overflowPunct w:val="0"/>
      <w:autoSpaceDE w:val="0"/>
      <w:autoSpaceDN w:val="0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77">
    <w:name w:val="Grid Table 1 Light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1 Light - Accent 1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1 Light - Accent 2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1 Light - Accent 3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1 Light - Accent 4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1 Light - Accent 5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1 Light - Accent 6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2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neCell"/>
    <w:tblStylePr w:type="nwCell"/>
    <w:tblStylePr w:type="seCell"/>
    <w:tblStylePr w:type="swCell"/>
  </w:style>
  <w:style w:type="table" w:customStyle="1" w:styleId="85">
    <w:name w:val="Grid Table 2 - Accent 1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neCell"/>
    <w:tblStylePr w:type="nwCell"/>
    <w:tblStylePr w:type="seCell"/>
    <w:tblStylePr w:type="swCell"/>
  </w:style>
  <w:style w:type="table" w:customStyle="1" w:styleId="86">
    <w:name w:val="Grid Table 2 - Accent 2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87">
    <w:name w:val="Grid Table 2 - Accent 3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88">
    <w:name w:val="Grid Table 2 - Accent 4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89">
    <w:name w:val="Grid Table 2 - Accent 5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90">
    <w:name w:val="Grid Table 2 - Accent 6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91">
    <w:name w:val="Grid Table 3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neCell"/>
    <w:tblStylePr w:type="nwCell"/>
    <w:tblStylePr w:type="seCell"/>
    <w:tblStylePr w:type="swCell"/>
  </w:style>
  <w:style w:type="table" w:customStyle="1" w:styleId="92">
    <w:name w:val="Grid Table 3 - Accent 1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neCell"/>
    <w:tblStylePr w:type="nwCell"/>
    <w:tblStylePr w:type="seCell"/>
    <w:tblStylePr w:type="swCell"/>
  </w:style>
  <w:style w:type="table" w:customStyle="1" w:styleId="93">
    <w:name w:val="Grid Table 3 - Accent 2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94">
    <w:name w:val="Grid Table 3 - Accent 3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95">
    <w:name w:val="Grid Table 3 - Accent 4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96">
    <w:name w:val="Grid Table 3 - Accent 5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97">
    <w:name w:val="Grid Table 3 - Accent 6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overflowPunct w:val="0"/>
        <w:autoSpaceDE w:val="0"/>
        <w:autoSpaceDN w:val="0"/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98">
    <w:name w:val="Grid Table 4"/>
    <w:basedOn w:val="31"/>
    <w:qFormat/>
    <w:uiPriority w:val="59"/>
    <w:pPr>
      <w:overflowPunct w:val="0"/>
      <w:autoSpaceDE w:val="0"/>
      <w:autoSpaceDN w:val="0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auto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neCell"/>
    <w:tblStylePr w:type="nwCell"/>
    <w:tblStylePr w:type="seCell"/>
    <w:tblStylePr w:type="swCell"/>
  </w:style>
  <w:style w:type="table" w:customStyle="1" w:styleId="99">
    <w:name w:val="Grid Table 4 - Accent 1"/>
    <w:basedOn w:val="31"/>
    <w:qFormat/>
    <w:uiPriority w:val="59"/>
    <w:pPr>
      <w:overflowPunct w:val="0"/>
      <w:autoSpaceDE w:val="0"/>
      <w:autoSpaceDN w:val="0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auto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neCell"/>
    <w:tblStylePr w:type="nwCell"/>
    <w:tblStylePr w:type="seCell"/>
    <w:tblStylePr w:type="swCell"/>
  </w:style>
  <w:style w:type="table" w:customStyle="1" w:styleId="100">
    <w:name w:val="Grid Table 4 - Accent 2"/>
    <w:basedOn w:val="31"/>
    <w:qFormat/>
    <w:uiPriority w:val="59"/>
    <w:pPr>
      <w:overflowPunct w:val="0"/>
      <w:autoSpaceDE w:val="0"/>
      <w:autoSpaceDN w:val="0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auto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01">
    <w:name w:val="Grid Table 4 - Accent 3"/>
    <w:basedOn w:val="31"/>
    <w:qFormat/>
    <w:uiPriority w:val="59"/>
    <w:pPr>
      <w:overflowPunct w:val="0"/>
      <w:autoSpaceDE w:val="0"/>
      <w:autoSpaceDN w:val="0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auto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02">
    <w:name w:val="Grid Table 4 - Accent 4"/>
    <w:basedOn w:val="31"/>
    <w:qFormat/>
    <w:uiPriority w:val="59"/>
    <w:pPr>
      <w:overflowPunct w:val="0"/>
      <w:autoSpaceDE w:val="0"/>
      <w:autoSpaceDN w:val="0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03">
    <w:name w:val="Grid Table 4 - Accent 5"/>
    <w:basedOn w:val="31"/>
    <w:qFormat/>
    <w:uiPriority w:val="59"/>
    <w:pPr>
      <w:overflowPunct w:val="0"/>
      <w:autoSpaceDE w:val="0"/>
      <w:autoSpaceDN w:val="0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auto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04">
    <w:name w:val="Grid Table 4 - Accent 6"/>
    <w:basedOn w:val="31"/>
    <w:qFormat/>
    <w:uiPriority w:val="59"/>
    <w:pPr>
      <w:overflowPunct w:val="0"/>
      <w:autoSpaceDE w:val="0"/>
      <w:autoSpaceDN w:val="0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auto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05">
    <w:name w:val="Grid Table 5 Dark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band1Vert">
      <w:tcPr>
        <w:shd w:val="clear" w:color="auto" w:fill="898989" w:themeFill="text1" w:themeFillTint="75"/>
      </w:tcPr>
    </w:tblStylePr>
    <w:tblStylePr w:type="band1Horz">
      <w:tcPr>
        <w:shd w:val="clear" w:color="auto" w:fill="898989" w:themeFill="text1" w:themeFillTint="75"/>
      </w:tcPr>
    </w:tblStylePr>
    <w:tblStylePr w:type="neCell"/>
    <w:tblStylePr w:type="nwCell"/>
    <w:tblStylePr w:type="seCell"/>
    <w:tblStylePr w:type="swCell"/>
  </w:style>
  <w:style w:type="table" w:customStyle="1" w:styleId="106">
    <w:name w:val="Grid Table 5 Dark- Accent 1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band1Vert">
      <w:tcPr>
        <w:shd w:val="clear" w:color="auto" w:fill="AEC5E0" w:themeFill="accent1" w:themeFillTint="75"/>
      </w:tcPr>
    </w:tblStylePr>
    <w:tblStylePr w:type="band1Horz">
      <w:tcPr>
        <w:shd w:val="clear" w:color="auto" w:fill="AEC5E0" w:themeFill="accent1" w:themeFillTint="75"/>
      </w:tcPr>
    </w:tblStylePr>
    <w:tblStylePr w:type="neCell"/>
    <w:tblStylePr w:type="nwCell"/>
    <w:tblStylePr w:type="seCell"/>
    <w:tblStylePr w:type="swCell"/>
  </w:style>
  <w:style w:type="table" w:customStyle="1" w:styleId="107">
    <w:name w:val="Grid Table 5 Dark - Accent 2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band1Vert">
      <w:tcPr>
        <w:shd w:val="clear" w:color="auto" w:fill="E2AEAD" w:themeFill="accent2" w:themeFillTint="75"/>
      </w:tcPr>
    </w:tblStylePr>
    <w:tblStylePr w:type="band1Horz">
      <w:tcPr>
        <w:shd w:val="clear" w:color="auto" w:fill="E2AEAD" w:themeFill="accent2" w:themeFillTint="75"/>
      </w:tcPr>
    </w:tblStylePr>
    <w:tblStylePr w:type="neCell"/>
    <w:tblStylePr w:type="nwCell"/>
    <w:tblStylePr w:type="seCell"/>
    <w:tblStylePr w:type="swCell"/>
  </w:style>
  <w:style w:type="table" w:customStyle="1" w:styleId="108">
    <w:name w:val="Grid Table 5 Dark - Accent 3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band1Vert">
      <w:tcPr>
        <w:shd w:val="clear" w:color="auto" w:fill="D1DFB2" w:themeFill="accent3" w:themeFillTint="75"/>
      </w:tcPr>
    </w:tblStylePr>
    <w:tblStylePr w:type="band1Horz">
      <w:tcPr>
        <w:shd w:val="clear" w:color="auto" w:fill="D1DFB2" w:themeFill="accent3" w:themeFillTint="75"/>
      </w:tcPr>
    </w:tblStylePr>
    <w:tblStylePr w:type="neCell"/>
    <w:tblStylePr w:type="nwCell"/>
    <w:tblStylePr w:type="seCell"/>
    <w:tblStylePr w:type="swCell"/>
  </w:style>
  <w:style w:type="table" w:customStyle="1" w:styleId="109">
    <w:name w:val="Grid Table 5 Dark- Accent 4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band1Vert">
      <w:tcPr>
        <w:shd w:val="clear" w:color="auto" w:fill="C4B7D4" w:themeFill="accent4" w:themeFillTint="75"/>
      </w:tcPr>
    </w:tblStylePr>
    <w:tblStylePr w:type="band1Horz">
      <w:tcPr>
        <w:shd w:val="clear" w:color="auto" w:fill="C4B7D4" w:themeFill="accent4" w:themeFillTint="75"/>
      </w:tcPr>
    </w:tblStylePr>
    <w:tblStylePr w:type="neCell"/>
    <w:tblStylePr w:type="nwCell"/>
    <w:tblStylePr w:type="seCell"/>
    <w:tblStylePr w:type="swCell"/>
  </w:style>
  <w:style w:type="table" w:customStyle="1" w:styleId="110">
    <w:name w:val="Grid Table 5 Dark - Accent 5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band1Vert">
      <w:tcPr>
        <w:shd w:val="clear" w:color="auto" w:fill="ACD8E4" w:themeFill="accent5" w:themeFillTint="75"/>
      </w:tcPr>
    </w:tblStylePr>
    <w:tblStylePr w:type="band1Horz">
      <w:tcPr>
        <w:shd w:val="clear" w:color="auto" w:fill="ACD8E4" w:themeFill="accent5" w:themeFillTint="75"/>
      </w:tcPr>
    </w:tblStylePr>
    <w:tblStylePr w:type="neCell"/>
    <w:tblStylePr w:type="nwCell"/>
    <w:tblStylePr w:type="seCell"/>
    <w:tblStylePr w:type="swCell"/>
  </w:style>
  <w:style w:type="table" w:customStyle="1" w:styleId="111">
    <w:name w:val="Grid Table 5 Dark - Accent 6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band1Vert">
      <w:tcPr>
        <w:shd w:val="clear" w:color="auto" w:fill="FBCEAA" w:themeFill="accent6" w:themeFillTint="75"/>
      </w:tcPr>
    </w:tblStylePr>
    <w:tblStylePr w:type="band1Horz">
      <w:tcPr>
        <w:shd w:val="clear" w:color="auto" w:fill="FBCEAA" w:themeFill="accent6" w:themeFillTint="75"/>
      </w:tcPr>
    </w:tblStylePr>
    <w:tblStylePr w:type="neCell"/>
    <w:tblStylePr w:type="nwCell"/>
    <w:tblStylePr w:type="seCell"/>
    <w:tblStylePr w:type="swCell"/>
  </w:style>
  <w:style w:type="table" w:customStyle="1" w:styleId="112">
    <w:name w:val="Grid Table 6 Colorful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auto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auto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13">
    <w:name w:val="Grid Table 6 Colorful - Accent 1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auto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auto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14">
    <w:name w:val="Grid Table 6 Colorful - Accent 2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auto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15">
    <w:name w:val="Grid Table 6 Colorful - Accent 3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/>
        <w14:textFill>
          <w14:solidFill>
            <w14:schemeClr w14:val="accent3"/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auto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auto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16">
    <w:name w:val="Grid Table 6 Colorful - Accent 4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17">
    <w:name w:val="Grid Table 6 Colorful - Accent 5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auto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8">
    <w:name w:val="Grid Table 6 Colorful - Accent 6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auto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auto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9">
    <w:name w:val="Grid Table 7 Colorful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auto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20">
    <w:name w:val="Grid Table 7 Colorful - Accent 1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auto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21">
    <w:name w:val="Grid Table 7 Colorful - Accent 2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22">
    <w:name w:val="Grid Table 7 Colorful - Accent 3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auto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23">
    <w:name w:val="Grid Table 7 Colorful - Accent 4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24">
    <w:name w:val="Grid Table 7 Colorful - Accent 5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25">
    <w:name w:val="Grid Table 7 Colorful - Accent 6"/>
    <w:basedOn w:val="31"/>
    <w:qFormat/>
    <w:uiPriority w:val="99"/>
    <w:pPr>
      <w:overflowPunct w:val="0"/>
      <w:autoSpaceDE w:val="0"/>
      <w:autoSpaceDN w:val="0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auto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26">
    <w:name w:val="List Table 1 Light"/>
    <w:basedOn w:val="31"/>
    <w:qFormat/>
    <w:uiPriority w:val="99"/>
    <w:pPr>
      <w:overflowPunct w:val="0"/>
      <w:autoSpaceDE w:val="0"/>
      <w:autoSpaceDN w:val="0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BEBEBE" w:themeFill="text1" w:themeFillTint="40"/>
      </w:tcPr>
    </w:tblStylePr>
    <w:tblStylePr w:type="band1Horz">
      <w:tcPr>
        <w:shd w:val="clear" w:color="auto" w:fill="BEBEBE" w:themeFill="text1" w:themeFillTint="40"/>
      </w:tcPr>
    </w:tblStylePr>
    <w:tblStylePr w:type="neCell"/>
    <w:tblStylePr w:type="nwCell"/>
    <w:tblStylePr w:type="seCell"/>
    <w:tblStylePr w:type="swCell"/>
  </w:style>
  <w:style w:type="table" w:customStyle="1" w:styleId="127">
    <w:name w:val="List Table 1 Light - Accent 1"/>
    <w:basedOn w:val="31"/>
    <w:qFormat/>
    <w:uiPriority w:val="99"/>
    <w:pPr>
      <w:overflowPunct w:val="0"/>
      <w:autoSpaceDE w:val="0"/>
      <w:autoSpaceDN w:val="0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2DFEE" w:themeFill="accent1" w:themeFillTint="40"/>
      </w:tcPr>
    </w:tblStylePr>
    <w:tblStylePr w:type="band1Horz">
      <w:tcPr>
        <w:shd w:val="clear" w:color="auto" w:fill="D2DFEE" w:themeFill="accent1" w:themeFillTint="40"/>
      </w:tcPr>
    </w:tblStylePr>
    <w:tblStylePr w:type="neCell"/>
    <w:tblStylePr w:type="nwCell"/>
    <w:tblStylePr w:type="seCell"/>
    <w:tblStylePr w:type="swCell"/>
  </w:style>
  <w:style w:type="table" w:customStyle="1" w:styleId="128">
    <w:name w:val="List Table 1 Light - Accent 2"/>
    <w:basedOn w:val="31"/>
    <w:qFormat/>
    <w:uiPriority w:val="99"/>
    <w:pPr>
      <w:overflowPunct w:val="0"/>
      <w:autoSpaceDE w:val="0"/>
      <w:autoSpaceDN w:val="0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FD3D2" w:themeFill="accent2" w:themeFillTint="40"/>
      </w:tcPr>
    </w:tblStylePr>
    <w:tblStylePr w:type="band1Horz">
      <w:tcPr>
        <w:shd w:val="clear" w:color="auto" w:fill="EFD3D2" w:themeFill="accent2" w:themeFillTint="40"/>
      </w:tcPr>
    </w:tblStylePr>
    <w:tblStylePr w:type="neCell"/>
    <w:tblStylePr w:type="nwCell"/>
    <w:tblStylePr w:type="seCell"/>
    <w:tblStylePr w:type="swCell"/>
  </w:style>
  <w:style w:type="table" w:customStyle="1" w:styleId="129">
    <w:name w:val="List Table 1 Light - Accent 3"/>
    <w:basedOn w:val="31"/>
    <w:qFormat/>
    <w:uiPriority w:val="99"/>
    <w:pPr>
      <w:overflowPunct w:val="0"/>
      <w:autoSpaceDE w:val="0"/>
      <w:autoSpaceDN w:val="0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5EDD5" w:themeFill="accent3" w:themeFillTint="40"/>
      </w:tcPr>
    </w:tblStylePr>
    <w:tblStylePr w:type="band1Horz">
      <w:tcPr>
        <w:shd w:val="clear" w:color="auto" w:fill="E5EDD5" w:themeFill="accent3" w:themeFillTint="40"/>
      </w:tcPr>
    </w:tblStylePr>
    <w:tblStylePr w:type="neCell"/>
    <w:tblStylePr w:type="nwCell"/>
    <w:tblStylePr w:type="seCell"/>
    <w:tblStylePr w:type="swCell"/>
  </w:style>
  <w:style w:type="table" w:customStyle="1" w:styleId="130">
    <w:name w:val="List Table 1 Light - Accent 4"/>
    <w:basedOn w:val="31"/>
    <w:qFormat/>
    <w:uiPriority w:val="99"/>
    <w:pPr>
      <w:overflowPunct w:val="0"/>
      <w:autoSpaceDE w:val="0"/>
      <w:autoSpaceDN w:val="0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FD8E7" w:themeFill="accent4" w:themeFillTint="40"/>
      </w:tcPr>
    </w:tblStylePr>
    <w:tblStylePr w:type="band1Horz">
      <w:tcPr>
        <w:shd w:val="clear" w:color="auto" w:fill="DFD8E7" w:themeFill="accent4" w:themeFillTint="40"/>
      </w:tcPr>
    </w:tblStylePr>
    <w:tblStylePr w:type="neCell"/>
    <w:tblStylePr w:type="nwCell"/>
    <w:tblStylePr w:type="seCell"/>
    <w:tblStylePr w:type="swCell"/>
  </w:style>
  <w:style w:type="table" w:customStyle="1" w:styleId="131">
    <w:name w:val="List Table 1 Light - Accent 5"/>
    <w:basedOn w:val="31"/>
    <w:qFormat/>
    <w:uiPriority w:val="99"/>
    <w:pPr>
      <w:overflowPunct w:val="0"/>
      <w:autoSpaceDE w:val="0"/>
      <w:autoSpaceDN w:val="0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1EAF0" w:themeFill="accent5" w:themeFillTint="40"/>
      </w:tcPr>
    </w:tblStylePr>
    <w:tblStylePr w:type="band1Horz">
      <w:tcPr>
        <w:shd w:val="clear" w:color="auto" w:fill="D1EAF0" w:themeFill="accent5" w:themeFillTint="40"/>
      </w:tcPr>
    </w:tblStylePr>
    <w:tblStylePr w:type="neCell"/>
    <w:tblStylePr w:type="nwCell"/>
    <w:tblStylePr w:type="seCell"/>
    <w:tblStylePr w:type="swCell"/>
  </w:style>
  <w:style w:type="table" w:customStyle="1" w:styleId="132">
    <w:name w:val="List Table 1 Light - Accent 6"/>
    <w:basedOn w:val="31"/>
    <w:qFormat/>
    <w:uiPriority w:val="99"/>
    <w:pPr>
      <w:overflowPunct w:val="0"/>
      <w:autoSpaceDE w:val="0"/>
      <w:autoSpaceDN w:val="0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FCE4D0" w:themeFill="accent6" w:themeFillTint="40"/>
      </w:tcPr>
    </w:tblStylePr>
    <w:tblStylePr w:type="band1Horz">
      <w:tcPr>
        <w:shd w:val="clear" w:color="auto" w:fill="FCE4D0" w:themeFill="accent6" w:themeFillTint="40"/>
      </w:tcPr>
    </w:tblStylePr>
    <w:tblStylePr w:type="neCell"/>
    <w:tblStylePr w:type="nwCell"/>
    <w:tblStylePr w:type="seCell"/>
    <w:tblStylePr w:type="swCell"/>
  </w:style>
  <w:style w:type="table" w:customStyle="1" w:styleId="133">
    <w:name w:val="List Table 2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neCell"/>
    <w:tblStylePr w:type="nwCell"/>
    <w:tblStylePr w:type="seCell"/>
    <w:tblStylePr w:type="swCell"/>
  </w:style>
  <w:style w:type="table" w:customStyle="1" w:styleId="134">
    <w:name w:val="List Table 2 - Accent 1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neCell"/>
    <w:tblStylePr w:type="nwCell"/>
    <w:tblStylePr w:type="seCell"/>
    <w:tblStylePr w:type="swCell"/>
  </w:style>
  <w:style w:type="table" w:customStyle="1" w:styleId="135">
    <w:name w:val="List Table 2 - Accent 2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neCell"/>
    <w:tblStylePr w:type="nwCell"/>
    <w:tblStylePr w:type="seCell"/>
    <w:tblStylePr w:type="swCell"/>
  </w:style>
  <w:style w:type="table" w:customStyle="1" w:styleId="136">
    <w:name w:val="List Table 2 - Accent 3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neCell"/>
    <w:tblStylePr w:type="nwCell"/>
    <w:tblStylePr w:type="seCell"/>
    <w:tblStylePr w:type="swCell"/>
  </w:style>
  <w:style w:type="table" w:customStyle="1" w:styleId="137">
    <w:name w:val="List Table 2 - Accent 4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neCell"/>
    <w:tblStylePr w:type="nwCell"/>
    <w:tblStylePr w:type="seCell"/>
    <w:tblStylePr w:type="swCell"/>
  </w:style>
  <w:style w:type="table" w:customStyle="1" w:styleId="138">
    <w:name w:val="List Table 2 - Accent 5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neCell"/>
    <w:tblStylePr w:type="nwCell"/>
    <w:tblStylePr w:type="seCell"/>
    <w:tblStylePr w:type="swCell"/>
  </w:style>
  <w:style w:type="table" w:customStyle="1" w:styleId="139">
    <w:name w:val="List Table 2 - Accent 6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3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41">
    <w:name w:val="List Table 3 - Accent 1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42">
    <w:name w:val="List Table 3 - Accent 2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43">
    <w:name w:val="List Table 3 - Accent 3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44">
    <w:name w:val="List Table 3 - Accent 4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45">
    <w:name w:val="List Table 3 - Accent 5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46">
    <w:name w:val="List Table 3 - Accent 6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47">
    <w:name w:val="List Table 4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neCell"/>
    <w:tblStylePr w:type="nwCell"/>
    <w:tblStylePr w:type="seCell"/>
    <w:tblStylePr w:type="swCell"/>
  </w:style>
  <w:style w:type="table" w:customStyle="1" w:styleId="148">
    <w:name w:val="List Table 4 - Accent 1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neCell"/>
    <w:tblStylePr w:type="nwCell"/>
    <w:tblStylePr w:type="seCell"/>
    <w:tblStylePr w:type="swCell"/>
  </w:style>
  <w:style w:type="table" w:customStyle="1" w:styleId="149">
    <w:name w:val="List Table 4 - Accent 2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neCell"/>
    <w:tblStylePr w:type="nwCell"/>
    <w:tblStylePr w:type="seCell"/>
    <w:tblStylePr w:type="swCell"/>
  </w:style>
  <w:style w:type="table" w:customStyle="1" w:styleId="150">
    <w:name w:val="List Table 4 - Accent 3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neCell"/>
    <w:tblStylePr w:type="nwCell"/>
    <w:tblStylePr w:type="seCell"/>
    <w:tblStylePr w:type="swCell"/>
  </w:style>
  <w:style w:type="table" w:customStyle="1" w:styleId="151">
    <w:name w:val="List Table 4 - Accent 4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neCell"/>
    <w:tblStylePr w:type="nwCell"/>
    <w:tblStylePr w:type="seCell"/>
    <w:tblStylePr w:type="swCell"/>
  </w:style>
  <w:style w:type="table" w:customStyle="1" w:styleId="152">
    <w:name w:val="List Table 4 - Accent 5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neCell"/>
    <w:tblStylePr w:type="nwCell"/>
    <w:tblStylePr w:type="seCell"/>
    <w:tblStylePr w:type="swCell"/>
  </w:style>
  <w:style w:type="table" w:customStyle="1" w:styleId="153">
    <w:name w:val="List Table 4 - Accent 6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neCell"/>
    <w:tblStylePr w:type="nwCell"/>
    <w:tblStylePr w:type="seCell"/>
    <w:tblStylePr w:type="swCell"/>
  </w:style>
  <w:style w:type="table" w:customStyle="1" w:styleId="154">
    <w:name w:val="List Table 5 Dark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auto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55">
    <w:name w:val="List Table 5 Dark - Accent 1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56">
    <w:name w:val="List Table 5 Dark - Accent 2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auto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57">
    <w:name w:val="List Table 5 Dark - Accent 3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auto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58">
    <w:name w:val="List Table 5 Dark - Accent 4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59">
    <w:name w:val="List Table 5 Dark - Accent 5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60">
    <w:name w:val="List Table 5 Dark - Accent 6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61">
    <w:name w:val="List Table 6 Colorful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auto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auto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2">
    <w:name w:val="List Table 6 Colorful - Accent 1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auto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63">
    <w:name w:val="List Table 6 Colorful - Accent 2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auto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4">
    <w:name w:val="List Table 6 Colorful - Accent 3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auto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5">
    <w:name w:val="List Table 6 Colorful - Accent 4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6">
    <w:name w:val="List Table 6 Colorful - Accent 5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7">
    <w:name w:val="List Table 6 Colorful - Accent 6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auto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auto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8">
    <w:name w:val="List Table 7 Colorful"/>
    <w:basedOn w:val="31"/>
    <w:qFormat/>
    <w:uiPriority w:val="99"/>
    <w:pPr>
      <w:overflowPunct w:val="0"/>
      <w:autoSpaceDE w:val="0"/>
      <w:autoSpaceDN w:val="0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auto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9">
    <w:name w:val="List Table 7 Colorful - Accent 1"/>
    <w:basedOn w:val="31"/>
    <w:qFormat/>
    <w:uiPriority w:val="99"/>
    <w:pPr>
      <w:overflowPunct w:val="0"/>
      <w:autoSpaceDE w:val="0"/>
      <w:autoSpaceDN w:val="0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70">
    <w:name w:val="List Table 7 Colorful - Accent 2"/>
    <w:basedOn w:val="31"/>
    <w:qFormat/>
    <w:uiPriority w:val="99"/>
    <w:pPr>
      <w:overflowPunct w:val="0"/>
      <w:autoSpaceDE w:val="0"/>
      <w:autoSpaceDN w:val="0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auto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71">
    <w:name w:val="List Table 7 Colorful - Accent 3"/>
    <w:basedOn w:val="31"/>
    <w:qFormat/>
    <w:uiPriority w:val="99"/>
    <w:pPr>
      <w:overflowPunct w:val="0"/>
      <w:autoSpaceDE w:val="0"/>
      <w:autoSpaceDN w:val="0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auto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72">
    <w:name w:val="List Table 7 Colorful - Accent 4"/>
    <w:basedOn w:val="31"/>
    <w:qFormat/>
    <w:uiPriority w:val="99"/>
    <w:pPr>
      <w:overflowPunct w:val="0"/>
      <w:autoSpaceDE w:val="0"/>
      <w:autoSpaceDN w:val="0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73">
    <w:name w:val="List Table 7 Colorful - Accent 5"/>
    <w:basedOn w:val="31"/>
    <w:qFormat/>
    <w:uiPriority w:val="99"/>
    <w:pPr>
      <w:overflowPunct w:val="0"/>
      <w:autoSpaceDE w:val="0"/>
      <w:autoSpaceDN w:val="0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74">
    <w:name w:val="List Table 7 Colorful - Accent 6"/>
    <w:basedOn w:val="31"/>
    <w:qFormat/>
    <w:uiPriority w:val="99"/>
    <w:pPr>
      <w:overflowPunct w:val="0"/>
      <w:autoSpaceDE w:val="0"/>
      <w:autoSpaceDN w:val="0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overflowPunct w:val="0"/>
        <w:autoSpaceDE w:val="0"/>
        <w:autoSpaceDN w:val="0"/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auto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auto" w:fill="auto"/>
      </w:tcPr>
    </w:tblStylePr>
    <w:tblStylePr w:type="band1Vert">
      <w:tcPr>
        <w:shd w:val="clear" w:color="auto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auto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75">
    <w:name w:val="Lined - Accent"/>
    <w:basedOn w:val="31"/>
    <w:qFormat/>
    <w:uiPriority w:val="99"/>
    <w:pPr>
      <w:overflowPunct w:val="0"/>
      <w:autoSpaceDE w:val="0"/>
      <w:autoSpaceDN w:val="0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176">
    <w:name w:val="Lined - Accent 1"/>
    <w:basedOn w:val="31"/>
    <w:qFormat/>
    <w:uiPriority w:val="99"/>
    <w:pPr>
      <w:overflowPunct w:val="0"/>
      <w:autoSpaceDE w:val="0"/>
      <w:autoSpaceDN w:val="0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</w:style>
  <w:style w:type="table" w:customStyle="1" w:styleId="177">
    <w:name w:val="Lined - Accent 2"/>
    <w:basedOn w:val="31"/>
    <w:qFormat/>
    <w:uiPriority w:val="99"/>
    <w:pPr>
      <w:overflowPunct w:val="0"/>
      <w:autoSpaceDE w:val="0"/>
      <w:autoSpaceDN w:val="0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customStyle="1" w:styleId="178">
    <w:name w:val="Lined - Accent 3"/>
    <w:basedOn w:val="31"/>
    <w:qFormat/>
    <w:uiPriority w:val="99"/>
    <w:pPr>
      <w:overflowPunct w:val="0"/>
      <w:autoSpaceDE w:val="0"/>
      <w:autoSpaceDN w:val="0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</w:style>
  <w:style w:type="table" w:customStyle="1" w:styleId="179">
    <w:name w:val="Lined - Accent 4"/>
    <w:basedOn w:val="31"/>
    <w:qFormat/>
    <w:uiPriority w:val="99"/>
    <w:pPr>
      <w:overflowPunct w:val="0"/>
      <w:autoSpaceDE w:val="0"/>
      <w:autoSpaceDN w:val="0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customStyle="1" w:styleId="180">
    <w:name w:val="Lined - Accent 5"/>
    <w:basedOn w:val="31"/>
    <w:qFormat/>
    <w:uiPriority w:val="99"/>
    <w:pPr>
      <w:overflowPunct w:val="0"/>
      <w:autoSpaceDE w:val="0"/>
      <w:autoSpaceDN w:val="0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81">
    <w:name w:val="Lined - Accent 6"/>
    <w:basedOn w:val="31"/>
    <w:qFormat/>
    <w:uiPriority w:val="99"/>
    <w:pPr>
      <w:overflowPunct w:val="0"/>
      <w:autoSpaceDE w:val="0"/>
      <w:autoSpaceDN w:val="0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82">
    <w:name w:val="Bordered &amp; Lined - Accent"/>
    <w:basedOn w:val="31"/>
    <w:qFormat/>
    <w:uiPriority w:val="99"/>
    <w:pPr>
      <w:overflowPunct w:val="0"/>
      <w:autoSpaceDE w:val="0"/>
      <w:autoSpaceDN w:val="0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183">
    <w:name w:val="Bordered &amp; Lined - Accent 1"/>
    <w:basedOn w:val="31"/>
    <w:qFormat/>
    <w:uiPriority w:val="99"/>
    <w:pPr>
      <w:overflowPunct w:val="0"/>
      <w:autoSpaceDE w:val="0"/>
      <w:autoSpaceDN w:val="0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</w:style>
  <w:style w:type="table" w:customStyle="1" w:styleId="184">
    <w:name w:val="Bordered &amp; Lined - Accent 2"/>
    <w:basedOn w:val="31"/>
    <w:qFormat/>
    <w:uiPriority w:val="99"/>
    <w:pPr>
      <w:overflowPunct w:val="0"/>
      <w:autoSpaceDE w:val="0"/>
      <w:autoSpaceDN w:val="0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customStyle="1" w:styleId="185">
    <w:name w:val="Bordered &amp; Lined - Accent 3"/>
    <w:basedOn w:val="31"/>
    <w:qFormat/>
    <w:uiPriority w:val="99"/>
    <w:pPr>
      <w:overflowPunct w:val="0"/>
      <w:autoSpaceDE w:val="0"/>
      <w:autoSpaceDN w:val="0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</w:style>
  <w:style w:type="table" w:customStyle="1" w:styleId="186">
    <w:name w:val="Bordered &amp; Lined - Accent 4"/>
    <w:basedOn w:val="31"/>
    <w:qFormat/>
    <w:uiPriority w:val="99"/>
    <w:pPr>
      <w:overflowPunct w:val="0"/>
      <w:autoSpaceDE w:val="0"/>
      <w:autoSpaceDN w:val="0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customStyle="1" w:styleId="187">
    <w:name w:val="Bordered &amp; Lined - Accent 5"/>
    <w:basedOn w:val="31"/>
    <w:qFormat/>
    <w:uiPriority w:val="99"/>
    <w:pPr>
      <w:overflowPunct w:val="0"/>
      <w:autoSpaceDE w:val="0"/>
      <w:autoSpaceDN w:val="0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88">
    <w:name w:val="Bordered &amp; Lined - Accent 6"/>
    <w:basedOn w:val="31"/>
    <w:qFormat/>
    <w:uiPriority w:val="99"/>
    <w:pPr>
      <w:overflowPunct w:val="0"/>
      <w:autoSpaceDE w:val="0"/>
      <w:autoSpaceDN w:val="0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89">
    <w:name w:val="Bordered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90">
    <w:name w:val="Bordered - Accent 1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91">
    <w:name w:val="Bordered - Accent 2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92">
    <w:name w:val="Bordered - Accent 3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93">
    <w:name w:val="Bordered - Accent 4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94">
    <w:name w:val="Bordered - Accent 5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95">
    <w:name w:val="Bordered - Accent 6"/>
    <w:basedOn w:val="31"/>
    <w:qFormat/>
    <w:uiPriority w:val="99"/>
    <w:pPr>
      <w:overflowPunct w:val="0"/>
      <w:autoSpaceDE w:val="0"/>
      <w:autoSpaceDN w:val="0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96">
    <w:name w:val="脚注文本 Char"/>
    <w:link w:val="25"/>
    <w:qFormat/>
    <w:uiPriority w:val="99"/>
    <w:rPr>
      <w:sz w:val="18"/>
    </w:rPr>
  </w:style>
  <w:style w:type="paragraph" w:customStyle="1" w:styleId="197">
    <w:name w:val="TOC 标题1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overflowPunct w:val="0"/>
      <w:autoSpaceDE w:val="0"/>
      <w:autoSpaceDN w:val="0"/>
      <w:spacing w:before="0" w:beforeAutospacing="0" w:after="0" w:afterAutospacing="0" w:line="240" w:lineRule="auto"/>
      <w:ind w:left="0" w:right="0" w:firstLine="0"/>
      <w:jc w:val="left"/>
    </w:pPr>
    <w:rPr>
      <w:rFonts w:hint="default" w:ascii="Times New Roman" w:hAnsi="Times New Roman" w:eastAsia="宋体" w:cs="Times New Roman"/>
      <w:color w:val="auto"/>
      <w:spacing w:val="0"/>
      <w:position w:val="0"/>
      <w:sz w:val="21"/>
      <w:szCs w:val="22"/>
      <w:lang w:val="en-US" w:eastAsia="en-US" w:bidi="en-US"/>
    </w:rPr>
  </w:style>
  <w:style w:type="character" w:customStyle="1" w:styleId="198">
    <w:name w:val="font11"/>
    <w:basedOn w:val="3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9">
    <w:name w:val="正文文本 Char"/>
    <w:basedOn w:val="33"/>
    <w:link w:val="2"/>
    <w:qFormat/>
    <w:uiPriority w:val="99"/>
    <w:rPr>
      <w:rFonts w:ascii="Calibri" w:hAnsi="Calibri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9d91c1c6-a45f-4969-9df3-a9e7d02a3123</errorID>
      <errorWord>、和</errorWord>
      <group>L1_Punc</group>
      <groupName>标点问题</groupName>
      <ability>L2_Punc</ability>
      <abilityName>标点符号检查</abilityName>
      <candidateList>
        <item>和</item>
      </candidateList>
      <explain>“及”“和”“等”连词前不宜使用顿号，建议删除（或使用逗号）。</explain>
      <paraID> 709D916</paraID>
      <start>18</start>
      <end>20</end>
      <status>ignored</status>
      <modifiedWord/>
      <trackRevisions>false</trackRevisions>
    </reviewItem>
    <reviewItem>
      <errorID>d26118a1-3114-4693-a669-82528b089e5d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42F04C4F</paraID>
      <start>6</start>
      <end>7</end>
      <status>ignored</status>
      <modifiedWord/>
      <trackRevisions>false</trackRevisions>
    </reviewItem>
    <reviewItem>
      <errorID>9d2ab78b-2d27-42e0-9ab2-e11aa929a848</errorID>
      <errorWord> </errorWord>
      <group>L1_Punc</group>
      <groupName>标点问题</groupName>
      <ability>L2_Punc</ability>
      <abilityName>标点符号检查</abilityName>
      <candidateList>
        <item>·</item>
      </candidateList>
      <explain/>
      <paraID>34054285</paraID>
      <start>7</start>
      <end>8</end>
      <status>ignored</status>
      <modifiedWord/>
      <trackRevisions>false</trackRevisions>
    </reviewItem>
    <reviewItem>
      <errorID>5c8d391f-ee1e-48f1-ae40-f6d13eca956f</errorID>
      <errorWord> </errorWord>
      <group>L1_Punc</group>
      <groupName>标点问题</groupName>
      <ability>L2_Punc</ability>
      <abilityName>标点符号检查</abilityName>
      <candidateList>
        <item>·</item>
      </candidateList>
      <explain/>
      <paraID>178E7B1D</paraID>
      <start>7</start>
      <end>8</end>
      <status>ignored</status>
      <modifiedWord/>
      <trackRevisions>false</trackRevisions>
    </reviewItem>
    <reviewItem>
      <errorID>3adf7c77-f148-422a-96cf-a72834b16460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14BB1778</paraID>
      <start>6</start>
      <end>7</end>
      <status>ignored</status>
      <modifiedWord/>
      <trackRevisions>false</trackRevisions>
    </reviewItem>
    <reviewItem>
      <errorID>15894f80-a445-42d8-90ea-dfba7cfc0b69</errorID>
      <errorWord> </errorWord>
      <group>L1_Punc</group>
      <groupName>标点问题</groupName>
      <ability>L2_Punc</ability>
      <abilityName>标点符号检查</abilityName>
      <candidateList>
        <item>·</item>
      </candidateList>
      <explain/>
      <paraID>7395072E</paraID>
      <start>7</start>
      <end>8</end>
      <status>ignored</status>
      <modifiedWord/>
      <trackRevisions>false</trackRevisions>
    </reviewItem>
    <reviewItem>
      <errorID>6d53608c-c4ff-441b-a29c-51c9c11cdc11</errorID>
      <errorWord> </errorWord>
      <group>L1_Punc</group>
      <groupName>标点问题</groupName>
      <ability>L2_Punc</ability>
      <abilityName>标点符号检查</abilityName>
      <candidateList>
        <item>·</item>
      </candidateList>
      <explain/>
      <paraID>2E5B4C60</paraID>
      <start>7</start>
      <end>8</end>
      <status>ignored</status>
      <modifiedWord/>
      <trackRevisions>false</trackRevisions>
    </reviewItem>
    <reviewItem>
      <errorID>b18007ba-4d38-4387-8081-6e48f9f5dfb6</errorID>
      <errorWord> </errorWord>
      <group>L1_Punc</group>
      <groupName>标点问题</groupName>
      <ability>L2_Punc</ability>
      <abilityName>标点符号检查</abilityName>
      <candidateList>
        <item>·</item>
      </candidateList>
      <explain/>
      <paraID>6C3119A4</paraID>
      <start>7</start>
      <end>8</end>
      <status>ignored</status>
      <modifiedWord/>
      <trackRevisions>false</trackRevisions>
    </reviewItem>
    <reviewItem>
      <errorID>3d09785d-18f3-4815-86d1-9ac104965c2b</errorID>
      <errorWord> </errorWord>
      <group>L1_Punc</group>
      <groupName>标点问题</groupName>
      <ability>L2_Punc</ability>
      <abilityName>标点符号检查</abilityName>
      <candidateList>
        <item>·</item>
      </candidateList>
      <explain/>
      <paraID>15A49EE0</paraID>
      <start>7</start>
      <end>8</end>
      <status>ignored</status>
      <modifiedWord/>
      <trackRevisions>false</trackRevisions>
    </reviewItem>
    <reviewItem>
      <errorID>35cebcea-fdb8-4f90-b020-5917fd6d88e5</errorID>
      <errorWord> </errorWord>
      <group>L1_Punc</group>
      <groupName>标点问题</groupName>
      <ability>L2_Punc</ability>
      <abilityName>标点符号检查</abilityName>
      <candidateList>
        <item>·</item>
      </candidateList>
      <explain/>
      <paraID>586A4E01</paraID>
      <start>7</start>
      <end>8</end>
      <status>ignored</status>
      <modifiedWord/>
      <trackRevisions>false</trackRevisions>
    </reviewItem>
    <reviewItem>
      <errorID>c43d3487-876d-4c12-a29a-2f533af171be</errorID>
      <errorWord> </errorWord>
      <group>L1_Punc</group>
      <groupName>标点问题</groupName>
      <ability>L2_Punc</ability>
      <abilityName>标点符号检查</abilityName>
      <candidateList>
        <item>·</item>
      </candidateList>
      <explain/>
      <paraID>62BFB799</paraID>
      <start>7</start>
      <end>8</end>
      <status>ignored</status>
      <modifiedWord/>
      <trackRevisions>false</trackRevisions>
    </reviewItem>
    <reviewItem>
      <errorID>458a4927-343a-4cc8-bed7-716362f13432</errorID>
      <errorWord>附件</errorWord>
      <group>L1_Punc</group>
      <groupName>标点问题</groupName>
      <ability>L2_Punc</ability>
      <abilityName>标点符号检查</abilityName>
      <candidateList>
        <item>《附件</item>
      </candidateList>
      <explain/>
      <paraID>6792AADD</paraID>
      <start>18</start>
      <end>20</end>
      <status>unmodified</status>
      <modifiedWord/>
      <trackRevisions>false</trackRevisions>
    </reviewItem>
    <reviewItem>
      <errorID>4d5673a9-7c24-4361-a849-c4d9c8698dd5</errorID>
      <errorWord>深圳市</errorWord>
      <group>L1_Word</group>
      <groupName>字词问题</groupName>
      <ability>L2_Typo</ability>
      <abilityName>字词错误</abilityName>
      <candidateList>
        <item> 深圳市</item>
      </candidateList>
      <explain/>
      <paraID>6792AADD</paraID>
      <start>21</start>
      <end>24</end>
      <status>unmodified</status>
      <modifiedWord/>
      <trackRevisions>false</trackRevisions>
    </reviewItem>
    <reviewItem>
      <errorID>bf0e579a-3a16-4c2c-86ae-6464418a321f</errorID>
      <errorWord>和深圳市暴雨风险阈值表</errorWord>
      <group>L1_Grammar</group>
      <groupName>语法问题</groupName>
      <ability>L2_Grammar</ability>
      <abilityName>语法错误</abilityName>
      <candidateList>
        <item>》和《深圳市暴雨风险阈值表》</item>
      </candidateList>
      <explain/>
      <paraID>6792AADD</paraID>
      <start>42</start>
      <end>53</end>
      <status>unmodified</status>
      <modifiedWord/>
      <trackRevisions>false</trackRevisions>
    </reviewItem>
    <reviewItem>
      <errorID>51b09b95-441f-4808-9b47-4a4f289d0418</errorID>
      <errorWord>；</errorWord>
      <group>L1_Punc</group>
      <groupName>标点问题</groupName>
      <ability>L2_Punc</ability>
      <abilityName>标点符号检查</abilityName>
      <candidateList>
        <item>。</item>
      </candidateList>
      <explain/>
      <paraID>2251A144</paraID>
      <start>159</start>
      <end>160</end>
      <status>modified</status>
      <modifiedWord>。</modifiedWord>
      <trackRevisions>false</trackRevisions>
    </reviewItem>
    <reviewItem>
      <errorID>db3293ec-c3f0-416b-a0cf-f47f312d228e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4EA1B0C6</paraID>
      <start>44</start>
      <end>45</end>
      <status>ignored</status>
      <modifiedWord/>
      <trackRevisions>false</trackRevisions>
    </reviewItem>
    <reviewItem>
      <errorID>39c63902-fbe8-44e3-a155-b3b128008416</errorID>
      <errorWord>；</errorWord>
      <group>L1_Punc</group>
      <groupName>标点问题</groupName>
      <ability>L2_Punc</ability>
      <abilityName>标点符号检查</abilityName>
      <candidateList>
        <item>。</item>
      </candidateList>
      <explain/>
      <paraID>1A2C8D97</paraID>
      <start>129</start>
      <end>130</end>
      <status>modified</status>
      <modifiedWord>。</modifiedWord>
      <trackRevisions>false</trackRevisions>
    </reviewItem>
    <reviewItem>
      <errorID>b80ddea1-68b4-451f-8af6-a905f530036e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6F50A9B3</paraID>
      <start>26</start>
      <end>27</end>
      <status>modified</status>
      <modifiedWord>。</modifiedWord>
      <trackRevisions>false</trackRevisions>
    </reviewItem>
    <reviewItem>
      <errorID>fdc971f3-433c-404c-983b-977d7f780873</errorID>
      <errorWord>受</errorWord>
      <group>L1_Word</group>
      <groupName>字词问题</groupName>
      <ability>L2_Typo</ability>
      <abilityName>字词错误</abilityName>
      <candidateList>
        <item>受到</item>
      </candidateList>
      <explain/>
      <paraID> FC87F4A</paraID>
      <start>25</start>
      <end>26</end>
      <status>ignored</status>
      <modifiedWord/>
      <trackRevisions>false</trackRevisions>
    </reviewItem>
    <reviewItem>
      <errorID>893dfd7d-40d5-42d3-8c9d-77f2216f1512</errorID>
      <errorWord>可能</errorWord>
      <group>L1_Punc</group>
      <groupName>标点问题</groupName>
      <ability>L2_Punc</ability>
      <abilityName>标点符号检查</abilityName>
      <candidateList>
        <item>，可能</item>
      </candidateList>
      <explain/>
      <paraID>1C60C0BA</paraID>
      <start>80</start>
      <end>83</end>
      <status>modified</status>
      <modifiedWord>，可能</modifiedWord>
      <trackRevisions>false</trackRevisions>
    </reviewItem>
    <reviewItem>
      <errorID>8818c179-41a1-46b8-99b5-51d81d243bd4</errorID>
      <errorWord>落（倒）</errorWord>
      <group>L1_Grammar</group>
      <groupName>语法问题</groupName>
      <ability>L2_Grammar</ability>
      <abilityName>语法错误</abilityName>
      <candidateList>
        <item>落</item>
      </candidateList>
      <explain/>
      <paraID>593C7357</paraID>
      <start>3</start>
      <end>7</end>
      <status>ignored</status>
      <modifiedWord/>
      <trackRevisions>false</trackRevisions>
    </reviewItem>
    <reviewItem>
      <errorID>150c47da-fcec-410d-a55f-097b0dc9c12c</errorID>
      <errorWord>受</errorWord>
      <group>L1_Word</group>
      <groupName>字词问题</groupName>
      <ability>L2_Typo</ability>
      <abilityName>字词错误</abilityName>
      <candidateList>
        <item>受到</item>
      </candidateList>
      <explain/>
      <paraID>4BB6A277</paraID>
      <start>40</start>
      <end>41</end>
      <status>ignored</status>
      <modifiedWord/>
      <trackRevisions>false</trackRevisions>
    </reviewItem>
    <reviewItem>
      <errorID>564c9440-69b7-4162-b7c9-dcc3e5432ad6</errorID>
      <errorWord>造成</errorWord>
      <group>L1_Grammar</group>
      <groupName>语法问题</groupName>
      <ability>L2_Grammar</ability>
      <abilityName>语法错误</abilityName>
      <candidateList>
        <item>可能造成</item>
      </candidateList>
      <explain/>
      <paraID>61263BE4</paraID>
      <start>13</start>
      <end>15</end>
      <status>unmodified</status>
      <modifiedWord/>
      <trackRevisions>false</trackRevisions>
    </reviewItem>
    <reviewItem>
      <errorID>32ccdc49-308e-42c1-81fd-396c0d63bbe6</errorID>
      <errorWord>造成</errorWord>
      <group>L1_Grammar</group>
      <groupName>语法问题</groupName>
      <ability>L2_Grammar</ability>
      <abilityName>语法错误</abilityName>
      <candidateList>
        <item>可能造成</item>
      </candidateList>
      <explain/>
      <paraID>10453A14</paraID>
      <start>0</start>
      <end>2</end>
      <status>unmodified</status>
      <modifiedWord/>
      <trackRevisions>false</trackRevisions>
    </reviewItem>
    <reviewItem>
      <errorID>05b97b9c-2cb9-4644-b2cd-9f87a0fde29f</errorID>
      <errorWord>、</errorWord>
      <group>L1_Punc</group>
      <groupName>标点问题</groupName>
      <ability>L2_Punc</ability>
      <abilityName>标点符号检查</abilityName>
      <candidateList>
        <item>，</item>
      </candidateList>
      <explain/>
      <paraID>26793158</paraID>
      <start>22</start>
      <end>23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9189b4f-76db-4a6d-92c0-5efde2054c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1235</Words>
  <Characters>1393</Characters>
  <TotalTime>13</TotalTime>
  <ScaleCrop>false</ScaleCrop>
  <LinksUpToDate>false</LinksUpToDate>
  <CharactersWithSpaces>1415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2024-12-04T17:52:00Z</dcterms:created>
  <dc:creator>administrator</dc:creator>
  <cp:lastModifiedBy>Zap</cp:lastModifiedBy>
  <dcterms:modified xsi:type="dcterms:W3CDTF">2026-05-14T01:18:43Z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eyJoZGlkIjoiYTJjNDVkMWFiMDNlZTY2YzA2NGM3ODliMTgyZWMyYzEiLCJ1c2VySWQiOiIxMTM0NDA2MjUzIn0=</vt:lpwstr>
  </property>
  <property fmtid="{D5CDD505-2E9C-101B-9397-08002B2CF9AE}" pid="3" name="KSOProductBuildVer">
    <vt:lpwstr>2052-12.1.0.26375</vt:lpwstr>
  </property>
  <property fmtid="{D5CDD505-2E9C-101B-9397-08002B2CF9AE}" pid="4" name="ICV">
    <vt:lpwstr>E5909116F97840D395A54E6CCE0C22F0_12</vt:lpwstr>
  </property>
</Properties>
</file>