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8492D">
      <w:pPr>
        <w:adjustRightInd w:val="0"/>
        <w:snapToGrid w:val="0"/>
        <w:rPr>
          <w:rFonts w:hint="eastAsia" w:ascii="宋体" w:hAnsi="宋体" w:cs="Arial"/>
          <w:b/>
          <w:bCs/>
          <w:sz w:val="44"/>
          <w:szCs w:val="44"/>
        </w:rPr>
      </w:pPr>
    </w:p>
    <w:p w14:paraId="74F1D07D">
      <w:pPr>
        <w:spacing w:line="360" w:lineRule="auto"/>
        <w:jc w:val="center"/>
        <w:rPr>
          <w:rFonts w:hint="eastAsia" w:ascii="宋体" w:hAnsi="宋体" w:cs="Arial"/>
          <w:b/>
          <w:bCs/>
          <w:sz w:val="44"/>
          <w:szCs w:val="44"/>
        </w:rPr>
      </w:pPr>
      <w:r>
        <w:rPr>
          <w:rFonts w:ascii="宋体" w:hAnsi="宋体" w:cs="Arial"/>
          <w:b/>
          <w:bCs/>
          <w:sz w:val="32"/>
          <w:szCs w:val="44"/>
        </w:rPr>
        <w:t>建设数字贸易服务平台提高全球市场“含深度”项目谋划预研</w:t>
      </w:r>
    </w:p>
    <w:p w14:paraId="633C5348">
      <w:pPr>
        <w:spacing w:line="360" w:lineRule="auto"/>
        <w:ind w:left="420" w:leftChars="200"/>
        <w:jc w:val="center"/>
        <w:rPr>
          <w:rFonts w:hint="eastAsia" w:ascii="黑体" w:hAnsi="宋体" w:eastAsia="黑体"/>
          <w:b/>
          <w:bCs/>
          <w:sz w:val="32"/>
          <w:szCs w:val="32"/>
        </w:rPr>
      </w:pPr>
    </w:p>
    <w:p w14:paraId="5C493A96">
      <w:pPr>
        <w:spacing w:line="360" w:lineRule="auto"/>
        <w:ind w:left="420" w:leftChars="200"/>
        <w:jc w:val="center"/>
        <w:rPr>
          <w:rFonts w:hint="eastAsia" w:ascii="黑体" w:hAnsi="宋体" w:eastAsia="黑体"/>
          <w:b/>
          <w:bCs/>
          <w:sz w:val="32"/>
          <w:szCs w:val="32"/>
        </w:rPr>
      </w:pPr>
    </w:p>
    <w:p w14:paraId="54530832">
      <w:pPr>
        <w:spacing w:line="360" w:lineRule="auto"/>
        <w:jc w:val="center"/>
        <w:rPr>
          <w:rFonts w:hint="eastAsia" w:ascii="黑体" w:hAnsi="宋体" w:eastAsia="黑体"/>
          <w:b/>
          <w:bCs/>
          <w:sz w:val="72"/>
          <w:szCs w:val="72"/>
        </w:rPr>
      </w:pPr>
      <w:r>
        <w:rPr>
          <w:rFonts w:hint="eastAsia" w:ascii="黑体" w:hAnsi="黑体" w:eastAsia="黑体"/>
          <w:b/>
          <w:bCs/>
          <w:sz w:val="72"/>
          <w:szCs w:val="72"/>
        </w:rPr>
        <w:t>招</w:t>
      </w:r>
    </w:p>
    <w:p w14:paraId="07921028">
      <w:pPr>
        <w:spacing w:line="360" w:lineRule="auto"/>
        <w:jc w:val="center"/>
        <w:rPr>
          <w:rFonts w:hint="eastAsia" w:ascii="黑体" w:hAnsi="宋体" w:eastAsia="黑体"/>
          <w:b/>
          <w:bCs/>
          <w:sz w:val="72"/>
          <w:szCs w:val="72"/>
        </w:rPr>
      </w:pPr>
    </w:p>
    <w:p w14:paraId="4E1B01CB">
      <w:pPr>
        <w:spacing w:line="360" w:lineRule="auto"/>
        <w:jc w:val="center"/>
        <w:rPr>
          <w:rFonts w:hint="eastAsia" w:ascii="黑体" w:hAnsi="宋体" w:eastAsia="黑体"/>
          <w:b/>
          <w:bCs/>
          <w:sz w:val="72"/>
          <w:szCs w:val="72"/>
        </w:rPr>
      </w:pPr>
      <w:r>
        <w:rPr>
          <w:rFonts w:hint="eastAsia" w:ascii="黑体" w:hAnsi="黑体" w:eastAsia="黑体"/>
          <w:b/>
          <w:bCs/>
          <w:sz w:val="72"/>
          <w:szCs w:val="72"/>
        </w:rPr>
        <w:t>标</w:t>
      </w:r>
    </w:p>
    <w:p w14:paraId="6E431DC8">
      <w:pPr>
        <w:spacing w:line="360" w:lineRule="auto"/>
        <w:jc w:val="center"/>
        <w:rPr>
          <w:rFonts w:hint="eastAsia" w:ascii="黑体" w:hAnsi="宋体" w:eastAsia="黑体"/>
          <w:b/>
          <w:bCs/>
          <w:sz w:val="48"/>
          <w:szCs w:val="48"/>
        </w:rPr>
      </w:pPr>
    </w:p>
    <w:p w14:paraId="12AE32CB">
      <w:pPr>
        <w:spacing w:line="360" w:lineRule="auto"/>
        <w:jc w:val="center"/>
        <w:rPr>
          <w:rFonts w:hint="eastAsia" w:ascii="黑体" w:hAnsi="宋体" w:eastAsia="黑体"/>
          <w:b/>
          <w:bCs/>
          <w:sz w:val="72"/>
          <w:szCs w:val="72"/>
        </w:rPr>
      </w:pPr>
      <w:r>
        <w:rPr>
          <w:rFonts w:hint="eastAsia" w:ascii="黑体" w:hAnsi="黑体" w:eastAsia="黑体"/>
          <w:b/>
          <w:bCs/>
          <w:sz w:val="72"/>
          <w:szCs w:val="72"/>
        </w:rPr>
        <w:t>书</w:t>
      </w:r>
    </w:p>
    <w:p w14:paraId="5DF19459">
      <w:pPr>
        <w:spacing w:line="360" w:lineRule="auto"/>
        <w:ind w:left="420" w:leftChars="200"/>
        <w:jc w:val="center"/>
        <w:rPr>
          <w:rFonts w:hint="eastAsia" w:ascii="宋体" w:hAnsi="宋体"/>
          <w:sz w:val="44"/>
          <w:szCs w:val="44"/>
        </w:rPr>
      </w:pPr>
    </w:p>
    <w:p w14:paraId="11F699F9">
      <w:pPr>
        <w:spacing w:line="360" w:lineRule="auto"/>
        <w:ind w:left="420" w:leftChars="200"/>
        <w:jc w:val="center"/>
        <w:rPr>
          <w:rFonts w:hint="eastAsia" w:ascii="方正小标宋简体" w:hAnsi="宋体" w:cs="Arial"/>
          <w:sz w:val="48"/>
          <w:szCs w:val="48"/>
        </w:rPr>
      </w:pPr>
    </w:p>
    <w:p w14:paraId="7D4521CC">
      <w:pPr>
        <w:spacing w:line="360" w:lineRule="auto"/>
        <w:rPr>
          <w:rFonts w:hint="eastAsia" w:ascii="方正小标宋简体" w:hAnsi="宋体" w:cs="Arial"/>
          <w:sz w:val="48"/>
          <w:szCs w:val="48"/>
        </w:rPr>
      </w:pPr>
    </w:p>
    <w:p w14:paraId="56459A97">
      <w:pPr>
        <w:spacing w:line="600" w:lineRule="exact"/>
        <w:jc w:val="center"/>
        <w:rPr>
          <w:rFonts w:hint="eastAsia" w:ascii="宋体" w:hAnsi="宋体"/>
          <w:b/>
          <w:bCs/>
          <w:sz w:val="32"/>
          <w:szCs w:val="32"/>
        </w:rPr>
      </w:pPr>
      <w:r>
        <w:rPr>
          <w:rFonts w:hint="eastAsia" w:ascii="宋体" w:hAnsi="宋体"/>
          <w:b/>
          <w:bCs/>
          <w:sz w:val="32"/>
          <w:szCs w:val="32"/>
        </w:rPr>
        <w:t>深圳市发展和改革委员会</w:t>
      </w:r>
    </w:p>
    <w:p w14:paraId="5F0C22CE">
      <w:pPr>
        <w:spacing w:line="60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6年</w:t>
      </w:r>
      <w:r>
        <w:rPr>
          <w:rFonts w:hint="eastAsia" w:ascii="宋体" w:hAnsi="宋体"/>
          <w:b/>
          <w:bCs/>
          <w:sz w:val="32"/>
          <w:szCs w:val="32"/>
          <w:lang w:val="en-US" w:eastAsia="zh-CN"/>
        </w:rPr>
        <w:t>6</w:t>
      </w:r>
      <w:r>
        <w:rPr>
          <w:rFonts w:hint="eastAsia" w:ascii="宋体" w:hAnsi="宋体"/>
          <w:b/>
          <w:bCs/>
          <w:sz w:val="32"/>
          <w:szCs w:val="32"/>
        </w:rPr>
        <w:t>月</w:t>
      </w:r>
    </w:p>
    <w:p w14:paraId="2A6EFB21">
      <w:pPr>
        <w:jc w:val="left"/>
        <w:rPr>
          <w:rFonts w:hint="eastAsia" w:ascii="宋体" w:hAnsi="宋体" w:cs="宋体"/>
          <w:b/>
          <w:bCs/>
          <w:sz w:val="44"/>
          <w:szCs w:val="44"/>
        </w:rPr>
        <w:sectPr>
          <w:pgSz w:w="11906" w:h="16838"/>
          <w:pgMar w:top="1400" w:right="1797" w:bottom="1089" w:left="1797" w:header="720" w:footer="720" w:gutter="0"/>
          <w:cols w:space="720" w:num="1"/>
          <w:docGrid w:type="lines" w:linePitch="312" w:charSpace="0"/>
        </w:sectPr>
      </w:pPr>
    </w:p>
    <w:p w14:paraId="119B9E89">
      <w:pPr>
        <w:adjustRightInd w:val="0"/>
        <w:snapToGrid w:val="0"/>
        <w:jc w:val="center"/>
        <w:rPr>
          <w:rFonts w:hint="eastAsia" w:ascii="宋体" w:hAnsi="宋体" w:cs="Arial"/>
          <w:b/>
          <w:bCs/>
          <w:sz w:val="44"/>
          <w:szCs w:val="44"/>
        </w:rPr>
      </w:pPr>
    </w:p>
    <w:p w14:paraId="38F8CD34">
      <w:pPr>
        <w:adjustRightInd w:val="0"/>
        <w:snapToGrid w:val="0"/>
        <w:jc w:val="center"/>
        <w:rPr>
          <w:rFonts w:hint="eastAsia" w:ascii="宋体" w:hAnsi="宋体" w:cs="Arial"/>
          <w:b/>
          <w:bCs/>
          <w:sz w:val="44"/>
          <w:szCs w:val="44"/>
        </w:rPr>
      </w:pPr>
      <w:r>
        <w:rPr>
          <w:rFonts w:ascii="宋体" w:hAnsi="宋体" w:cs="Arial"/>
          <w:b/>
          <w:bCs/>
          <w:sz w:val="44"/>
          <w:szCs w:val="44"/>
        </w:rPr>
        <w:t>建设数字贸易服务平台提高全球市场“含深度”项目谋划预研</w:t>
      </w:r>
      <w:r>
        <w:rPr>
          <w:rFonts w:hint="eastAsia" w:ascii="宋体" w:hAnsi="宋体" w:cs="Arial"/>
          <w:b/>
          <w:bCs/>
          <w:sz w:val="44"/>
          <w:szCs w:val="44"/>
        </w:rPr>
        <w:t>招标书</w:t>
      </w:r>
    </w:p>
    <w:p w14:paraId="7B80F6A8">
      <w:pPr>
        <w:spacing w:line="560" w:lineRule="exact"/>
        <w:ind w:firstLine="643" w:firstLineChars="200"/>
        <w:rPr>
          <w:rFonts w:hint="eastAsia" w:ascii="黑体" w:hAnsi="黑体" w:eastAsia="黑体"/>
          <w:b/>
          <w:bCs/>
          <w:sz w:val="32"/>
          <w:szCs w:val="32"/>
        </w:rPr>
      </w:pPr>
    </w:p>
    <w:p w14:paraId="5C9BCB1A">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一、项目概况</w:t>
      </w:r>
    </w:p>
    <w:p w14:paraId="4D27887D">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w:t>
      </w:r>
      <w:r>
        <w:rPr>
          <w:rFonts w:ascii="仿宋_GB2312" w:hAnsi="仿宋" w:eastAsia="仿宋_GB2312" w:cs="仿宋_GB2312"/>
          <w:sz w:val="32"/>
          <w:szCs w:val="32"/>
        </w:rPr>
        <w:t>建设数字贸易服务平台提高全球市场“含深度”项目谋划预研</w:t>
      </w:r>
      <w:r>
        <w:rPr>
          <w:rFonts w:hint="eastAsia" w:ascii="仿宋_GB2312" w:hAnsi="仿宋" w:eastAsia="仿宋_GB2312" w:cs="仿宋_GB2312"/>
          <w:sz w:val="32"/>
          <w:szCs w:val="32"/>
        </w:rPr>
        <w:t>。</w:t>
      </w:r>
    </w:p>
    <w:p w14:paraId="46F5AC9F">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ascii="仿宋_GB2312" w:hAnsi="仿宋" w:eastAsia="仿宋_GB2312" w:cs="仿宋_GB2312"/>
          <w:sz w:val="32"/>
          <w:szCs w:val="32"/>
        </w:rPr>
        <w:t>6</w:t>
      </w:r>
      <w:r>
        <w:rPr>
          <w:rFonts w:hint="eastAsia" w:ascii="仿宋_GB2312" w:hAnsi="仿宋" w:eastAsia="仿宋_GB2312" w:cs="仿宋_GB2312"/>
          <w:sz w:val="32"/>
          <w:szCs w:val="32"/>
        </w:rPr>
        <w:t>个月。</w:t>
      </w:r>
    </w:p>
    <w:p w14:paraId="21D1E091">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（三）项目预算：预算金额45.9万元以下。</w:t>
      </w:r>
    </w:p>
    <w:p w14:paraId="2DCFFDCE">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二、项目内容</w:t>
      </w:r>
    </w:p>
    <w:p w14:paraId="0EF01D8E">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ascii="仿宋_GB2312" w:hAnsi="仿宋_GB2312" w:eastAsia="仿宋_GB2312" w:cs="仿宋_GB2312"/>
          <w:bCs/>
          <w:sz w:val="32"/>
          <w:szCs w:val="32"/>
        </w:rPr>
        <w:t>数字贸易开放趋势分析。分析国际数字贸易开放新趋势，以及国家支持数字贸易发展政策导向，找准深圳推动数字贸易战略着力点与突破口</w:t>
      </w:r>
      <w:r>
        <w:rPr>
          <w:rFonts w:hint="eastAsia" w:ascii="仿宋_GB2312" w:hAnsi="仿宋_GB2312" w:eastAsia="仿宋_GB2312" w:cs="仿宋_GB2312"/>
          <w:bCs/>
          <w:sz w:val="32"/>
          <w:szCs w:val="32"/>
        </w:rPr>
        <w:t>。</w:t>
      </w:r>
    </w:p>
    <w:p w14:paraId="3FA9FC3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ascii="仿宋_GB2312" w:hAnsi="仿宋_GB2312" w:eastAsia="仿宋_GB2312" w:cs="仿宋_GB2312"/>
          <w:bCs/>
          <w:sz w:val="32"/>
          <w:szCs w:val="32"/>
        </w:rPr>
        <w:t>数字贸易相关服务平台现状梳理。分析全市数字贸易交流合作服务、企业“走出去”、经贸合作交流等相关平台建设运营情况。</w:t>
      </w:r>
    </w:p>
    <w:p w14:paraId="437459B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三</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数字贸易企业交流合作服务需求分析。调研数字贸易相关</w:t>
      </w:r>
      <w:r>
        <w:rPr>
          <w:rFonts w:ascii="仿宋_GB2312" w:hAnsi="仿宋_GB2312" w:eastAsia="仿宋_GB2312" w:cs="仿宋_GB2312"/>
          <w:bCs/>
          <w:sz w:val="32"/>
          <w:szCs w:val="32"/>
          <w:highlight w:val="none"/>
        </w:rPr>
        <w:t>企业</w:t>
      </w:r>
      <w:r>
        <w:rPr>
          <w:rFonts w:hint="eastAsia" w:ascii="仿宋_GB2312" w:hAnsi="仿宋_GB2312" w:eastAsia="仿宋_GB2312" w:cs="仿宋_GB2312"/>
          <w:bCs/>
          <w:sz w:val="32"/>
          <w:szCs w:val="32"/>
          <w:highlight w:val="none"/>
          <w:lang w:eastAsia="zh-CN"/>
        </w:rPr>
        <w:t>、</w:t>
      </w:r>
      <w:r>
        <w:rPr>
          <w:rFonts w:ascii="仿宋_GB2312" w:hAnsi="仿宋_GB2312" w:eastAsia="仿宋_GB2312" w:cs="仿宋_GB2312"/>
          <w:bCs/>
          <w:sz w:val="32"/>
          <w:szCs w:val="32"/>
          <w:highlight w:val="none"/>
        </w:rPr>
        <w:t>机构</w:t>
      </w:r>
      <w:r>
        <w:rPr>
          <w:rFonts w:ascii="仿宋_GB2312" w:hAnsi="仿宋_GB2312" w:eastAsia="仿宋_GB2312" w:cs="仿宋_GB2312"/>
          <w:bCs/>
          <w:sz w:val="32"/>
          <w:szCs w:val="32"/>
        </w:rPr>
        <w:t>实际需求，分析深圳在标准输出、服务出口、产品出海等方面的优势与短板，识别制约企业提升全球市场</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含深度</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的核心问题与关键堵点。</w:t>
      </w:r>
    </w:p>
    <w:p w14:paraId="2357AEC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w:t>
      </w:r>
      <w:r>
        <w:rPr>
          <w:rFonts w:ascii="仿宋_GB2312" w:hAnsi="仿宋_GB2312" w:eastAsia="仿宋_GB2312" w:cs="仿宋_GB2312"/>
          <w:bCs/>
          <w:sz w:val="32"/>
          <w:szCs w:val="32"/>
        </w:rPr>
        <w:t>数字贸易交流合作服务平台项目谋划。汇总数字贸易相关企业拓展海外市场需求，结合深圳市现有相关平台服务现状，聚焦提升全球市场“含深度”，谋划提出</w:t>
      </w:r>
      <w:r>
        <w:rPr>
          <w:rFonts w:hint="eastAsia" w:ascii="仿宋_GB2312" w:hAnsi="仿宋_GB2312" w:eastAsia="仿宋_GB2312" w:cs="仿宋_GB2312"/>
          <w:bCs/>
          <w:sz w:val="32"/>
          <w:szCs w:val="32"/>
        </w:rPr>
        <w:t>一批</w:t>
      </w:r>
      <w:r>
        <w:rPr>
          <w:rFonts w:ascii="仿宋_GB2312" w:hAnsi="仿宋" w:eastAsia="仿宋_GB2312" w:cs="仿宋_GB2312"/>
          <w:sz w:val="32"/>
          <w:szCs w:val="32"/>
        </w:rPr>
        <w:t>数字贸易服务平台</w:t>
      </w:r>
      <w:r>
        <w:rPr>
          <w:rFonts w:hint="eastAsia" w:ascii="仿宋_GB2312" w:hAnsi="仿宋" w:eastAsia="仿宋_GB2312" w:cs="仿宋_GB2312"/>
          <w:sz w:val="32"/>
          <w:szCs w:val="32"/>
        </w:rPr>
        <w:t>相关</w:t>
      </w:r>
      <w:r>
        <w:rPr>
          <w:rFonts w:ascii="仿宋_GB2312" w:hAnsi="仿宋_GB2312" w:eastAsia="仿宋_GB2312" w:cs="仿宋_GB2312"/>
          <w:bCs/>
          <w:sz w:val="32"/>
          <w:szCs w:val="32"/>
        </w:rPr>
        <w:t>重大项目。</w:t>
      </w:r>
    </w:p>
    <w:p w14:paraId="08A0A3BE">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三、项目实施要求</w:t>
      </w:r>
    </w:p>
    <w:p w14:paraId="04BD95CD">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14:paraId="743948A3">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（二）研究过程中应当进行深入调查研究，充分把握深圳现有基础条件、存在问题等相关信息和基础资料。</w:t>
      </w:r>
    </w:p>
    <w:p w14:paraId="16D8B60C">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w:t>
      </w:r>
      <w:r>
        <w:rPr>
          <w:rFonts w:hint="eastAsia" w:ascii="仿宋_GB2312" w:hAnsi="Times New Roman" w:eastAsia="仿宋_GB2312"/>
          <w:b w:val="0"/>
          <w:lang w:eastAsia="zh-CN"/>
        </w:rPr>
        <w:t>预研</w:t>
      </w:r>
      <w:r>
        <w:rPr>
          <w:rFonts w:hint="eastAsia" w:ascii="仿宋_GB2312" w:hAnsi="Times New Roman" w:eastAsia="仿宋_GB2312"/>
          <w:b w:val="0"/>
        </w:rPr>
        <w:t>成果要具有前瞻性，面向未来、视野开阔；具有系统性，</w:t>
      </w:r>
      <w:r>
        <w:rPr>
          <w:rFonts w:hint="eastAsia" w:ascii="仿宋_GB2312" w:hAnsi="Times New Roman" w:eastAsia="仿宋_GB2312"/>
          <w:b w:val="0"/>
          <w:lang w:eastAsia="zh-CN"/>
        </w:rPr>
        <w:t>预研</w:t>
      </w:r>
      <w:r>
        <w:rPr>
          <w:rFonts w:hint="eastAsia" w:ascii="仿宋_GB2312" w:hAnsi="Times New Roman" w:eastAsia="仿宋_GB2312"/>
          <w:b w:val="0"/>
        </w:rPr>
        <w:t>成果要体系完整、内容全面、材料丰富；具有实用性，</w:t>
      </w:r>
      <w:r>
        <w:rPr>
          <w:rFonts w:hint="eastAsia" w:ascii="仿宋_GB2312" w:hAnsi="Times New Roman" w:eastAsia="仿宋_GB2312"/>
          <w:b w:val="0"/>
          <w:lang w:eastAsia="zh-CN"/>
        </w:rPr>
        <w:t>预研</w:t>
      </w:r>
      <w:r>
        <w:rPr>
          <w:rFonts w:hint="eastAsia" w:ascii="仿宋_GB2312" w:hAnsi="Times New Roman" w:eastAsia="仿宋_GB2312"/>
          <w:b w:val="0"/>
        </w:rPr>
        <w:t>成果符合深圳实际，针对性和可操作性强。</w:t>
      </w:r>
    </w:p>
    <w:p w14:paraId="22896074">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四、项目成果交付要求</w:t>
      </w:r>
    </w:p>
    <w:p w14:paraId="7138C241">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提交</w:t>
      </w:r>
      <w:r>
        <w:rPr>
          <w:rFonts w:hint="eastAsia" w:ascii="Times New Roman" w:hAnsi="Times New Roman" w:eastAsia="仿宋_GB2312"/>
          <w:sz w:val="32"/>
          <w:szCs w:val="24"/>
          <w:lang w:eastAsia="zh-CN"/>
        </w:rPr>
        <w:t>预研</w:t>
      </w:r>
      <w:r>
        <w:rPr>
          <w:rFonts w:hint="eastAsia" w:ascii="Times New Roman" w:hAnsi="Times New Roman" w:eastAsia="仿宋_GB2312"/>
          <w:sz w:val="32"/>
          <w:szCs w:val="24"/>
        </w:rPr>
        <w:t>成果纸</w:t>
      </w:r>
      <w:r>
        <w:rPr>
          <w:rFonts w:hint="eastAsia" w:ascii="仿宋_GB2312" w:hAnsi="仿宋_GB2312" w:eastAsia="仿宋_GB2312" w:cs="仿宋_GB2312"/>
          <w:sz w:val="32"/>
          <w:szCs w:val="24"/>
        </w:rPr>
        <w:t>质版10份</w:t>
      </w:r>
      <w:r>
        <w:rPr>
          <w:rFonts w:hint="eastAsia" w:ascii="Times New Roman" w:hAnsi="Times New Roman" w:eastAsia="仿宋_GB2312"/>
          <w:sz w:val="32"/>
          <w:szCs w:val="24"/>
        </w:rPr>
        <w:t>和电子版，文件能够简明扼要介绍成果核心内容与主要结论。</w:t>
      </w:r>
    </w:p>
    <w:p w14:paraId="19D5A6A9">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五、投标资格要求</w:t>
      </w:r>
    </w:p>
    <w:p w14:paraId="38E6AAA1">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（一）具有独立承担民事责任能力的在中华人民共和国境内注册的法人。</w:t>
      </w:r>
    </w:p>
    <w:p w14:paraId="239EDACF">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14:paraId="3FD8BA30">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14:paraId="217F115C">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六、投标时间、方式及联系人</w:t>
      </w:r>
    </w:p>
    <w:p w14:paraId="22643BE8">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（一）投标</w:t>
      </w:r>
      <w:r>
        <w:rPr>
          <w:rFonts w:hint="eastAsia" w:ascii="仿宋_GB2312" w:hAnsi="仿宋_GB2312" w:eastAsia="仿宋_GB2312" w:cs="仿宋_GB2312"/>
          <w:sz w:val="32"/>
          <w:szCs w:val="24"/>
        </w:rPr>
        <w:t>时间：2026年</w:t>
      </w:r>
      <w:r>
        <w:rPr>
          <w:rFonts w:hint="eastAsia" w:ascii="仿宋_GB2312" w:hAnsi="仿宋_GB2312" w:eastAsia="仿宋_GB2312" w:cs="仿宋_GB2312"/>
          <w:sz w:val="32"/>
          <w:szCs w:val="24"/>
          <w:lang w:val="en-US" w:eastAsia="zh-CN"/>
        </w:rPr>
        <w:t>6</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lang w:val="en-US" w:eastAsia="zh-CN"/>
        </w:rPr>
        <w:t>11</w:t>
      </w:r>
      <w:r>
        <w:rPr>
          <w:rFonts w:hint="eastAsia" w:ascii="仿宋_GB2312" w:hAnsi="仿宋_GB2312" w:eastAsia="仿宋_GB2312" w:cs="仿宋_GB2312"/>
          <w:sz w:val="32"/>
          <w:szCs w:val="24"/>
        </w:rPr>
        <w:t>日至202</w:t>
      </w:r>
      <w:bookmarkStart w:id="0" w:name="_GoBack"/>
      <w:bookmarkEnd w:id="0"/>
      <w:r>
        <w:rPr>
          <w:rFonts w:hint="eastAsia" w:ascii="仿宋_GB2312" w:hAnsi="仿宋_GB2312" w:eastAsia="仿宋_GB2312" w:cs="仿宋_GB2312"/>
          <w:sz w:val="32"/>
          <w:szCs w:val="24"/>
        </w:rPr>
        <w:t>6年6月</w:t>
      </w:r>
      <w:r>
        <w:rPr>
          <w:rFonts w:hint="eastAsia" w:ascii="仿宋_GB2312" w:hAnsi="仿宋_GB2312" w:eastAsia="仿宋_GB2312" w:cs="仿宋_GB2312"/>
          <w:sz w:val="32"/>
          <w:szCs w:val="24"/>
          <w:lang w:val="en-US" w:eastAsia="zh-CN"/>
        </w:rPr>
        <w:t>25</w:t>
      </w:r>
      <w:r>
        <w:rPr>
          <w:rFonts w:hint="eastAsia" w:ascii="仿宋_GB2312" w:hAnsi="仿宋_GB2312" w:eastAsia="仿宋_GB2312" w:cs="仿宋_GB2312"/>
          <w:sz w:val="32"/>
          <w:szCs w:val="24"/>
        </w:rPr>
        <w:t>日，每日上午9:00-12:00，下午2:00-</w:t>
      </w:r>
      <w:r>
        <w:rPr>
          <w:rFonts w:ascii="仿宋_GB2312" w:hAnsi="仿宋_GB2312" w:eastAsia="仿宋_GB2312" w:cs="仿宋_GB2312"/>
          <w:sz w:val="32"/>
          <w:szCs w:val="24"/>
        </w:rPr>
        <w:t>5</w:t>
      </w:r>
      <w:r>
        <w:rPr>
          <w:rFonts w:hint="eastAsia" w:ascii="仿宋_GB2312" w:hAnsi="仿宋_GB2312" w:eastAsia="仿宋_GB2312" w:cs="仿宋_GB2312"/>
          <w:sz w:val="32"/>
          <w:szCs w:val="24"/>
        </w:rPr>
        <w:t>:</w:t>
      </w:r>
      <w:r>
        <w:rPr>
          <w:rFonts w:ascii="仿宋_GB2312" w:hAnsi="仿宋_GB2312" w:eastAsia="仿宋_GB2312" w:cs="仿宋_GB2312"/>
          <w:sz w:val="32"/>
          <w:szCs w:val="24"/>
        </w:rPr>
        <w:t>45</w:t>
      </w:r>
      <w:r>
        <w:rPr>
          <w:rFonts w:hint="eastAsia" w:ascii="仿宋_GB2312" w:hAnsi="仿宋_GB2312" w:eastAsia="仿宋_GB2312" w:cs="仿宋_GB2312"/>
          <w:sz w:val="32"/>
          <w:szCs w:val="24"/>
        </w:rPr>
        <w:t>（节假日除外）。逾期未投标将不再受理</w:t>
      </w:r>
      <w:r>
        <w:rPr>
          <w:rFonts w:ascii="Times New Roman" w:hAnsi="Times New Roman" w:eastAsia="仿宋_GB2312"/>
          <w:sz w:val="32"/>
          <w:szCs w:val="24"/>
        </w:rPr>
        <w:t>。</w:t>
      </w:r>
    </w:p>
    <w:p w14:paraId="19BC8A08">
      <w:pPr>
        <w:spacing w:line="560" w:lineRule="exact"/>
        <w:ind w:firstLine="640" w:firstLineChars="200"/>
        <w:rPr>
          <w:rFonts w:hint="eastAsia" w:ascii="仿宋_GB2312" w:hAnsi="仿宋_GB2312" w:eastAsia="仿宋_GB2312" w:cs="仿宋_GB2312"/>
          <w:sz w:val="32"/>
          <w:szCs w:val="24"/>
        </w:rPr>
      </w:pPr>
      <w:r>
        <w:rPr>
          <w:rFonts w:hint="eastAsia" w:ascii="Times New Roman" w:hAnsi="Times New Roman" w:eastAsia="仿宋_GB2312"/>
          <w:sz w:val="32"/>
          <w:szCs w:val="24"/>
        </w:rPr>
        <w:t>（二）投</w:t>
      </w:r>
      <w:r>
        <w:rPr>
          <w:rFonts w:hint="eastAsia" w:ascii="仿宋_GB2312" w:hAnsi="仿宋_GB2312" w:eastAsia="仿宋_GB2312" w:cs="仿宋_GB2312"/>
          <w:sz w:val="32"/>
          <w:szCs w:val="24"/>
        </w:rPr>
        <w:t>标地点：深圳市福田区福中三路市民中心B区行政服务大厅2号市</w:t>
      </w:r>
      <w:r>
        <w:rPr>
          <w:rFonts w:hint="eastAsia" w:ascii="仿宋_GB2312" w:hAnsi="仿宋_GB2312" w:eastAsia="仿宋_GB2312" w:cs="仿宋_GB2312"/>
          <w:sz w:val="32"/>
          <w:szCs w:val="24"/>
          <w:lang w:eastAsia="zh-CN"/>
        </w:rPr>
        <w:t>发展改革委</w:t>
      </w:r>
      <w:r>
        <w:rPr>
          <w:rFonts w:hint="eastAsia" w:ascii="仿宋_GB2312" w:hAnsi="仿宋_GB2312" w:eastAsia="仿宋_GB2312" w:cs="仿宋_GB2312"/>
          <w:sz w:val="32"/>
          <w:szCs w:val="24"/>
        </w:rPr>
        <w:t>卡座（可邮寄，以送达日期为投标日期）。</w:t>
      </w:r>
    </w:p>
    <w:p w14:paraId="102A732A">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（三）联系人：熊敏</w:t>
      </w:r>
      <w:r>
        <w:rPr>
          <w:rFonts w:hint="eastAsia" w:ascii="仿宋_GB2312" w:hAnsi="仿宋_GB2312" w:eastAsia="仿宋_GB2312" w:cs="仿宋_GB2312"/>
          <w:sz w:val="32"/>
          <w:szCs w:val="24"/>
        </w:rPr>
        <w:t>，88127605。</w:t>
      </w:r>
    </w:p>
    <w:p w14:paraId="7AD468FA">
      <w:pPr>
        <w:adjustRightInd w:val="0"/>
        <w:snapToGrid w:val="0"/>
        <w:spacing w:line="560" w:lineRule="exact"/>
        <w:ind w:firstLine="643" w:firstLineChars="200"/>
        <w:outlineLvl w:val="0"/>
        <w:rPr>
          <w:rFonts w:hint="eastAsia" w:ascii="黑体" w:hAnsi="黑体" w:eastAsia="黑体"/>
          <w:b/>
          <w:bCs/>
          <w:sz w:val="32"/>
          <w:szCs w:val="32"/>
        </w:rPr>
      </w:pPr>
      <w:r>
        <w:rPr>
          <w:rFonts w:ascii="黑体" w:hAnsi="黑体" w:eastAsia="黑体"/>
          <w:b/>
          <w:bCs/>
          <w:sz w:val="32"/>
          <w:szCs w:val="32"/>
        </w:rPr>
        <w:t>七</w:t>
      </w:r>
      <w:r>
        <w:rPr>
          <w:rFonts w:hint="eastAsia" w:ascii="黑体" w:hAnsi="黑体" w:eastAsia="黑体"/>
          <w:b/>
          <w:bCs/>
          <w:sz w:val="32"/>
          <w:szCs w:val="32"/>
        </w:rPr>
        <w:t>、投标文件递交内容</w:t>
      </w:r>
    </w:p>
    <w:p w14:paraId="4EDDA5B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（一）投标单位简介、投标人营业执照及相关证照（提供加盖公章的复印件，原件备查）。</w:t>
      </w:r>
    </w:p>
    <w:p w14:paraId="7AF8B375">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（二）法定代表人证明书及授权委托书（原件加盖公章）。</w:t>
      </w:r>
    </w:p>
    <w:p w14:paraId="66C4C41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（三）法定代表人及受委托人身份证复印件（复印件加盖公章）。</w:t>
      </w:r>
    </w:p>
    <w:p w14:paraId="1AE3684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（四）项目方案及报价单（原件加盖公章）。</w:t>
      </w:r>
    </w:p>
    <w:p w14:paraId="3E18B94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（五）投标人相关领域</w:t>
      </w:r>
      <w:r>
        <w:rPr>
          <w:rFonts w:ascii="仿宋_GB2312" w:hAnsi="Times New Roman" w:eastAsia="仿宋_GB2312"/>
          <w:bCs/>
          <w:sz w:val="32"/>
          <w:szCs w:val="32"/>
        </w:rPr>
        <w:t>/项目经验证明材料（复印件加盖公章）。</w:t>
      </w:r>
    </w:p>
    <w:p w14:paraId="103F2434">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（六）投标人无重大违法记录声明函（原件加盖公章，格式自拟）。</w:t>
      </w:r>
    </w:p>
    <w:p w14:paraId="33B3258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（七）投标及履约承诺函原件（格式见附件）。</w:t>
      </w:r>
    </w:p>
    <w:p w14:paraId="19052FA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（八）住所地不在深圳的投标人应提供营业场所证明原件。</w:t>
      </w:r>
    </w:p>
    <w:p w14:paraId="5F6E33D0">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（九）投标人认为有必要提供的</w:t>
      </w:r>
      <w:r>
        <w:rPr>
          <w:rFonts w:hint="eastAsia" w:ascii="仿宋_GB2312" w:hAnsi="Times New Roman" w:eastAsia="仿宋_GB2312"/>
          <w:bCs/>
          <w:sz w:val="32"/>
          <w:szCs w:val="32"/>
          <w:lang w:eastAsia="zh-CN"/>
        </w:rPr>
        <w:t>其他</w:t>
      </w:r>
      <w:r>
        <w:rPr>
          <w:rFonts w:hint="eastAsia" w:ascii="仿宋_GB2312" w:hAnsi="Times New Roman" w:eastAsia="仿宋_GB2312"/>
          <w:bCs/>
          <w:sz w:val="32"/>
          <w:szCs w:val="32"/>
        </w:rPr>
        <w:t>材料。</w:t>
      </w:r>
    </w:p>
    <w:p w14:paraId="11EB0E4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投标文件一式三份，整套材料密封并加盖骑缝章，封面注明投标人的名称、地址、联系人及手机号码。</w:t>
      </w:r>
    </w:p>
    <w:p w14:paraId="2403FD10">
      <w:pPr>
        <w:adjustRightInd w:val="0"/>
        <w:snapToGrid w:val="0"/>
        <w:spacing w:line="560" w:lineRule="exact"/>
        <w:ind w:firstLine="643" w:firstLineChars="200"/>
        <w:outlineLvl w:val="0"/>
        <w:rPr>
          <w:rFonts w:hint="eastAsia" w:ascii="黑体" w:hAnsi="黑体" w:eastAsia="黑体"/>
          <w:b/>
          <w:bCs/>
          <w:sz w:val="32"/>
          <w:szCs w:val="32"/>
        </w:rPr>
      </w:pPr>
      <w:r>
        <w:rPr>
          <w:rFonts w:ascii="黑体" w:hAnsi="黑体" w:eastAsia="黑体"/>
          <w:b/>
          <w:bCs/>
          <w:sz w:val="32"/>
          <w:szCs w:val="32"/>
        </w:rPr>
        <w:t>八</w:t>
      </w:r>
      <w:r>
        <w:rPr>
          <w:rFonts w:hint="eastAsia" w:ascii="黑体" w:hAnsi="黑体" w:eastAsia="黑体"/>
          <w:b/>
          <w:bCs/>
          <w:sz w:val="32"/>
          <w:szCs w:val="32"/>
        </w:rPr>
        <w:t>、重要提示</w:t>
      </w:r>
    </w:p>
    <w:p w14:paraId="2D079C8D">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投标单位有下列情况之一的，其投标将被拒绝或作无效投标处理：</w:t>
      </w:r>
    </w:p>
    <w:p w14:paraId="10B65FC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（一）未在规定时间内将投标文件送达规定地点的。</w:t>
      </w:r>
    </w:p>
    <w:p w14:paraId="56E9621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（二）投标人不具备投标资格要求，或未提交相应资格证明材料。</w:t>
      </w:r>
    </w:p>
    <w:p w14:paraId="7248BD67">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（三）投标文件未按规定密封、签字、盖章。</w:t>
      </w:r>
    </w:p>
    <w:p w14:paraId="064DD65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（四）投标文件无法定代表人签字或无法定代表人有效授权委托的。</w:t>
      </w:r>
    </w:p>
    <w:p w14:paraId="08D5AE2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（五）分项报价或投标总价高于预算金额（最高投标限价）的。</w:t>
      </w:r>
    </w:p>
    <w:p w14:paraId="184502F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（六）同一项目出现两个及以上报价，且按规定无法确定哪个是有效报价。</w:t>
      </w:r>
    </w:p>
    <w:p w14:paraId="38E62EC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1B9067D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（八）所投服务在质量、技术、方案等方面没有实质性满足招标文件要求。</w:t>
      </w:r>
    </w:p>
    <w:p w14:paraId="3BC3CC0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（九）法律、法规规定的其他情形。</w:t>
      </w:r>
    </w:p>
    <w:p w14:paraId="002EDC2C">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九、评标方法</w:t>
      </w:r>
    </w:p>
    <w:p w14:paraId="0AA2299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（一）评标方法为综合评分法，具体评分标准和规则为：投标文件从技术、商务和价格等三个评审因素进行评分，出现总分相同的，则总分相等投标人中最低价者中标。</w:t>
      </w:r>
    </w:p>
    <w:p w14:paraId="4DF04921">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（二）综合评分表</w:t>
      </w:r>
    </w:p>
    <w:tbl>
      <w:tblPr>
        <w:tblStyle w:val="5"/>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4F734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3DEB9F1B">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评审部分</w:t>
            </w:r>
          </w:p>
        </w:tc>
        <w:tc>
          <w:tcPr>
            <w:tcW w:w="1202" w:type="dxa"/>
            <w:vAlign w:val="center"/>
          </w:tcPr>
          <w:p w14:paraId="4E65FFA6">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评审因素</w:t>
            </w:r>
          </w:p>
        </w:tc>
        <w:tc>
          <w:tcPr>
            <w:tcW w:w="4678" w:type="dxa"/>
            <w:vAlign w:val="center"/>
          </w:tcPr>
          <w:p w14:paraId="546258EC">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评分细则</w:t>
            </w:r>
          </w:p>
        </w:tc>
        <w:tc>
          <w:tcPr>
            <w:tcW w:w="850" w:type="dxa"/>
            <w:tcBorders>
              <w:right w:val="single" w:color="auto" w:sz="4" w:space="0"/>
            </w:tcBorders>
            <w:vAlign w:val="center"/>
          </w:tcPr>
          <w:p w14:paraId="79501466">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权重（%）</w:t>
            </w:r>
          </w:p>
        </w:tc>
        <w:tc>
          <w:tcPr>
            <w:tcW w:w="851" w:type="dxa"/>
            <w:tcBorders>
              <w:left w:val="single" w:color="auto" w:sz="4" w:space="0"/>
            </w:tcBorders>
            <w:vAlign w:val="center"/>
          </w:tcPr>
          <w:p w14:paraId="7693C019">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分值（分）</w:t>
            </w:r>
          </w:p>
        </w:tc>
      </w:tr>
      <w:tr w14:paraId="1FD4D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64338744">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一</w:t>
            </w:r>
          </w:p>
        </w:tc>
        <w:tc>
          <w:tcPr>
            <w:tcW w:w="7581" w:type="dxa"/>
            <w:gridSpan w:val="4"/>
            <w:vAlign w:val="center"/>
          </w:tcPr>
          <w:p w14:paraId="4A7E7DCE">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技术部分（合计45分）</w:t>
            </w:r>
          </w:p>
        </w:tc>
      </w:tr>
      <w:tr w14:paraId="3A516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55DEBA71">
            <w:pPr>
              <w:numPr>
                <w:ilvl w:val="0"/>
                <w:numId w:val="1"/>
              </w:numPr>
              <w:jc w:val="right"/>
              <w:rPr>
                <w:rFonts w:hint="eastAsia" w:ascii="仿宋_GB2312" w:hAnsi="仿宋_GB2312" w:eastAsia="仿宋_GB2312" w:cs="仿宋_GB2312"/>
                <w:sz w:val="22"/>
                <w:szCs w:val="24"/>
              </w:rPr>
            </w:pPr>
          </w:p>
        </w:tc>
        <w:tc>
          <w:tcPr>
            <w:tcW w:w="1202" w:type="dxa"/>
            <w:vAlign w:val="center"/>
          </w:tcPr>
          <w:p w14:paraId="536ED693">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实施方案</w:t>
            </w:r>
          </w:p>
        </w:tc>
        <w:tc>
          <w:tcPr>
            <w:tcW w:w="4678" w:type="dxa"/>
          </w:tcPr>
          <w:p w14:paraId="424A684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1.评分内容：</w:t>
            </w:r>
          </w:p>
          <w:p w14:paraId="30C6246B">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（1）对本项目相关的前期工作背景和工作要求的理解；</w:t>
            </w:r>
          </w:p>
          <w:p w14:paraId="377923F5">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（2）提出项目的研究思路、研究方法及技术路线；</w:t>
            </w:r>
          </w:p>
          <w:p w14:paraId="65246F22">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（3）详细阐述本项目的工作内容及深度。</w:t>
            </w:r>
          </w:p>
          <w:p w14:paraId="57008EBD">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2.评分依据：</w:t>
            </w:r>
          </w:p>
          <w:p w14:paraId="77A1F5F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（1）内容完整性：满足以上三点得60%分，满足任意两点得40%分，满足任意一点得20%分，未满足不得分；</w:t>
            </w:r>
          </w:p>
          <w:p w14:paraId="046CE41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（2）内容合理性：在内容完整性的基础上，对内容合理性进行分档评分。</w:t>
            </w:r>
          </w:p>
          <w:p w14:paraId="10771735">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①优评分标准：内容合理性强，得40%分；</w:t>
            </w:r>
          </w:p>
          <w:p w14:paraId="7399B07F">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②良评分标准：内容合理性较强，得30%分；</w:t>
            </w:r>
          </w:p>
          <w:p w14:paraId="6976F587">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③中评分标准：内容合理性一般，得20%分；</w:t>
            </w:r>
          </w:p>
          <w:p w14:paraId="0ECEE464">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④差评分标准：内容合理性较差，不得分。</w:t>
            </w:r>
          </w:p>
          <w:p w14:paraId="2C13F553">
            <w:pPr>
              <w:spacing w:line="300" w:lineRule="exact"/>
              <w:ind w:left="-78" w:leftChars="-37" w:right="-73" w:rightChars="-35"/>
              <w:jc w:val="left"/>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以上两项累积得分，满分为100%分。</w:t>
            </w:r>
          </w:p>
        </w:tc>
        <w:tc>
          <w:tcPr>
            <w:tcW w:w="850" w:type="dxa"/>
            <w:tcBorders>
              <w:right w:val="single" w:color="auto" w:sz="4" w:space="0"/>
            </w:tcBorders>
            <w:vAlign w:val="center"/>
          </w:tcPr>
          <w:p w14:paraId="4975289B">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30</w:t>
            </w:r>
          </w:p>
        </w:tc>
        <w:tc>
          <w:tcPr>
            <w:tcW w:w="851" w:type="dxa"/>
            <w:tcBorders>
              <w:left w:val="single" w:color="auto" w:sz="4" w:space="0"/>
            </w:tcBorders>
            <w:vAlign w:val="center"/>
          </w:tcPr>
          <w:p w14:paraId="378D8DA1">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30</w:t>
            </w:r>
          </w:p>
        </w:tc>
      </w:tr>
      <w:tr w14:paraId="4588A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A066603">
            <w:pPr>
              <w:numPr>
                <w:ilvl w:val="0"/>
                <w:numId w:val="1"/>
              </w:numPr>
              <w:jc w:val="right"/>
              <w:rPr>
                <w:rFonts w:hint="eastAsia" w:ascii="仿宋_GB2312" w:hAnsi="仿宋_GB2312" w:eastAsia="仿宋_GB2312" w:cs="仿宋_GB2312"/>
                <w:sz w:val="22"/>
                <w:szCs w:val="24"/>
              </w:rPr>
            </w:pPr>
          </w:p>
        </w:tc>
        <w:tc>
          <w:tcPr>
            <w:tcW w:w="1202" w:type="dxa"/>
            <w:vAlign w:val="center"/>
          </w:tcPr>
          <w:p w14:paraId="3C8FFD95">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质量保障措施及方案</w:t>
            </w:r>
          </w:p>
        </w:tc>
        <w:tc>
          <w:tcPr>
            <w:tcW w:w="4678" w:type="dxa"/>
          </w:tcPr>
          <w:p w14:paraId="642A7F27">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1.评分内容：</w:t>
            </w:r>
          </w:p>
          <w:p w14:paraId="772A90AE">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（1）给出分阶段项目时间安排、工作进度与阶段性成果；</w:t>
            </w:r>
          </w:p>
          <w:p w14:paraId="7F818B62">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（2）详细阐述项目时间管理制度与措施；</w:t>
            </w:r>
          </w:p>
          <w:p w14:paraId="54B6F0D8">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（3）详细阐述项目质量管理制度与措施。</w:t>
            </w:r>
          </w:p>
          <w:p w14:paraId="1C8F8FFD">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2.评分依据：</w:t>
            </w:r>
          </w:p>
          <w:p w14:paraId="0A38F4DB">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（1）内容完整性：满足以上三点得60%分，满足任意两点得40%分，满足任意一点得20%分，未满足不得分；</w:t>
            </w:r>
          </w:p>
          <w:p w14:paraId="490FFDDE">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（2）内容合理性：在内容完整性的基础上，对内容合理性进行分档评分。</w:t>
            </w:r>
          </w:p>
          <w:p w14:paraId="41F79A8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①优评分标准：内容合理性强，得40%分；</w:t>
            </w:r>
          </w:p>
          <w:p w14:paraId="4E59C101">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②良评分标准：内容合理性较强，得20%分；</w:t>
            </w:r>
          </w:p>
          <w:p w14:paraId="7FE046B3">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③中评分标准：内容合理性一般，得10%分；</w:t>
            </w:r>
          </w:p>
          <w:p w14:paraId="6EA8B43B">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④差评分标准：内容合理性较差，不得分。</w:t>
            </w:r>
          </w:p>
          <w:p w14:paraId="6A4BC968">
            <w:pPr>
              <w:spacing w:line="300" w:lineRule="exact"/>
              <w:ind w:left="-78" w:leftChars="-37" w:right="-73" w:rightChars="-35"/>
              <w:jc w:val="left"/>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以上两项累积得分，满分为100%分。</w:t>
            </w:r>
          </w:p>
        </w:tc>
        <w:tc>
          <w:tcPr>
            <w:tcW w:w="850" w:type="dxa"/>
            <w:tcBorders>
              <w:right w:val="single" w:color="auto" w:sz="4" w:space="0"/>
            </w:tcBorders>
            <w:vAlign w:val="center"/>
          </w:tcPr>
          <w:p w14:paraId="5B35BD68">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5A75BD97">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4C648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1B75268">
            <w:pPr>
              <w:numPr>
                <w:ilvl w:val="0"/>
                <w:numId w:val="1"/>
              </w:numPr>
              <w:jc w:val="right"/>
              <w:rPr>
                <w:rFonts w:hint="eastAsia" w:ascii="仿宋_GB2312" w:hAnsi="仿宋_GB2312" w:eastAsia="仿宋_GB2312" w:cs="仿宋_GB2312"/>
                <w:sz w:val="22"/>
                <w:szCs w:val="24"/>
              </w:rPr>
            </w:pPr>
          </w:p>
        </w:tc>
        <w:tc>
          <w:tcPr>
            <w:tcW w:w="1202" w:type="dxa"/>
            <w:vAlign w:val="center"/>
          </w:tcPr>
          <w:p w14:paraId="761DD918">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违约承诺</w:t>
            </w:r>
          </w:p>
        </w:tc>
        <w:tc>
          <w:tcPr>
            <w:tcW w:w="4678" w:type="dxa"/>
          </w:tcPr>
          <w:p w14:paraId="204FF1E5">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提供违约承诺，承诺满足招标文件要求，保证措施合理且有针对性，有具体的违约责任承诺。</w:t>
            </w:r>
          </w:p>
          <w:p w14:paraId="4BD62D57">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投标人提供违约承诺的100%。要求提供承诺（格式自定）作为得分依据，未提供承诺或承诺内容不满足要求不得分。</w:t>
            </w:r>
          </w:p>
        </w:tc>
        <w:tc>
          <w:tcPr>
            <w:tcW w:w="850" w:type="dxa"/>
            <w:tcBorders>
              <w:right w:val="single" w:color="auto" w:sz="4" w:space="0"/>
            </w:tcBorders>
            <w:vAlign w:val="center"/>
          </w:tcPr>
          <w:p w14:paraId="1FFA75A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5</w:t>
            </w:r>
          </w:p>
        </w:tc>
        <w:tc>
          <w:tcPr>
            <w:tcW w:w="851" w:type="dxa"/>
            <w:tcBorders>
              <w:left w:val="single" w:color="auto" w:sz="4" w:space="0"/>
            </w:tcBorders>
            <w:vAlign w:val="center"/>
          </w:tcPr>
          <w:p w14:paraId="0067FE14">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5</w:t>
            </w:r>
          </w:p>
        </w:tc>
      </w:tr>
      <w:tr w14:paraId="76DCE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6057305C">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二</w:t>
            </w:r>
          </w:p>
        </w:tc>
        <w:tc>
          <w:tcPr>
            <w:tcW w:w="7581" w:type="dxa"/>
            <w:gridSpan w:val="4"/>
            <w:vAlign w:val="center"/>
          </w:tcPr>
          <w:p w14:paraId="705C78FA">
            <w:pPr>
              <w:spacing w:line="300" w:lineRule="exact"/>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商务部分（合计45分）</w:t>
            </w:r>
          </w:p>
        </w:tc>
      </w:tr>
      <w:tr w14:paraId="57ACA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5A2EF43">
            <w:pPr>
              <w:numPr>
                <w:ilvl w:val="0"/>
                <w:numId w:val="2"/>
              </w:numPr>
              <w:jc w:val="center"/>
              <w:rPr>
                <w:rFonts w:hint="eastAsia" w:ascii="仿宋_GB2312" w:hAnsi="仿宋_GB2312" w:eastAsia="仿宋_GB2312" w:cs="仿宋_GB2312"/>
                <w:sz w:val="22"/>
                <w:szCs w:val="24"/>
              </w:rPr>
            </w:pPr>
          </w:p>
        </w:tc>
        <w:tc>
          <w:tcPr>
            <w:tcW w:w="1202" w:type="dxa"/>
            <w:vAlign w:val="center"/>
          </w:tcPr>
          <w:p w14:paraId="4E31A480">
            <w:pPr>
              <w:spacing w:line="300" w:lineRule="exact"/>
              <w:jc w:val="center"/>
              <w:rPr>
                <w:rFonts w:hint="eastAsia" w:ascii="仿宋_GB2312" w:hAnsi="仿宋_GB2312" w:eastAsia="仿宋_GB2312" w:cs="仿宋_GB2312"/>
                <w:b/>
                <w:bCs/>
                <w:sz w:val="22"/>
                <w:szCs w:val="32"/>
              </w:rPr>
            </w:pPr>
            <w:r>
              <w:rPr>
                <w:rFonts w:ascii="仿宋_GB2312" w:hAnsi="仿宋_GB2312" w:eastAsia="仿宋_GB2312" w:cs="仿宋_GB2312"/>
                <w:sz w:val="22"/>
                <w:szCs w:val="24"/>
              </w:rPr>
              <w:t>投标人经验</w:t>
            </w:r>
          </w:p>
        </w:tc>
        <w:tc>
          <w:tcPr>
            <w:tcW w:w="4678" w:type="dxa"/>
            <w:vAlign w:val="center"/>
          </w:tcPr>
          <w:p w14:paraId="3901C733">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2170602F">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牵头承担过国家、省或市级</w:t>
            </w:r>
            <w:r>
              <w:rPr>
                <w:rFonts w:hint="eastAsia" w:ascii="仿宋_GB2312" w:hAnsi="仿宋_GB2312" w:eastAsia="仿宋_GB2312" w:cs="仿宋_GB2312"/>
                <w:kern w:val="0"/>
                <w:sz w:val="22"/>
                <w:szCs w:val="24"/>
              </w:rPr>
              <w:t>重大项目谋划、</w:t>
            </w:r>
            <w:r>
              <w:rPr>
                <w:rFonts w:ascii="仿宋_GB2312" w:hAnsi="仿宋_GB2312" w:eastAsia="仿宋_GB2312" w:cs="仿宋_GB2312"/>
                <w:kern w:val="0"/>
                <w:sz w:val="22"/>
                <w:szCs w:val="24"/>
              </w:rPr>
              <w:t>产业研究、</w:t>
            </w:r>
            <w:r>
              <w:rPr>
                <w:rFonts w:hint="eastAsia" w:ascii="仿宋_GB2312" w:hAnsi="仿宋_GB2312" w:eastAsia="仿宋_GB2312" w:cs="仿宋_GB2312"/>
                <w:kern w:val="0"/>
                <w:sz w:val="22"/>
                <w:szCs w:val="24"/>
              </w:rPr>
              <w:t>规划编制、政策研究、制度评估等政府项目的</w:t>
            </w:r>
            <w:r>
              <w:rPr>
                <w:rFonts w:ascii="仿宋_GB2312" w:hAnsi="仿宋_GB2312" w:eastAsia="仿宋_GB2312" w:cs="仿宋_GB2312"/>
                <w:kern w:val="0"/>
                <w:sz w:val="22"/>
                <w:szCs w:val="24"/>
              </w:rPr>
              <w:t>，按国家级每项20%、省级或市级每项10%进行计分，最高得分不超过100%。</w:t>
            </w:r>
          </w:p>
          <w:p w14:paraId="6641663F">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1FE50F5A">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（1）要求提供合同关键页或其他证明文件。</w:t>
            </w:r>
          </w:p>
          <w:p w14:paraId="28640830">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77B74411">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15</w:t>
            </w:r>
          </w:p>
        </w:tc>
        <w:tc>
          <w:tcPr>
            <w:tcW w:w="851" w:type="dxa"/>
            <w:tcBorders>
              <w:left w:val="single" w:color="auto" w:sz="4" w:space="0"/>
            </w:tcBorders>
            <w:vAlign w:val="center"/>
          </w:tcPr>
          <w:p w14:paraId="5CF76E1F">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15</w:t>
            </w:r>
          </w:p>
        </w:tc>
      </w:tr>
      <w:tr w14:paraId="137F8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29A75F4">
            <w:pPr>
              <w:numPr>
                <w:ilvl w:val="0"/>
                <w:numId w:val="2"/>
              </w:numPr>
              <w:jc w:val="center"/>
              <w:rPr>
                <w:rFonts w:hint="eastAsia" w:ascii="仿宋_GB2312" w:hAnsi="仿宋_GB2312" w:eastAsia="仿宋_GB2312" w:cs="仿宋_GB2312"/>
                <w:sz w:val="22"/>
                <w:szCs w:val="24"/>
              </w:rPr>
            </w:pPr>
          </w:p>
        </w:tc>
        <w:tc>
          <w:tcPr>
            <w:tcW w:w="1202" w:type="dxa"/>
            <w:vAlign w:val="center"/>
          </w:tcPr>
          <w:p w14:paraId="7361DB24">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投标人获奖情况</w:t>
            </w:r>
          </w:p>
        </w:tc>
        <w:tc>
          <w:tcPr>
            <w:tcW w:w="4678" w:type="dxa"/>
          </w:tcPr>
          <w:p w14:paraId="49762163">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4FB81834">
            <w:pPr>
              <w:spacing w:line="300" w:lineRule="exact"/>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投标人承担的</w:t>
            </w:r>
            <w:r>
              <w:rPr>
                <w:rFonts w:hint="eastAsia" w:ascii="仿宋_GB2312" w:hAnsi="仿宋_GB2312" w:eastAsia="仿宋_GB2312" w:cs="仿宋_GB2312"/>
                <w:kern w:val="0"/>
                <w:sz w:val="22"/>
                <w:szCs w:val="24"/>
              </w:rPr>
              <w:t>重大项目谋划、产业研究、规划编制、政策研究、制度评估等政府项目，</w:t>
            </w:r>
            <w:r>
              <w:rPr>
                <w:rFonts w:ascii="仿宋_GB2312" w:hAnsi="仿宋_GB2312" w:eastAsia="仿宋_GB2312" w:cs="仿宋_GB2312"/>
                <w:kern w:val="0"/>
                <w:sz w:val="22"/>
                <w:szCs w:val="24"/>
              </w:rPr>
              <w:t>每提供一个国家级奖项得30%，省级奖项得20%，地级市奖项得10%，最高得分不超过100%。</w:t>
            </w:r>
          </w:p>
          <w:p w14:paraId="5E5B35EE">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7C7AB21D">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（1）要求提供相关证明文件。</w:t>
            </w:r>
          </w:p>
          <w:p w14:paraId="36E0D9B7">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3AF14793">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3C633B5E">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62989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14:paraId="390148F4">
            <w:pPr>
              <w:numPr>
                <w:ilvl w:val="0"/>
                <w:numId w:val="2"/>
              </w:numPr>
              <w:jc w:val="center"/>
              <w:rPr>
                <w:rFonts w:hint="eastAsia" w:ascii="仿宋_GB2312" w:hAnsi="仿宋_GB2312" w:eastAsia="仿宋_GB2312" w:cs="仿宋_GB2312"/>
                <w:sz w:val="22"/>
                <w:szCs w:val="24"/>
              </w:rPr>
            </w:pPr>
          </w:p>
        </w:tc>
        <w:tc>
          <w:tcPr>
            <w:tcW w:w="1202" w:type="dxa"/>
            <w:vAlign w:val="center"/>
          </w:tcPr>
          <w:p w14:paraId="723B5CC8">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拟安排的项目负责人情况（仅限一人）</w:t>
            </w:r>
          </w:p>
        </w:tc>
        <w:tc>
          <w:tcPr>
            <w:tcW w:w="4678" w:type="dxa"/>
          </w:tcPr>
          <w:p w14:paraId="735DDC09">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579BB86C">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（1）项目负责人具有</w:t>
            </w:r>
            <w:r>
              <w:rPr>
                <w:rFonts w:hint="eastAsia" w:ascii="仿宋_GB2312" w:hAnsi="仿宋_GB2312" w:eastAsia="仿宋_GB2312" w:cs="仿宋_GB2312"/>
                <w:kern w:val="0"/>
                <w:sz w:val="22"/>
                <w:szCs w:val="24"/>
              </w:rPr>
              <w:t>中</w:t>
            </w:r>
            <w:r>
              <w:rPr>
                <w:rFonts w:ascii="仿宋_GB2312" w:hAnsi="仿宋_GB2312" w:eastAsia="仿宋_GB2312" w:cs="仿宋_GB2312"/>
                <w:kern w:val="0"/>
                <w:sz w:val="22"/>
                <w:szCs w:val="24"/>
              </w:rPr>
              <w:t>级及以上职称或博士学位，得25%，否则不得分。</w:t>
            </w:r>
          </w:p>
          <w:p w14:paraId="4A92C948">
            <w:pPr>
              <w:spacing w:line="300" w:lineRule="exact"/>
              <w:rPr>
                <w:rFonts w:hint="eastAsia" w:ascii="仿宋_GB2312" w:hAnsi="仿宋_GB2312" w:eastAsia="仿宋_GB2312" w:cs="仿宋_GB2312"/>
                <w:b/>
                <w:kern w:val="0"/>
                <w:sz w:val="22"/>
                <w:szCs w:val="24"/>
              </w:rPr>
            </w:pPr>
            <w:r>
              <w:rPr>
                <w:rFonts w:ascii="仿宋_GB2312" w:hAnsi="仿宋_GB2312" w:eastAsia="仿宋_GB2312" w:cs="仿宋_GB2312"/>
                <w:kern w:val="0"/>
                <w:sz w:val="22"/>
                <w:szCs w:val="24"/>
              </w:rPr>
              <w:t>（2）项目负责人主持或参与过</w:t>
            </w:r>
            <w:r>
              <w:rPr>
                <w:rFonts w:hint="eastAsia" w:ascii="仿宋_GB2312" w:hAnsi="仿宋_GB2312" w:eastAsia="仿宋_GB2312" w:cs="仿宋_GB2312"/>
                <w:kern w:val="0"/>
                <w:sz w:val="22"/>
                <w:szCs w:val="24"/>
              </w:rPr>
              <w:t>重大项目谋划、产业研究、规划编制、政策研究、制度评估等政府项目的</w:t>
            </w:r>
            <w:r>
              <w:rPr>
                <w:rFonts w:ascii="仿宋_GB2312" w:hAnsi="仿宋_GB2312" w:eastAsia="仿宋_GB2312" w:cs="仿宋_GB2312"/>
                <w:kern w:val="0"/>
                <w:sz w:val="22"/>
                <w:szCs w:val="24"/>
              </w:rPr>
              <w:t>，每提供一个国家级（含国家部委委托）得20%，每提供一个省市级得10%，本项最高得分不超过75%。</w:t>
            </w:r>
          </w:p>
          <w:p w14:paraId="04B3E777">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29261639">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（1）要求提供通过投标人购买的项目负责人近三个月社保，学位或职称文件，业绩合同关键页或其他证明文件（需要体现人员信息，若无人员信息，须提供工作单位出具的证明材料）。</w:t>
            </w:r>
          </w:p>
          <w:p w14:paraId="211CD179">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37B3D3C4">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2DBBE709">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2EC902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848DD81">
            <w:pPr>
              <w:numPr>
                <w:ilvl w:val="0"/>
                <w:numId w:val="2"/>
              </w:numPr>
              <w:jc w:val="center"/>
              <w:rPr>
                <w:rFonts w:hint="eastAsia" w:ascii="仿宋_GB2312" w:hAnsi="仿宋_GB2312" w:eastAsia="仿宋_GB2312" w:cs="仿宋_GB2312"/>
                <w:sz w:val="22"/>
                <w:szCs w:val="24"/>
              </w:rPr>
            </w:pPr>
          </w:p>
        </w:tc>
        <w:tc>
          <w:tcPr>
            <w:tcW w:w="1202" w:type="dxa"/>
            <w:vAlign w:val="center"/>
          </w:tcPr>
          <w:p w14:paraId="194DD816">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拟安排的项目主要团队成员（主要技术人员）情况（项目负责人除外）</w:t>
            </w:r>
          </w:p>
        </w:tc>
        <w:tc>
          <w:tcPr>
            <w:tcW w:w="4678" w:type="dxa"/>
          </w:tcPr>
          <w:p w14:paraId="2873E8E2">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29F7DB8E">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项目团队中每提供1位有中高级职称或博士学位人员得25%，每提供1位有硕士学位人员得20%，最高得分不超过100%。</w:t>
            </w:r>
          </w:p>
          <w:p w14:paraId="39FB6C78">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0FC87EF8">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（1）要求提供通过投标人购买的团队成员近三个月社保，学位或职称文件等。</w:t>
            </w:r>
          </w:p>
          <w:p w14:paraId="717CCAF2">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D95765C">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1715E8DF">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6302F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75E9F407">
            <w:pPr>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三</w:t>
            </w:r>
          </w:p>
        </w:tc>
        <w:tc>
          <w:tcPr>
            <w:tcW w:w="7581" w:type="dxa"/>
            <w:gridSpan w:val="4"/>
            <w:vAlign w:val="center"/>
          </w:tcPr>
          <w:p w14:paraId="6C449B66">
            <w:pPr>
              <w:spacing w:line="300" w:lineRule="exact"/>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价格部分（合计10分）</w:t>
            </w:r>
          </w:p>
        </w:tc>
      </w:tr>
      <w:tr w14:paraId="1852F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25A409BE">
            <w:pPr>
              <w:numPr>
                <w:ilvl w:val="0"/>
                <w:numId w:val="3"/>
              </w:numPr>
              <w:jc w:val="center"/>
              <w:rPr>
                <w:rFonts w:hint="eastAsia" w:ascii="仿宋_GB2312" w:hAnsi="仿宋_GB2312" w:eastAsia="仿宋_GB2312" w:cs="仿宋_GB2312"/>
                <w:sz w:val="22"/>
                <w:szCs w:val="24"/>
              </w:rPr>
            </w:pPr>
          </w:p>
        </w:tc>
        <w:tc>
          <w:tcPr>
            <w:tcW w:w="1202" w:type="dxa"/>
            <w:vAlign w:val="center"/>
          </w:tcPr>
          <w:p w14:paraId="595004E9">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投标报价</w:t>
            </w:r>
          </w:p>
        </w:tc>
        <w:tc>
          <w:tcPr>
            <w:tcW w:w="4678" w:type="dxa"/>
            <w:vAlign w:val="center"/>
          </w:tcPr>
          <w:p w14:paraId="56513749">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所有投标人报价作为投标人的评标价。</w:t>
            </w:r>
          </w:p>
          <w:p w14:paraId="162488F8">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取所有投标人评标价的算术平均值为基准价，基准价得满分。</w:t>
            </w:r>
          </w:p>
          <w:p w14:paraId="533CF543">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价格得分计算公式为：</w:t>
            </w:r>
          </w:p>
          <w:p w14:paraId="29E5ADBF">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价格得分 = [1-A×|1-评标价格/评标基准价|]×10</w:t>
            </w:r>
          </w:p>
          <w:p w14:paraId="0C5A6819">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 xml:space="preserve">价格调整系数A:当评标价低于基准价时，A=0.5；当评标价格高于基准价时，A=1。 </w:t>
            </w:r>
          </w:p>
          <w:p w14:paraId="73794AC4">
            <w:pPr>
              <w:spacing w:line="300" w:lineRule="exact"/>
              <w:rPr>
                <w:rFonts w:hint="eastAsia" w:ascii="仿宋_GB2312" w:hAnsi="仿宋_GB2312" w:eastAsia="仿宋_GB2312" w:cs="仿宋_GB2312"/>
                <w:b/>
                <w:bCs/>
                <w:sz w:val="22"/>
                <w:szCs w:val="24"/>
                <w:u w:val="double"/>
              </w:rPr>
            </w:pPr>
            <w:r>
              <w:rPr>
                <w:rFonts w:ascii="仿宋_GB2312" w:hAnsi="仿宋_GB2312" w:eastAsia="仿宋_GB2312" w:cs="仿宋_GB2312"/>
                <w:kern w:val="0"/>
                <w:sz w:val="22"/>
                <w:szCs w:val="24"/>
              </w:rPr>
              <w:t>经以上算法得出的数值即为投标人的价格得分（计算过程及计算结果四舍五入保留小数点后两位）。价格得分为负数时，计为0分。</w:t>
            </w:r>
          </w:p>
        </w:tc>
        <w:tc>
          <w:tcPr>
            <w:tcW w:w="850" w:type="dxa"/>
            <w:tcBorders>
              <w:right w:val="single" w:color="auto" w:sz="4" w:space="0"/>
            </w:tcBorders>
            <w:vAlign w:val="center"/>
          </w:tcPr>
          <w:p w14:paraId="6D367654">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22E86F8C">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1231A9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59F7A85E">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合计</w:t>
            </w:r>
          </w:p>
        </w:tc>
        <w:tc>
          <w:tcPr>
            <w:tcW w:w="850" w:type="dxa"/>
            <w:tcBorders>
              <w:right w:val="single" w:color="auto" w:sz="4" w:space="0"/>
            </w:tcBorders>
            <w:vAlign w:val="center"/>
          </w:tcPr>
          <w:p w14:paraId="15EDC18B">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100</w:t>
            </w:r>
          </w:p>
        </w:tc>
        <w:tc>
          <w:tcPr>
            <w:tcW w:w="851" w:type="dxa"/>
            <w:tcBorders>
              <w:left w:val="single" w:color="auto" w:sz="4" w:space="0"/>
            </w:tcBorders>
            <w:vAlign w:val="center"/>
          </w:tcPr>
          <w:p w14:paraId="1EF0B8B5">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100</w:t>
            </w:r>
          </w:p>
        </w:tc>
      </w:tr>
    </w:tbl>
    <w:p w14:paraId="378F6A68">
      <w:pPr>
        <w:spacing w:line="300" w:lineRule="exact"/>
        <w:rPr>
          <w:rFonts w:hint="eastAsia"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14:paraId="0535FD8E">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（1）权重：按百分比进行设置。</w:t>
      </w:r>
    </w:p>
    <w:p w14:paraId="5E3B36D9">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14:paraId="4798F8A7">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（3）每项“评分因素”的得分=对应“评分准则”的分值×对应权重%。</w:t>
      </w:r>
    </w:p>
    <w:p w14:paraId="4945B756">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14:paraId="4E21525A">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14:paraId="236C281E">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14:paraId="59123D10">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14:paraId="6DDCC326">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14:paraId="38AF4F02">
      <w:pPr>
        <w:spacing w:line="540" w:lineRule="exact"/>
        <w:ind w:firstLine="600" w:firstLineChars="250"/>
        <w:rPr>
          <w:rFonts w:hint="eastAsia" w:ascii="宋体" w:hAnsi="宋体" w:cs="宋体"/>
          <w:kern w:val="0"/>
          <w:sz w:val="24"/>
          <w:szCs w:val="24"/>
        </w:rPr>
      </w:pPr>
    </w:p>
    <w:p w14:paraId="6A75F711">
      <w:pPr>
        <w:adjustRightInd w:val="0"/>
        <w:snapToGrid w:val="0"/>
        <w:spacing w:line="480" w:lineRule="exact"/>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14:paraId="21D1F59D">
      <w:pPr>
        <w:jc w:val="left"/>
        <w:rPr>
          <w:rFonts w:hint="eastAsia" w:ascii="仿宋_GB2312" w:hAnsi="宋体" w:eastAsia="仿宋_GB2312"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w:t>
      </w:r>
    </w:p>
    <w:p w14:paraId="46D54502">
      <w:pPr>
        <w:adjustRightInd w:val="0"/>
        <w:snapToGrid w:val="0"/>
        <w:spacing w:line="600" w:lineRule="exact"/>
        <w:jc w:val="center"/>
        <w:rPr>
          <w:rFonts w:hint="eastAsia" w:ascii="宋体" w:hAnsi="宋体" w:cs="宋体"/>
          <w:b/>
          <w:bCs/>
          <w:sz w:val="44"/>
          <w:szCs w:val="44"/>
        </w:rPr>
      </w:pPr>
    </w:p>
    <w:p w14:paraId="546027D9">
      <w:pPr>
        <w:adjustRightInd w:val="0"/>
        <w:snapToGrid w:val="0"/>
        <w:spacing w:line="600" w:lineRule="exact"/>
        <w:jc w:val="center"/>
        <w:rPr>
          <w:rFonts w:hint="eastAsia" w:ascii="宋体" w:hAnsi="宋体" w:cs="宋体"/>
          <w:b/>
          <w:bCs/>
          <w:sz w:val="44"/>
          <w:szCs w:val="44"/>
        </w:rPr>
      </w:pPr>
      <w:r>
        <w:rPr>
          <w:rFonts w:hint="eastAsia" w:ascii="宋体" w:hAnsi="宋体" w:cs="宋体"/>
          <w:b/>
          <w:bCs/>
          <w:sz w:val="44"/>
          <w:szCs w:val="44"/>
        </w:rPr>
        <w:t>投标及履约承诺函</w:t>
      </w:r>
    </w:p>
    <w:p w14:paraId="07EA0F34">
      <w:pPr>
        <w:adjustRightInd w:val="0"/>
        <w:snapToGrid w:val="0"/>
        <w:spacing w:line="600" w:lineRule="exact"/>
        <w:jc w:val="center"/>
        <w:rPr>
          <w:rFonts w:hint="eastAsia" w:ascii="宋体" w:hAnsi="宋体" w:cs="宋体"/>
          <w:b/>
          <w:bCs/>
          <w:sz w:val="32"/>
          <w:szCs w:val="32"/>
        </w:rPr>
      </w:pPr>
    </w:p>
    <w:p w14:paraId="3707794B">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14:paraId="42717086">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40C70961">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371A0389">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06487009">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14:paraId="058BA749">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14:paraId="4982332D">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47EEBEE6">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32DCC7CE">
      <w:pPr>
        <w:adjustRightInd w:val="0"/>
        <w:snapToGrid w:val="0"/>
        <w:spacing w:line="480" w:lineRule="exact"/>
        <w:ind w:firstLine="640" w:firstLineChars="200"/>
        <w:rPr>
          <w:rFonts w:hint="eastAsia" w:ascii="仿宋_GB2312" w:hAnsi="宋体" w:eastAsia="仿宋_GB2312"/>
          <w:sz w:val="32"/>
          <w:szCs w:val="22"/>
        </w:rPr>
      </w:pPr>
    </w:p>
    <w:p w14:paraId="2A9987D6">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7C235784">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单位地址：</w:t>
      </w:r>
    </w:p>
    <w:p w14:paraId="06A9B0F3">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3442F194">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14:paraId="1C81C80B">
      <w:pPr>
        <w:adjustRightInd w:val="0"/>
        <w:snapToGrid w:val="0"/>
        <w:spacing w:line="480" w:lineRule="exact"/>
        <w:ind w:firstLine="640" w:firstLineChars="200"/>
        <w:rPr>
          <w:rFonts w:hint="eastAsia"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ED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FBEF83B">
                          <w:pPr>
                            <w:pStyle w:val="3"/>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14:paraId="5FBEF83B">
                    <w:pPr>
                      <w:pStyle w:val="3"/>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F837">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5C6FD9">
                          <w:pPr>
                            <w:pStyle w:val="3"/>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85C6FD9">
                    <w:pPr>
                      <w:pStyle w:val="3"/>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F0"/>
    <w:rsid w:val="00007380"/>
    <w:rsid w:val="000778F4"/>
    <w:rsid w:val="00081EB9"/>
    <w:rsid w:val="0011777D"/>
    <w:rsid w:val="00181615"/>
    <w:rsid w:val="001A606A"/>
    <w:rsid w:val="001C7A19"/>
    <w:rsid w:val="002103AB"/>
    <w:rsid w:val="002105B2"/>
    <w:rsid w:val="002403DD"/>
    <w:rsid w:val="002704F6"/>
    <w:rsid w:val="00320042"/>
    <w:rsid w:val="00376903"/>
    <w:rsid w:val="003B0771"/>
    <w:rsid w:val="003C2278"/>
    <w:rsid w:val="003C38A6"/>
    <w:rsid w:val="003C5B55"/>
    <w:rsid w:val="003C6216"/>
    <w:rsid w:val="003F70B5"/>
    <w:rsid w:val="00446D7E"/>
    <w:rsid w:val="00492806"/>
    <w:rsid w:val="004950CC"/>
    <w:rsid w:val="004B2C2B"/>
    <w:rsid w:val="004C0FF1"/>
    <w:rsid w:val="005601F1"/>
    <w:rsid w:val="005E54A3"/>
    <w:rsid w:val="0061357D"/>
    <w:rsid w:val="00622DDA"/>
    <w:rsid w:val="00637B11"/>
    <w:rsid w:val="00693491"/>
    <w:rsid w:val="006F3957"/>
    <w:rsid w:val="0088469D"/>
    <w:rsid w:val="008A46B7"/>
    <w:rsid w:val="008D55B7"/>
    <w:rsid w:val="008E53F0"/>
    <w:rsid w:val="008F4EDE"/>
    <w:rsid w:val="00961CAE"/>
    <w:rsid w:val="009724D5"/>
    <w:rsid w:val="009925CE"/>
    <w:rsid w:val="009A1DBC"/>
    <w:rsid w:val="00A00E30"/>
    <w:rsid w:val="00A5078C"/>
    <w:rsid w:val="00AE31F4"/>
    <w:rsid w:val="00AE457A"/>
    <w:rsid w:val="00B6490F"/>
    <w:rsid w:val="00B70FCC"/>
    <w:rsid w:val="00BB2F91"/>
    <w:rsid w:val="00BB4F19"/>
    <w:rsid w:val="00D06B1E"/>
    <w:rsid w:val="00D70493"/>
    <w:rsid w:val="00D871A1"/>
    <w:rsid w:val="00D94445"/>
    <w:rsid w:val="00DB0D01"/>
    <w:rsid w:val="00DD71E6"/>
    <w:rsid w:val="00E149A1"/>
    <w:rsid w:val="00E94DC5"/>
    <w:rsid w:val="00EC5E78"/>
    <w:rsid w:val="00EE6BB5"/>
    <w:rsid w:val="00F21C2A"/>
    <w:rsid w:val="00F57280"/>
    <w:rsid w:val="00F639A3"/>
    <w:rsid w:val="1F2A62BD"/>
    <w:rsid w:val="2B435681"/>
    <w:rsid w:val="7E7F08FF"/>
    <w:rsid w:val="7EC56A0C"/>
    <w:rsid w:val="BFF74E8F"/>
    <w:rsid w:val="E9F96597"/>
    <w:rsid w:val="F7F7C27E"/>
    <w:rsid w:val="F9DEF6C1"/>
    <w:rsid w:val="FDF7F6BF"/>
    <w:rsid w:val="FF9F8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link w:val="9"/>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仿宋_GB2312" w:eastAsia="仿宋_GB2312"/>
      <w:sz w:val="18"/>
      <w:szCs w:val="18"/>
    </w:rPr>
  </w:style>
  <w:style w:type="character" w:customStyle="1" w:styleId="8">
    <w:name w:val="页脚 字符"/>
    <w:basedOn w:val="6"/>
    <w:link w:val="3"/>
    <w:qFormat/>
    <w:uiPriority w:val="0"/>
    <w:rPr>
      <w:rFonts w:ascii="仿宋_GB2312" w:eastAsia="仿宋_GB2312"/>
      <w:sz w:val="18"/>
      <w:szCs w:val="18"/>
    </w:rPr>
  </w:style>
  <w:style w:type="character" w:customStyle="1" w:styleId="9">
    <w:name w:val="标题 3 字符"/>
    <w:basedOn w:val="6"/>
    <w:link w:val="2"/>
    <w:qFormat/>
    <w:uiPriority w:val="0"/>
    <w:rPr>
      <w:rFonts w:ascii="Calibri" w:hAnsi="Calibri" w:eastAsia="宋体" w:cs="Times New Roman"/>
      <w:b/>
      <w:bCs/>
      <w:sz w:val="32"/>
      <w:szCs w:val="32"/>
    </w:rPr>
  </w:style>
  <w:style w:type="paragraph" w:customStyle="1" w:styleId="10">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4158</Words>
  <Characters>4321</Characters>
  <Lines>164</Lines>
  <Paragraphs>167</Paragraphs>
  <TotalTime>26</TotalTime>
  <ScaleCrop>false</ScaleCrop>
  <LinksUpToDate>false</LinksUpToDate>
  <CharactersWithSpaces>4337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2025-04-29T21:55:00Z</dcterms:created>
  <dc:creator>天浩 沈</dc:creator>
  <cp:lastModifiedBy>WPS_1581317969</cp:lastModifiedBy>
  <dcterms:modified xsi:type="dcterms:W3CDTF">2026-06-11T09:56:05Z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F66ADBE937EB43C99B095EF4386CCB05_13</vt:lpwstr>
  </property>
  <property fmtid="{D5CDD505-2E9C-101B-9397-08002B2CF9AE}" pid="4" name="KSOTemplateDocerSaveRecord">
    <vt:lpwstr>eyJoZGlkIjoiZmMyNDEwNjk4ZDFhN2FmN2QyYjZmNTg2ZTJmNDAzZWMiLCJ1c2VySWQiOiI4MTY1ODEzMDIifQ==</vt:lpwstr>
  </property>
</Properties>
</file>