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招标编号：QH2026067</w:t>
      </w: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招标项目：前海管理局2026年行政事业单位资产使用管理清查项目</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w:t>
      </w:r>
      <w:r>
        <w:rPr>
          <w:rFonts w:ascii="宋体" w:hAnsi="宋体" w:cs="宋体"/>
          <w:b/>
          <w:bCs/>
          <w:color w:val="000000" w:themeColor="text1"/>
          <w:sz w:val="36"/>
          <w:szCs w:val="36"/>
          <w14:textFill>
            <w14:solidFill>
              <w14:schemeClr w14:val="tx1"/>
            </w14:solidFill>
          </w14:textFill>
        </w:rPr>
        <w:t>6</w:t>
      </w:r>
      <w:r>
        <w:rPr>
          <w:rFonts w:hint="eastAsia" w:ascii="宋体" w:hAnsi="宋体" w:cs="宋体"/>
          <w:b/>
          <w:bCs/>
          <w:color w:val="000000" w:themeColor="text1"/>
          <w:sz w:val="36"/>
          <w:szCs w:val="36"/>
          <w14:textFill>
            <w14:solidFill>
              <w14:schemeClr w14:val="tx1"/>
            </w14:solidFill>
          </w14:textFill>
        </w:rPr>
        <w:t>年6月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1"/>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pStyle w:val="2"/>
        <w:tabs>
          <w:tab w:val="left" w:pos="562"/>
          <w:tab w:val="left" w:pos="3372"/>
          <w:tab w:val="left" w:pos="3653"/>
        </w:tabs>
        <w:spacing w:line="360" w:lineRule="auto"/>
        <w:rPr>
          <w:rFonts w:hint="eastAsia" w:ascii="宋体" w:hAnsi="宋体" w:cs="宋体"/>
          <w:color w:val="000000" w:themeColor="text1"/>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autoSpaceDE w:val="0"/>
        <w:autoSpaceDN w:val="0"/>
        <w:adjustRightInd w:val="0"/>
        <w:spacing w:line="360" w:lineRule="auto"/>
        <w:jc w:val="left"/>
        <w:rPr>
          <w:rFonts w:hint="eastAsia" w:ascii="宋体" w:hAnsi="宋体" w:cs="宋体"/>
          <w:b/>
          <w:color w:val="000000" w:themeColor="text1"/>
          <w:kern w:val="0"/>
          <w:sz w:val="24"/>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r>
        <w:rPr>
          <w:rFonts w:hint="eastAsia" w:ascii="宋体" w:hAnsi="宋体" w:cs="宋体"/>
          <w:color w:val="000000" w:themeColor="text1"/>
          <w14:textFill>
            <w14:solidFill>
              <w14:schemeClr w14:val="tx1"/>
            </w14:solidFill>
          </w14:textFill>
        </w:rPr>
        <w:br w:type="textWrapping"/>
      </w:r>
      <w:r>
        <w:rPr>
          <w:rFonts w:hint="eastAsia" w:ascii="宋体" w:hAnsi="宋体" w:cs="宋体"/>
          <w:b/>
          <w:color w:val="000000" w:themeColor="text1"/>
          <w:kern w:val="0"/>
          <w:sz w:val="24"/>
          <w14:textFill>
            <w14:solidFill>
              <w14:schemeClr w14:val="tx1"/>
            </w14:solidFill>
          </w14:textFill>
        </w:rPr>
        <w:t>关于享受对本国产品的政府采购支持政策的主体、价格扣除比例等事项的说明。</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1适用主体：国有企业、民营企业、外资企业等各类经营主体平等享受对本国产品的政府采购支持政策。</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4供应商出具符合要求的《关于符合本国产品标准的声明函》或财政部会同有关部门规定的有关证明文件，该产品视为本国产品。声明函样式见投标文件格式、附件。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关于同时满足中小企业扶持政策和对本国产品的支持政策的事项说明。</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20%-100</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10%=70元。具体情形如下：</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1.1预留份额专门面向中小企业采购的项目，不再享受小微企业价格扣除优惠。若供应商所投货物同时满足对本国产品的支持政策的规定，享受该政策20%价格扣除优惠；</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上述支持政策不改变最终中标（成交）价格，政府采购合同仍按照中标（成交）供应商的报价签订。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pStyle w:val="13"/>
        <w:rPr>
          <w:color w:val="000000" w:themeColor="text1"/>
          <w14:textFill>
            <w14:solidFill>
              <w14:schemeClr w14:val="tx1"/>
            </w14:solidFill>
          </w14:textFill>
        </w:rPr>
      </w:pPr>
    </w:p>
    <w:p>
      <w:pPr>
        <w:pStyle w:val="13"/>
        <w:rPr>
          <w:color w:val="000000" w:themeColor="text1"/>
          <w14:textFill>
            <w14:solidFill>
              <w14:schemeClr w14:val="tx1"/>
            </w14:solidFill>
          </w14:textFill>
        </w:rPr>
      </w:pP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2"/>
        <w:tabs>
          <w:tab w:val="right" w:leader="dot" w:pos="8306"/>
        </w:tabs>
        <w:spacing w:line="480" w:lineRule="auto"/>
        <w:rPr>
          <w:b/>
          <w:bCs/>
          <w:color w:val="000000" w:themeColor="text1"/>
          <w:sz w:val="24"/>
          <w:szCs w:val="32"/>
          <w14:textFill>
            <w14:solidFill>
              <w14:schemeClr w14:val="tx1"/>
            </w14:solidFill>
          </w14:textFill>
        </w:rPr>
      </w:pPr>
    </w:p>
    <w:p>
      <w:pPr>
        <w:pStyle w:val="12"/>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8</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12</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17</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2"/>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w:t>
      </w:r>
      <w:r>
        <w:rPr>
          <w:rFonts w:ascii="宋体" w:hAnsi="宋体" w:cs="宋体"/>
          <w:color w:val="000000" w:themeColor="text1"/>
          <w:sz w:val="24"/>
          <w14:textFill>
            <w14:solidFill>
              <w14:schemeClr w14:val="tx1"/>
            </w14:solidFill>
          </w14:textFill>
        </w:rPr>
        <w:t>0722-26FE64</w:t>
      </w:r>
      <w:r>
        <w:rPr>
          <w:rFonts w:hint="eastAsia" w:ascii="宋体" w:hAnsi="宋体" w:cs="宋体"/>
          <w:color w:val="000000" w:themeColor="text1"/>
          <w:sz w:val="24"/>
          <w14:textFill>
            <w14:solidFill>
              <w14:schemeClr w14:val="tx1"/>
            </w14:solidFill>
          </w14:textFill>
        </w:rPr>
        <w:t>89</w:t>
      </w:r>
      <w:r>
        <w:rPr>
          <w:rFonts w:ascii="宋体" w:hAnsi="宋体" w:cs="宋体"/>
          <w:color w:val="000000" w:themeColor="text1"/>
          <w:sz w:val="24"/>
          <w14:textFill>
            <w14:solidFill>
              <w14:schemeClr w14:val="tx1"/>
            </w14:solidFill>
          </w14:textFill>
        </w:rPr>
        <w:t>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14:textFill>
            <w14:solidFill>
              <w14:schemeClr w14:val="tx1"/>
            </w14:solidFill>
          </w14:textFill>
        </w:rPr>
        <w:t>前海管理局2026年行政事业单位资产使用管理清查项目</w:t>
      </w:r>
      <w:r>
        <w:rPr>
          <w:rFonts w:hint="eastAsia" w:ascii="宋体" w:hAnsi="宋体" w:cs="宋体"/>
          <w:color w:val="000000" w:themeColor="text1"/>
          <w:sz w:val="24"/>
          <w14:textFill>
            <w14:solidFill>
              <w14:schemeClr w14:val="tx1"/>
            </w14:solidFill>
          </w14:textFill>
        </w:rPr>
        <w:t>（招标编号QH2026067）采用简易招标方式采购，欢迎符合投标人资格要求的专业供应商积极参加投标。</w:t>
      </w:r>
    </w:p>
    <w:tbl>
      <w:tblPr>
        <w:tblStyle w:val="18"/>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前海管理局2026年行政事业单位资产使用管理清查项目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占有、使用、直接支配的行政事业性国有资产。具体包括房屋构筑类资产、土地产权类资产、基础设施类资产、车辆、设备、无形资产、对外投资等。清查重点为房屋物业类资产。基准日为2025年12月31日。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00</w:t>
            </w:r>
            <w:r>
              <w:rPr>
                <w:rFonts w:hint="eastAsia" w:ascii="宋体" w:hAnsi="宋体" w:cs="宋体"/>
                <w:color w:val="000000" w:themeColor="text1"/>
                <w:sz w:val="24"/>
                <w14:textFill>
                  <w14:solidFill>
                    <w14:schemeClr w14:val="tx1"/>
                  </w14:solidFill>
                </w14:textFill>
              </w:rPr>
              <w:t>,000.00（人民币捌拾万元整）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招标文件为电子版，投标人可在前海管理局官网（政务公开-招标公告栏目）(http://qh.sz.gov.cn/)免费下载。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2026年</w:t>
            </w:r>
            <w:r>
              <w:rPr>
                <w:rFonts w:hint="eastAsia" w:ascii="宋体" w:hAnsi="宋体" w:cs="宋体"/>
                <w:b/>
                <w:bCs/>
                <w:color w:val="000000" w:themeColor="text1"/>
                <w:kern w:val="0"/>
                <w:sz w:val="24"/>
                <w:lang w:val="en-US" w:eastAsia="zh-CN"/>
                <w14:textFill>
                  <w14:solidFill>
                    <w14:schemeClr w14:val="tx1"/>
                  </w14:solidFill>
                </w14:textFill>
              </w:rPr>
              <w:t>6</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11</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：30时（北京时间）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前送达（现场递交或邮寄）至深圳市南山区前海深港合作区桂湾五路123号前海管理局前海大厦T1栋2511室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人：于先生</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话：18520836771</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投标人须具有有效的财政部门颁发的《会计师事务所执业证书》（提供证明材料复印件，加盖投标人公章，原件备查）；（提供营业执照或事业单位法人证等法人证明以及执业证复印件加盖投标人公章，分支机构投标须提供总公司(或总所)出具的愿为其参与本项目投标的行为以及履约等行为承担民事责任的承诺函，并提供总公司（总所）和分支机构的营业执照以及执业证扫描件，且同一家总公司(或总所)若有两家或两家以上的分支机构，总公司(或总所)只能授权一家参与投标）</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租赁和商务服务业。</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本次投标为总价包干，投标报价总价作为中标人与采购人签订的合同金额。投标人的报价不可高于预算（限价），否则投标人的投标文件视同无效。本项目服务费</w:t>
            </w:r>
            <w:bookmarkStart w:id="8" w:name="OLE_LINK7"/>
            <w:bookmarkStart w:id="9" w:name="OLE_LINK5"/>
            <w:r>
              <w:rPr>
                <w:rFonts w:hint="eastAsia" w:ascii="宋体" w:hAnsi="宋体" w:cs="宋体"/>
                <w:color w:val="000000" w:themeColor="text1"/>
                <w:sz w:val="24"/>
                <w14:textFill>
                  <w14:solidFill>
                    <w14:schemeClr w14:val="tx1"/>
                  </w14:solidFill>
                </w14:textFill>
              </w:rPr>
              <w:t>包括但不限于服务成本、法定税费和企业的利润等为完成本项目服务所发生的全部相关费用，包含但不限于：调研费；人员费用及成果制作费；办公、通讯、交通费用；项目材料统计、分析费用；项目成果文本印刷费用；以各种方式将文件资料发送至采购方的费用；差旅费；税费等所有费用。</w:t>
            </w:r>
            <w:bookmarkEnd w:id="8"/>
            <w:r>
              <w:rPr>
                <w:rFonts w:hint="eastAsia" w:ascii="宋体" w:hAnsi="宋体" w:cs="宋体"/>
                <w:color w:val="000000" w:themeColor="text1"/>
                <w:sz w:val="24"/>
                <w14:textFill>
                  <w14:solidFill>
                    <w14:schemeClr w14:val="tx1"/>
                  </w14:solidFill>
                </w14:textFill>
              </w:rPr>
              <w:t>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bookmarkEnd w:id="9"/>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10" w:name="_Toc28359009"/>
            <w:bookmarkStart w:id="11"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联系人：于先生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话：18520836771</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10"/>
            <w:bookmarkEnd w:id="11"/>
          </w:p>
          <w:p>
            <w:pPr>
              <w:spacing w:line="360" w:lineRule="auto"/>
              <w:rPr>
                <w:rFonts w:hint="eastAsia" w:ascii="宋体" w:hAnsi="宋体" w:cs="宋体"/>
                <w:color w:val="000000" w:themeColor="text1"/>
                <w:kern w:val="0"/>
                <w:sz w:val="24"/>
                <w14:textFill>
                  <w14:solidFill>
                    <w14:schemeClr w14:val="tx1"/>
                  </w14:solidFill>
                </w14:textFill>
              </w:rPr>
            </w:pPr>
            <w:bookmarkStart w:id="12" w:name="_Toc28359087"/>
            <w:bookmarkStart w:id="13" w:name="_Toc28359010"/>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2"/>
            <w:bookmarkEnd w:id="13"/>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2026年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4" w:name="_Toc10214"/>
      <w:r>
        <w:rPr>
          <w:rFonts w:hint="eastAsia" w:ascii="宋体" w:hAnsi="宋体" w:cs="宋体"/>
          <w:b/>
          <w:bCs/>
          <w:color w:val="000000" w:themeColor="text1"/>
          <w:sz w:val="24"/>
          <w14:textFill>
            <w14:solidFill>
              <w14:schemeClr w14:val="tx1"/>
            </w14:solidFill>
          </w14:textFill>
        </w:rPr>
        <w:t>投标须知</w:t>
      </w:r>
      <w:bookmarkEnd w:id="14"/>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1、本项目是深圳市前海深港现代服务业合作区管理局的前海管理局2026年行政事业单位资产使用管理清查项目。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5"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5"/>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18"/>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银行账号：443066027015004105368</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
          <w:bCs/>
          <w:color w:val="000000" w:themeColor="text1"/>
          <w:sz w:val="24"/>
          <w14:textFill>
            <w14:solidFill>
              <w14:schemeClr w14:val="tx1"/>
            </w14:solidFill>
          </w14:textFill>
        </w:rPr>
        <w:t>开户银行：交通银行股份有限公司深圳上步支行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6" w:name="_Toc20176"/>
      <w:r>
        <w:rPr>
          <w:rFonts w:hint="eastAsia" w:ascii="宋体" w:hAnsi="宋体" w:cs="宋体"/>
          <w:b/>
          <w:bCs/>
          <w:color w:val="000000" w:themeColor="text1"/>
          <w:sz w:val="24"/>
          <w14:textFill>
            <w14:solidFill>
              <w14:schemeClr w14:val="tx1"/>
            </w14:solidFill>
          </w14:textFill>
        </w:rPr>
        <w:t>评标程序</w:t>
      </w:r>
      <w:bookmarkEnd w:id="16"/>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四、开标时间：2026年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:30时（北京时间）。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五、会议开始：2026年</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:30时（北京时间）由会议主持人宣布定标会议开始。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八、采购代理机构就投标文件中的资格证明等内容对投标供应商进行资格审查。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1、评标委员会对各供应商的投标文件进行符合性审查，对未能通过符合性审查的投标文件作投标无效处理。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7" w:name="_Toc3567"/>
      <w:r>
        <w:rPr>
          <w:rFonts w:hint="eastAsia" w:ascii="宋体" w:hAnsi="宋体" w:cs="宋体"/>
          <w:b/>
          <w:bCs/>
          <w:color w:val="000000" w:themeColor="text1"/>
          <w:sz w:val="24"/>
          <w14:textFill>
            <w14:solidFill>
              <w14:schemeClr w14:val="tx1"/>
            </w14:solidFill>
          </w14:textFill>
        </w:rPr>
        <w:t>合同格式及合同条款</w:t>
      </w:r>
      <w:bookmarkEnd w:id="17"/>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8" w:name="_Toc73517685"/>
      <w:bookmarkStart w:id="19" w:name="_Toc73521592"/>
      <w:bookmarkStart w:id="20" w:name="_Toc73518163"/>
      <w:bookmarkStart w:id="21" w:name="_Toc101074886"/>
      <w:bookmarkStart w:id="22" w:name="_Toc84303603"/>
      <w:bookmarkStart w:id="23" w:name="_Toc73521680"/>
      <w:bookmarkStart w:id="24" w:name="_Toc100052414"/>
    </w:p>
    <w:bookmarkEnd w:id="18"/>
    <w:bookmarkEnd w:id="19"/>
    <w:bookmarkEnd w:id="20"/>
    <w:bookmarkEnd w:id="21"/>
    <w:bookmarkEnd w:id="22"/>
    <w:bookmarkEnd w:id="23"/>
    <w:bookmarkEnd w:id="24"/>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25"/>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25"/>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前海管理局</w:t>
      </w:r>
      <w:r>
        <w:rPr>
          <w:rFonts w:hint="default" w:ascii="宋体" w:hAnsi="宋体" w:cs="宋体"/>
          <w:b/>
          <w:color w:val="000000" w:themeColor="text1"/>
          <w:sz w:val="36"/>
          <w:szCs w:val="36"/>
          <w:lang w:val="en-US"/>
          <w14:textFill>
            <w14:solidFill>
              <w14:schemeClr w14:val="tx1"/>
            </w14:solidFill>
          </w14:textFill>
        </w:rPr>
        <w:t>2026</w:t>
      </w:r>
      <w:r>
        <w:rPr>
          <w:rFonts w:hint="eastAsia" w:ascii="宋体" w:hAnsi="宋体" w:cs="宋体"/>
          <w:b/>
          <w:color w:val="000000" w:themeColor="text1"/>
          <w:sz w:val="36"/>
          <w:szCs w:val="36"/>
          <w:lang w:val="en-US" w:eastAsia="zh-CN"/>
          <w14:textFill>
            <w14:solidFill>
              <w14:schemeClr w14:val="tx1"/>
            </w14:solidFill>
          </w14:textFill>
        </w:rPr>
        <w:t>年</w:t>
      </w:r>
      <w:r>
        <w:rPr>
          <w:rFonts w:hint="eastAsia" w:ascii="宋体" w:hAnsi="宋体" w:cs="宋体"/>
          <w:b/>
          <w:color w:val="000000" w:themeColor="text1"/>
          <w:sz w:val="36"/>
          <w:szCs w:val="36"/>
          <w14:textFill>
            <w14:solidFill>
              <w14:schemeClr w14:val="tx1"/>
            </w14:solidFill>
          </w14:textFill>
        </w:rPr>
        <w:t>行政事业单位资产使用管理清查项目</w:t>
      </w:r>
    </w:p>
    <w:p>
      <w:pPr>
        <w:pStyle w:val="25"/>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25"/>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：前海管理局</w:t>
      </w:r>
      <w:r>
        <w:rPr>
          <w:rFonts w:hint="eastAsia" w:ascii="宋体" w:hAnsi="宋体" w:cs="宋体"/>
          <w:color w:val="000000" w:themeColor="text1"/>
          <w:sz w:val="24"/>
          <w:u w:val="single"/>
          <w:lang w:val="en-US" w:eastAsia="zh-CN"/>
          <w14:textFill>
            <w14:solidFill>
              <w14:schemeClr w14:val="tx1"/>
            </w14:solidFill>
          </w14:textFill>
        </w:rPr>
        <w:t>2026年</w:t>
      </w:r>
      <w:r>
        <w:rPr>
          <w:rFonts w:hint="eastAsia" w:ascii="宋体" w:hAnsi="宋体" w:cs="宋体"/>
          <w:color w:val="000000" w:themeColor="text1"/>
          <w:sz w:val="24"/>
          <w:u w:val="single"/>
          <w14:textFill>
            <w14:solidFill>
              <w14:schemeClr w14:val="tx1"/>
            </w14:solidFill>
          </w14:textFill>
        </w:rPr>
        <w:t>行政事业单位资产使用管理清查项目</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项目类型：</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二〇二六年  月</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本合同共    页（不含封面）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u w:val="single"/>
          <w14:textFill>
            <w14:solidFill>
              <w14:schemeClr w14:val="tx1"/>
            </w14:solidFill>
          </w14:textFill>
        </w:rPr>
        <w:t>深圳市前海深港合作区</w:t>
      </w:r>
      <w:r>
        <w:rPr>
          <w:rFonts w:ascii="宋体" w:hAnsi="宋体" w:cs="宋体"/>
          <w:color w:val="000000" w:themeColor="text1"/>
          <w:sz w:val="24"/>
          <w:u w:val="single"/>
          <w14:textFill>
            <w14:solidFill>
              <w14:schemeClr w14:val="tx1"/>
            </w14:solidFill>
          </w14:textFill>
        </w:rPr>
        <w:t>桂湾五路123号前海大厦T1栋前海管理局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QH2026XXX】招标项目的中标结果，由【***】单位（以下简称乙方）为中标人。按照《中华人民共和国民法典》和《深圳经济特区政府采购条例》，经甲乙双方协商，就甲方委托</w:t>
      </w:r>
      <w:r>
        <w:rPr>
          <w:rFonts w:hint="eastAsia" w:ascii="宋体" w:hAnsi="宋体" w:cs="宋体"/>
          <w:b/>
          <w:bCs/>
          <w:color w:val="000000" w:themeColor="text1"/>
          <w:sz w:val="24"/>
          <w:u w:val="single"/>
          <w14:textFill>
            <w14:solidFill>
              <w14:schemeClr w14:val="tx1"/>
            </w14:solidFill>
          </w14:textFill>
        </w:rPr>
        <w:t>乙方开展</w:t>
      </w:r>
      <w:r>
        <w:rPr>
          <w:rFonts w:hint="eastAsia" w:ascii="宋体" w:hAnsi="宋体" w:cs="宋体"/>
          <w:color w:val="000000" w:themeColor="text1"/>
          <w:sz w:val="24"/>
          <w14:textFill>
            <w14:solidFill>
              <w14:schemeClr w14:val="tx1"/>
            </w14:solidFill>
          </w14:textFill>
        </w:rPr>
        <w:t>前海管理局行政事业单位资产使用管理清查项目</w:t>
      </w:r>
      <w:r>
        <w:rPr>
          <w:rFonts w:hint="eastAsia" w:ascii="宋体" w:hAnsi="宋体" w:cs="宋体"/>
          <w:b/>
          <w:bCs/>
          <w:color w:val="000000" w:themeColor="text1"/>
          <w:kern w:val="0"/>
          <w:sz w:val="24"/>
          <w:u w:val="single"/>
          <w14:textFill>
            <w14:solidFill>
              <w14:schemeClr w14:val="tx1"/>
            </w14:solidFill>
          </w14:textFill>
        </w:rPr>
        <w:t>（以下简称本项目）</w:t>
      </w:r>
      <w:r>
        <w:rPr>
          <w:rFonts w:hint="eastAsia" w:ascii="宋体" w:hAnsi="宋体" w:cs="宋体"/>
          <w:color w:val="000000" w:themeColor="text1"/>
          <w:sz w:val="24"/>
          <w14:textFill>
            <w14:solidFill>
              <w14:schemeClr w14:val="tx1"/>
            </w14:solidFill>
          </w14:textFill>
        </w:rPr>
        <w:t>，达成以下合同条款：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项目内容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1.项目名称：前海管理局行政事业单位资产使用管理清查项目。</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项目概况：本次资产清查范围为前海管理局占有、使用、直接支配的行政事业性国有资产。具体包括房屋构筑类资产、土地产权类资产、基础设施类资产、车辆、设备、无形资产、对外投资等。清查重点为房屋物业类资产。基准日为2025年12月31日。</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3.项目内容：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3.1.</w:t>
      </w:r>
      <w:r>
        <w:rPr>
          <w:rFonts w:hint="eastAsia" w:ascii="宋体" w:hAnsi="宋体" w:cs="宋体"/>
          <w:bCs/>
          <w:color w:val="000000" w:themeColor="text1"/>
          <w:sz w:val="24"/>
          <w14:textFill>
            <w14:solidFill>
              <w14:schemeClr w14:val="tx1"/>
            </w14:solidFill>
          </w14:textFill>
        </w:rPr>
        <w:t>配合做好数据核对。配合各资产管理部门，严格按照上级主管部门制定的核查动作表，采取对账、实地核查、数据交叉做好数据核对比对等多种手段。尽可能收集核实资产线索。做到资产账与财务账核对、与行业主管部门比对清单核对、与预算执行数据核对、与档案和机构改革等历史数据核对。及时更新、完善资产系统信息，固化底数台账，确保资产清查全面见底。</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3.2.</w:t>
      </w:r>
      <w:r>
        <w:rPr>
          <w:rFonts w:hint="eastAsia" w:ascii="宋体" w:hAnsi="宋体" w:cs="宋体"/>
          <w:bCs/>
          <w:color w:val="000000" w:themeColor="text1"/>
          <w:sz w:val="24"/>
          <w14:textFill>
            <w14:solidFill>
              <w14:schemeClr w14:val="tx1"/>
            </w14:solidFill>
          </w14:textFill>
        </w:rPr>
        <w:t>协助开展专项清查工作。根据上级主管部门工作要求，辅助开展专项资产清查工作，具体包括房屋构筑类资产、土地产权类资产、基础设施类资产、车辆、设备、无形资产、对外投资等，梳理上述资产相关明细。配合做好清查、填表、提交问题和整改，配合复核、汇总各类资产的清查和整改情况。配合完成系统填报。督促各资产管理部门准备相关核查资料底单，便于检查抽查。</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3.3.</w:t>
      </w:r>
      <w:r>
        <w:rPr>
          <w:rFonts w:hint="eastAsia" w:ascii="宋体" w:hAnsi="宋体" w:cs="宋体"/>
          <w:bCs/>
          <w:color w:val="000000" w:themeColor="text1"/>
          <w:sz w:val="24"/>
          <w14:textFill>
            <w14:solidFill>
              <w14:schemeClr w14:val="tx1"/>
            </w14:solidFill>
          </w14:textFill>
        </w:rPr>
        <w:t>重点清查房屋物业类资产。配合梳理房屋出租出借明细、保障性住房明细、租用借用外部房屋及其他房屋权益情况明细，配合完成房屋信息核查动作。</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3.4.</w:t>
      </w:r>
      <w:r>
        <w:rPr>
          <w:rFonts w:hint="eastAsia" w:ascii="宋体" w:hAnsi="宋体" w:cs="宋体"/>
          <w:bCs/>
          <w:color w:val="000000" w:themeColor="text1"/>
          <w:sz w:val="24"/>
          <w14:textFill>
            <w14:solidFill>
              <w14:schemeClr w14:val="tx1"/>
            </w14:solidFill>
          </w14:textFill>
        </w:rPr>
        <w:t>形成资产清查报告。全面排查行政事业单位资产使用管理存在的问题，梳理问题情况，跟进问题整治情况，梳理违规问题，找准问题的根因，系统性提出资产管理建议，出具资产清查专项报告，协助建立辖区内资产管理长效机制。</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4.服务地点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甲方指定地点。</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第二条  服务期限及工作进程</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1、服务期限：本项目服务时间为自签署合同之日起一年内。</w:t>
      </w:r>
    </w:p>
    <w:p>
      <w:pPr>
        <w:widowControl/>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2、工作进程：其中属于专项资产的（含重点清查的房屋物业类资产）清查、抽查复核、核查等整改工作应在2026年7月30日前完成。</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1、所有提交给甲方的项目文件及相关资料的</w:t>
      </w:r>
      <w:r>
        <w:rPr>
          <w:rFonts w:ascii="宋体" w:hAnsi="宋体" w:cs="宋体"/>
          <w:color w:val="000000" w:themeColor="text1"/>
          <w:sz w:val="24"/>
          <w14:textFill>
            <w14:solidFill>
              <w14:schemeClr w14:val="tx1"/>
            </w14:solidFill>
          </w14:textFill>
        </w:rPr>
        <w:t>阶段性成果及</w:t>
      </w:r>
      <w:r>
        <w:rPr>
          <w:rFonts w:hint="eastAsia" w:ascii="宋体" w:hAnsi="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14:textFill>
            <w14:solidFill>
              <w14:schemeClr w14:val="tx1"/>
            </w14:solidFill>
          </w14:textFill>
        </w:rPr>
        <w:t>，乙方在提交给甲方之前应将上述资料进行整理归类和编制索引。</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甲方的义务</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、向乙方提供与本项目服务工作有关的资料。</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、负责组织对项目成果的</w:t>
      </w:r>
      <w:r>
        <w:rPr>
          <w:rFonts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14:textFill>
            <w14:solidFill>
              <w14:schemeClr w14:val="tx1"/>
            </w14:solidFill>
          </w14:textFill>
        </w:rPr>
        <w:t>。</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、根据合同的条款按时支付合同价款。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１、应按照【QH2026XXX】号招标文件、乙方投标文件以及本合同的要求按期完成本项目服务工作。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2、在履行合同期间或合同规定期限内，不得泄露与本合同规定业务活动有关的保密资料。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4、对甲方提出的合理的额外服务，不应予以拒绝。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资料交给甲方。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为保证项目成果的质量，乙方在合同履行期间，应按照本项目工作内容要求组织专业的项目团队，团队成员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否则，每擅自更换一个项目团队成员（含项目负责人），乙方应向甲方支付本合同总价款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应确保项目活动期间场地的安全，在项目活动期间对场地及设施进行维护及现场管理，确保活动顺利开展。乙方设计、布置场地应符合当地的相关安全规范并遵守相关的场地规定及规范事宜，承担因设计、施工等缺陷而导致的安全及消防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14、乙方指定项目联系人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甲方的权利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1、甲方对项目过程的决策、控制、实施等环节实行全面管理，协调和监督研究工作开展，控制项目工作过程，进行项目成果验收。</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2、检查乙方研究人员到位情况，如因人力、能力不足致使研究工作不能按计划完成时，有权要求乙方增加或替换相应的技术人员，直至甲方认可，乙方不得拒绝。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4、甲方有权对乙方提交的阶段性成果、最终成果送审稿等相关工作文件进行审核并提出修改意见。</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5、甲方对乙方在委托权限范围内完成委托事项有指导、监督权利。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第七条  乙方的权利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2、乙方在本项目服务过程中，有权要求甲方就本服务业务有关的问题予以协调和支持。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3、乙方在本项目服务过程中，有到现场勘察并要求甲方协调的权利。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4、根据合同约定收取相应的合同价款。</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、乙方就本协议项下全部义务无条件对甲方承担连带责任。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18"/>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1、参加本项目的人员必须具有国家和有关部门规定的相应资质。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2、参加本项目的人员配置必须与合同中的项目成员组成一致，若需调整需经甲方</w:t>
      </w:r>
      <w:r>
        <w:rPr>
          <w:rFonts w:ascii="宋体" w:hAnsi="宋体" w:cs="宋体"/>
          <w:color w:val="000000" w:themeColor="text1"/>
          <w:sz w:val="24"/>
          <w14:textFill>
            <w14:solidFill>
              <w14:schemeClr w14:val="tx1"/>
            </w14:solidFill>
          </w14:textFill>
        </w:rPr>
        <w:t>书面</w:t>
      </w:r>
      <w:r>
        <w:rPr>
          <w:rFonts w:hint="eastAsia" w:ascii="宋体" w:hAnsi="宋体" w:cs="宋体"/>
          <w:color w:val="000000" w:themeColor="text1"/>
          <w:sz w:val="24"/>
          <w14:textFill>
            <w14:solidFill>
              <w14:schemeClr w14:val="tx1"/>
            </w14:solidFill>
          </w14:textFill>
        </w:rPr>
        <w:t>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4、乙方须在服务期内提供1名驻点服务人员，能够独立完成甲方分配的工作。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5、项目团队应包括不少于7名成员（含1名项目团队负责人，1名驻点服务人员），在项目重要节点举行的项目汇报会应由项目团队负责人参加并主汇报。</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甲方有权利用乙方按照本合同约定提供的研究开发成果（如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5、乙方完成本合同项目的研究开发人员享有在有关技术成果文件上写明技术成果完成者的权利和与甲方共同获得有关荣誉证书、奖励的权利。</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5" w:name="_Toc216520223"/>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5"/>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6" w:name="_Toc216520224"/>
      <w:r>
        <w:rPr>
          <w:rFonts w:hint="eastAsia" w:ascii="宋体" w:hAnsi="宋体" w:cs="宋体"/>
          <w:color w:val="000000" w:themeColor="text1"/>
          <w:sz w:val="24"/>
          <w14:textFill>
            <w14:solidFill>
              <w14:schemeClr w14:val="tx1"/>
            </w14:solidFill>
          </w14:textFill>
        </w:rPr>
        <w:t>5</w:t>
      </w:r>
      <w:bookmarkEnd w:id="26"/>
      <w:bookmarkStart w:id="27" w:name="_Toc216520226"/>
      <w:r>
        <w:rPr>
          <w:rFonts w:hint="eastAsia" w:ascii="宋体" w:hAnsi="宋体" w:cs="宋体"/>
          <w:color w:val="000000" w:themeColor="text1"/>
          <w:sz w:val="24"/>
          <w14:textFill>
            <w14:solidFill>
              <w14:schemeClr w14:val="tx1"/>
            </w14:solidFill>
          </w14:textFill>
        </w:rPr>
        <w:t>、上述保密义务不适用以下情况：</w:t>
      </w:r>
      <w:bookmarkEnd w:id="27"/>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  项目服务费用及付款方式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1、合同价款：合同总价为 </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含税）。本项目服务费包括但不限于服务成本、法定税费和企业的利润等为完成本项目服务所发生的全部相关费用，包含但不限于：调研费；人员费用及成果制作费；办公、通讯、交通费用；项目材料统计、分析费用；项目成果文本印刷费用；以各种方式将文件资料发送至甲方的费用；差旅费；税费等所有费用</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在合同实施期间，除另签补充合同外，甲方不接受乙方以任何理由、任何名目提出增加费用的要求。</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2、付款方式：</w:t>
      </w:r>
    </w:p>
    <w:p>
      <w:pPr>
        <w:widowControl/>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项目资金由甲方分2期支付至乙方指定银行账户</w:t>
      </w:r>
      <w:r>
        <w:rPr>
          <w:rFonts w:hint="eastAsia" w:ascii="宋体" w:hAnsi="宋体" w:cs="宋体"/>
          <w:color w:val="000000" w:themeColor="text1"/>
          <w:sz w:val="24"/>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2.1、第一期：自本合同签订之日起15个工作日内，根据乙方提出的付款申请，甲方向乙方支付合同总价款的50%；即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（大写：人民币       元整）</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2.2、第二期：交付全部成果并经验收通过后15个工作日内，根据乙方提出的付款申请，甲方向乙方支付同总价款的50%。即</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（大写：人民币       元整）</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3、乙方银行账户信息：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第十二条 项目最终成果及验收方式</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bookmarkStart w:id="28" w:name="OLE_LINK8"/>
      <w:r>
        <w:rPr>
          <w:rFonts w:hint="eastAsia" w:ascii="宋体" w:hAnsi="宋体" w:cs="宋体"/>
          <w:color w:val="000000" w:themeColor="text1"/>
          <w:sz w:val="24"/>
          <w14:textFill>
            <w14:solidFill>
              <w14:schemeClr w14:val="tx1"/>
            </w14:solidFill>
          </w14:textFill>
        </w:rPr>
        <w:t>1、项目最终成果：</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（1）《前海管理局行政事业单位资产使用管理清查专项报告》；</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（2）《前海管理局行政事业单位资产使用管理建议书》；</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（3）资产清查专项工作相关材料；</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（4）甲方根据清查情况要求供应商提供的其他成果材料，如表单整改意见、如涉及资产账、财务账等账务调账时需乙方出具的相关会计凭证。</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2、验收方式</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项目最终成果提交并通过甲方验收及审查，视为验收合格。提交书面纸质（2份）和电子两个版本。</w:t>
      </w:r>
    </w:p>
    <w:bookmarkEnd w:id="28"/>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合同提前终止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甲方的职能发生转变，不再具有委托职能。</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争议解决办法</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第十五条 项目变更</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4、在合同所约定的工作范畴内的服务，本合同价格不予变更。</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第十六条 风险责任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乙方应完全地按照【QH2026XXX】号招标文件的要求和乙方投标文件的承诺完成本项目，出于自身财务、技术、人力等原因导致项目失败的，应承担全部责任。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第十七条  违约责任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2、本项目项下的工作内容不可分割，任一文件的迟延交付均视为整个项目的迟延交付。</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（1）因乙方原因，未能按合同约定的日期(含协商延缓的日期)确保活动正常举办的；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（2）因乙方工作的错误或遗漏造成活动质量不达标，工作成果质量低劣，不能满足甲方工作需要和要求；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（3）乙方虽如期提交最终成果，但连续二次未能通过甲方验收的；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（7）乙方明确表示或者以自己的行为表明不履行本合同的。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6、乙方无正当理由解除合同的，应向甲方支付合同总额20%的违约金。</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第十八条  其他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    ）及其澄清、补正公告；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snapToGrid w:val="0"/>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29" w:name="_Toc25518"/>
      <w:r>
        <w:rPr>
          <w:rFonts w:hint="eastAsia" w:ascii="宋体" w:hAnsi="宋体" w:cs="宋体"/>
          <w:b/>
          <w:bCs/>
          <w:color w:val="000000" w:themeColor="text1"/>
          <w:sz w:val="24"/>
          <w14:textFill>
            <w14:solidFill>
              <w14:schemeClr w14:val="tx1"/>
            </w14:solidFill>
          </w14:textFill>
        </w:rPr>
        <w:t>用户需求书</w:t>
      </w:r>
      <w:bookmarkEnd w:id="29"/>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30" w:name="_Toc11045"/>
      <w:bookmarkStart w:id="31" w:name="_Toc23726"/>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bookmarkEnd w:id="30"/>
      <w:bookmarkEnd w:id="31"/>
      <w:bookmarkStart w:id="32" w:name="_Toc51746099"/>
      <w:r>
        <w:rPr>
          <w:rFonts w:hint="eastAsia" w:ascii="宋体" w:hAnsi="宋体" w:cs="宋体"/>
          <w:b/>
          <w:color w:val="000000" w:themeColor="text1"/>
          <w:sz w:val="24"/>
          <w:lang w:val="zh-CN"/>
          <w14:textFill>
            <w14:solidFill>
              <w14:schemeClr w14:val="tx1"/>
            </w14:solidFill>
          </w14:textFill>
        </w:rPr>
        <w:t>项目概况</w:t>
      </w:r>
    </w:p>
    <w:bookmarkEnd w:id="32"/>
    <w:p>
      <w:pPr>
        <w:pStyle w:val="26"/>
        <w:tabs>
          <w:tab w:val="left" w:pos="720"/>
        </w:tabs>
        <w:autoSpaceDE w:val="0"/>
        <w:autoSpaceDN w:val="0"/>
        <w:adjustRightInd w:val="0"/>
        <w:spacing w:line="360" w:lineRule="auto"/>
        <w:ind w:right="17" w:firstLine="48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次资产清查范围为前海管理局占有、使用、直接支配的行政事业性国有资产。具体包括房屋构筑类资产、土地产权类资产、基础设施类资产、车辆、设备、无形资产、对外投资等。清查重点为房屋物业类资产。基准日为2025年12月31日。</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二、服务内容</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配合做好数据核对。配合各资产管理部门，严格按照上级主管部门制定的核查动作表，采取对账、实地核查、数据交叉做好数据核对比对等多种手段。尽可能收集核实资产线索。做到资产账与财务账核对、与行业主管部门比对清单核对、与预算执行数据核对、与档案和机构改革等历史数据核对。及时更新、完善资产系统信息，固化底数台账，确保资产清查全面见底。</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协助开展专项清查工作。根据上级主管部门工作要求，辅助开展专项资产清查工作，具体包括房屋构筑类资产、土地产权类资产、基础设施类资产、车辆、设备、无形资产、对外投资等，梳理上述资产相关明细。配合做好清查、填表、提交问题和整改，配合复核、汇总各类资产的清查和整改情况。配合完成系统填报。督促各资产管理部门准备相关核查资料底单，便于检查抽查。</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（三）重点清查房屋物业类资产。配合梳理房屋出租出借明细、保障性住房明细、租用借用外部房屋及其他房屋权益情况明细，配合完成房屋信息核查动作。</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形成资产清查报告。全面排查行政事业单位资产使用管理存在的问题，梳理问题情况，跟进问题整治情况，梳理违规问题，找准问题的根因，系统性提出资产管理建议，出具资产清查专项报告，协助建立辖区内资产管理长效机制。</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三、项目最终成果及验收方式</w:t>
      </w:r>
    </w:p>
    <w:p>
      <w:pPr>
        <w:pStyle w:val="26"/>
        <w:tabs>
          <w:tab w:val="left" w:pos="720"/>
        </w:tabs>
        <w:autoSpaceDE w:val="0"/>
        <w:autoSpaceDN w:val="0"/>
        <w:adjustRightInd w:val="0"/>
        <w:spacing w:line="360" w:lineRule="auto"/>
        <w:ind w:right="17" w:firstLine="480"/>
        <w:jc w:val="left"/>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（一）项目最终成果</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1.《前海管理局行政事业单位资产使用管理清查专项报告》；</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2.《前海管理局行政事业单位资产使用管理建议书》；</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3.资产清查专项工作相关材料；</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4.采购人根据清查情况要求供应商提供的其他成果材料，如表单整改意见、如涉及资产账、财务账等账务调账时需中标人出具的相关会计凭证。</w:t>
      </w:r>
    </w:p>
    <w:p>
      <w:pPr>
        <w:pStyle w:val="26"/>
        <w:tabs>
          <w:tab w:val="left" w:pos="720"/>
        </w:tabs>
        <w:autoSpaceDE w:val="0"/>
        <w:autoSpaceDN w:val="0"/>
        <w:adjustRightInd w:val="0"/>
        <w:spacing w:line="360" w:lineRule="auto"/>
        <w:ind w:right="17" w:firstLine="480"/>
        <w:jc w:val="left"/>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（二）验收方式</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项目最终成果提交并通过采购人验收及审查，视为验收合格。提交书面纸质（2份）和</w:t>
      </w:r>
      <w:bookmarkStart w:id="47" w:name="_GoBack"/>
      <w:bookmarkEnd w:id="47"/>
      <w:r>
        <w:rPr>
          <w:rFonts w:hint="eastAsia" w:ascii="宋体" w:hAnsi="宋体" w:cs="宋体"/>
          <w:color w:val="000000" w:themeColor="text1"/>
          <w:sz w:val="24"/>
          <w14:textFill>
            <w14:solidFill>
              <w14:schemeClr w14:val="tx1"/>
            </w14:solidFill>
          </w14:textFill>
        </w:rPr>
        <w:t>电子两个版本。</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四、项目团队要求及工作进程</w:t>
      </w:r>
    </w:p>
    <w:p>
      <w:pPr>
        <w:spacing w:line="5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项目团队应包括不少于</w:t>
      </w: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名成员（含1名项目团队负责人，1名驻点服务人员）。项目服务周期自合同签订之日起</w:t>
      </w:r>
      <w:r>
        <w:rPr>
          <w:rFonts w:ascii="宋体" w:hAnsi="宋体" w:cs="宋体"/>
          <w:color w:val="000000" w:themeColor="text1"/>
          <w:sz w:val="24"/>
          <w14:textFill>
            <w14:solidFill>
              <w14:schemeClr w14:val="tx1"/>
            </w14:solidFill>
          </w14:textFill>
        </w:rPr>
        <w:t>1年</w:t>
      </w:r>
      <w:r>
        <w:rPr>
          <w:rFonts w:hint="eastAsia" w:ascii="宋体" w:hAnsi="宋体" w:cs="宋体"/>
          <w:color w:val="000000" w:themeColor="text1"/>
          <w:sz w:val="24"/>
          <w14:textFill>
            <w14:solidFill>
              <w14:schemeClr w14:val="tx1"/>
            </w14:solidFill>
          </w14:textFill>
        </w:rPr>
        <w:t>内，在项目重要节点举行的项目汇报会应由项目团队负责人参加并主汇报。其中项目负责人需具备有效的注册会计师资格【提供</w:t>
      </w:r>
      <w:r>
        <w:rPr>
          <w:rFonts w:hint="eastAsia" w:ascii="宋体" w:hAnsi="宋体" w:cs="宋体"/>
          <w:color w:val="000000" w:themeColor="text1"/>
          <w:sz w:val="24"/>
          <w:lang w:val="zh-CN"/>
          <w14:textFill>
            <w14:solidFill>
              <w14:schemeClr w14:val="tx1"/>
            </w14:solidFill>
          </w14:textFill>
        </w:rPr>
        <w:t>经年检有效的注册会计师资格证书扫描件（原件备查）以及中国注册会计师行业管理信息系统中“注册会计师信息”查询结果截图以及年检通过截图（查询网址：https://cmispub.cicpa.org.cn）</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中标人须在服务期内提供1名驻点服务人员，能够独立完成采购人分配的工作。</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其中属于专项资产的（含重点清查的房屋物业类资产）清查、抽查复核、核查等整改工作应在2026年7月30日前完成，需满足上级主管部门的时限要求。</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本项目服务时间为自签署合同之日起一年内。</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签订的合同金额。投标人的报价不可高于预算（限价），否则投标人的投标文件视同无效。本项目服务费包括但不限于服务成本、法定税费和企业的利润等为完成本项目服务所发生的全部相关费用，包含但不限于：调研费；人员费用及成果制作费；办公、通讯、交通费用；项目材料统计、分析费用；项目成果文本印刷费用；以各种方式将文件资料发送至采购方的费用；差旅费；税费等所有费用。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（四）付款方式</w:t>
      </w:r>
    </w:p>
    <w:p>
      <w:pPr>
        <w:widowControl/>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项目资金由采购人分2期支付至中标人指定银行账户</w:t>
      </w:r>
      <w:r>
        <w:rPr>
          <w:rFonts w:hint="eastAsia" w:ascii="宋体" w:hAnsi="宋体" w:cs="宋体"/>
          <w:color w:val="000000" w:themeColor="text1"/>
          <w:sz w:val="24"/>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1.第一期：自本合同签订之日起15个工作日内，根据中标方提出的付款申请，采购人向中标方支付合同总价款的50%；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2.第二期：交付全部成果并经验收通过后15个工作日内，根据中标方提出的付款申请，采购人向中标方支付同总价款的50%。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付款审批影响支付进度，请</w:t>
      </w:r>
      <w:r>
        <w:rPr>
          <w:rFonts w:ascii="宋体" w:hAnsi="宋体" w:cs="宋体"/>
          <w:color w:val="000000" w:themeColor="text1"/>
          <w:sz w:val="24"/>
          <w14:textFill>
            <w14:solidFill>
              <w14:schemeClr w14:val="tx1"/>
            </w14:solidFill>
          </w14:textFill>
        </w:rPr>
        <w:t>中标人</w:t>
      </w:r>
      <w:r>
        <w:rPr>
          <w:rFonts w:hint="eastAsia" w:ascii="宋体" w:hAnsi="宋体" w:cs="宋体"/>
          <w:color w:val="000000" w:themeColor="text1"/>
          <w:sz w:val="24"/>
          <w14:textFill>
            <w14:solidFill>
              <w14:schemeClr w14:val="tx1"/>
            </w14:solidFill>
          </w14:textFill>
        </w:rPr>
        <w:t>予以谅解，并不得就此向</w:t>
      </w:r>
      <w:r>
        <w:rPr>
          <w:rFonts w:ascii="宋体" w:hAnsi="宋体" w:cs="宋体"/>
          <w:color w:val="000000" w:themeColor="text1"/>
          <w:sz w:val="24"/>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律师费用、保全费、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5.中标人完成本合同项目的研究人员享有在有关技术成果文件上署名的权利和与采购人共同获得有关荣誉证书、奖励的权利。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2.本项目下的工作内容不可分割，任一文件的迟延交付均视为整个项目的迟延交付。</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3.本项目履行期间，发生下述情形时，采购人有权解除本项目合同，中标人除应退还采购人已支付的全部款项外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（1）因中标人原因，未能按合同约定的日期(含协商延缓的日期)确保活动正常举办的；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（2）因中标人工作的错误或遗漏造成活动质量不达标，工作成果质量低劣，不能满足采购分工作需要和要求；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（3）中标人虽如期提交最终成果，但连续二次未能通过采购人验收的；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（7）中标人明确表示或者以自己的行为表明不履行本合同的。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6.中标人无正当理由解除合同的，应向采购人支付合同总额20%的违约金。</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3" w:name="_Toc23822"/>
      <w:r>
        <w:rPr>
          <w:rFonts w:hint="eastAsia" w:ascii="宋体" w:cs="宋体"/>
          <w:b/>
          <w:bCs/>
          <w:color w:val="000000" w:themeColor="text1"/>
          <w:sz w:val="24"/>
          <w14:textFill>
            <w14:solidFill>
              <w14:schemeClr w14:val="tx1"/>
            </w14:solidFill>
          </w14:textFill>
        </w:rPr>
        <w:t>第六章 投标文件初审及招标项目评分表</w:t>
      </w:r>
      <w:bookmarkEnd w:id="33"/>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tbl>
      <w:tblPr>
        <w:tblStyle w:val="18"/>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15</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07" w:type="dxa"/>
            <w:vAlign w:val="center"/>
          </w:tcPr>
          <w:p>
            <w:pPr>
              <w:pStyle w:val="6"/>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6"/>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投标报价得分=(评标基准价／投标报价)×15</w:t>
            </w:r>
          </w:p>
          <w:p>
            <w:pPr>
              <w:numPr>
                <w:ilvl w:val="0"/>
                <w:numId w:val="5"/>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5"/>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p>
            <w:p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3.关于享受对本国产品的政府采购支持政策的主体、价格扣除比例等事项的说明。</w:t>
            </w:r>
          </w:p>
          <w:p>
            <w:p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3.1适用主体：国有企业、民营企业、外资企业等各类经营主体平等享受对本国产品的政府采购支持政策。</w:t>
            </w:r>
          </w:p>
          <w:p>
            <w:p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3.4供应商出具符合要求的《关于符合本国产品标准的声明函》或财政部会同有关部门规定的有关证明文件，该产品视为本国产品。声明函样式见投标文件格式。</w:t>
            </w:r>
          </w:p>
          <w:p>
            <w:pPr>
              <w:spacing w:line="360" w:lineRule="auto"/>
              <w:ind w:left="2"/>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4.关于同时满足中小企业扶持政策和对本国产品的支持政策的事项说明。</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20%-100</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10%=70元。具体情形如下：</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4.1.1预留份额专门面向中小企业采购的项目，不再享受小微企业价格扣除优惠。若供应商所投货物同时满足对本国产品的支持政策的规定，享受该政策20%价格扣除优惠；</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5.上述支持政策不改变最终中标（成交）价格，政府采购合同仍按照中标（成交）供应商的报价签订。</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14:textFill>
                  <w14:solidFill>
                    <w14:schemeClr w14:val="tx1"/>
                  </w14:solidFill>
                </w14:textFill>
              </w:rPr>
              <w:t>45</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项目负责人（仅限一人）</w:t>
            </w:r>
          </w:p>
        </w:tc>
        <w:tc>
          <w:tcPr>
            <w:tcW w:w="5907" w:type="dxa"/>
          </w:tcPr>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（一）评分内容：</w:t>
            </w:r>
          </w:p>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1.拟派的服务团队负责人审计工作年限在10年及以上的，得5分；审计工作年限在8年及以上</w:t>
            </w:r>
            <w:r>
              <w:rPr>
                <w:rFonts w:hint="eastAsia" w:ascii="宋体" w:hAnsi="宋体" w:cs="宋体"/>
                <w:color w:val="000000" w:themeColor="text1"/>
                <w:sz w:val="24"/>
                <w14:textFill>
                  <w14:solidFill>
                    <w14:schemeClr w14:val="tx1"/>
                  </w14:solidFill>
                </w14:textFill>
              </w:rPr>
              <w:t>不足10年</w:t>
            </w:r>
            <w:r>
              <w:rPr>
                <w:rFonts w:hint="eastAsia" w:ascii="宋体" w:hAnsi="宋体" w:cs="宋体"/>
                <w:color w:val="000000" w:themeColor="text1"/>
                <w:sz w:val="24"/>
                <w:lang w:val="zh-CN"/>
                <w14:textFill>
                  <w14:solidFill>
                    <w14:schemeClr w14:val="tx1"/>
                  </w14:solidFill>
                </w14:textFill>
              </w:rPr>
              <w:t>的，得3分；本小项最高得5分；</w:t>
            </w:r>
          </w:p>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2.拟派的服务团队负责人自202</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年【1】月【1】日至投标截止之日（以合同签订时间或委托函委托时间为准）为行政事业单位提供过审计（包括财务报表审计及专项审计）</w:t>
            </w:r>
            <w:r>
              <w:rPr>
                <w:rFonts w:hint="eastAsia" w:ascii="宋体" w:hAnsi="宋体" w:cs="宋体"/>
                <w:color w:val="000000" w:themeColor="text1"/>
                <w:sz w:val="24"/>
                <w14:textFill>
                  <w14:solidFill>
                    <w14:schemeClr w14:val="tx1"/>
                  </w14:solidFill>
                </w14:textFill>
              </w:rPr>
              <w:t>或</w:t>
            </w:r>
            <w:r>
              <w:rPr>
                <w:rFonts w:hint="eastAsia" w:ascii="宋体" w:hAnsi="宋体" w:cs="宋体"/>
                <w:color w:val="000000" w:themeColor="text1"/>
                <w:sz w:val="24"/>
                <w:lang w:val="zh-CN"/>
                <w14:textFill>
                  <w14:solidFill>
                    <w14:schemeClr w14:val="tx1"/>
                  </w14:solidFill>
                </w14:textFill>
              </w:rPr>
              <w:t>行政事业单位资产清查等相关服务经验，每一项得2.5分，最高得10分；本小项最高得10分。</w:t>
            </w:r>
          </w:p>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3.本项最高得15分。同一项合同续签不可重复计分。</w:t>
            </w:r>
          </w:p>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（二）评分依据：</w:t>
            </w:r>
          </w:p>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提供通过投标人缴纳的</w:t>
            </w:r>
            <w:r>
              <w:rPr>
                <w:rFonts w:hint="eastAsia" w:ascii="宋体" w:hAnsi="宋体" w:cs="宋体"/>
                <w:color w:val="000000" w:themeColor="text1"/>
                <w:sz w:val="24"/>
                <w:lang w:val="zh-CN"/>
                <w14:textFill>
                  <w14:solidFill>
                    <w14:schemeClr w14:val="tx1"/>
                  </w14:solidFill>
                </w14:textFill>
              </w:rPr>
              <w:t>投标日期前三个月</w:t>
            </w:r>
            <w:r>
              <w:rPr>
                <w:rFonts w:hint="eastAsia" w:ascii="宋体" w:hAnsi="宋体" w:cs="宋体"/>
                <w:color w:val="000000" w:themeColor="text1"/>
                <w:sz w:val="24"/>
                <w14:textFill>
                  <w14:solidFill>
                    <w14:schemeClr w14:val="tx1"/>
                  </w14:solidFill>
                </w14:textFill>
              </w:rPr>
              <w:t>内任1个月的</w:t>
            </w:r>
            <w:r>
              <w:rPr>
                <w:rFonts w:hint="eastAsia" w:ascii="宋体" w:hAnsi="宋体" w:cs="宋体"/>
                <w:color w:val="000000" w:themeColor="text1"/>
                <w:sz w:val="24"/>
                <w:lang w:val="zh-CN"/>
                <w14:textFill>
                  <w14:solidFill>
                    <w14:schemeClr w14:val="tx1"/>
                  </w14:solidFill>
                </w14:textFill>
              </w:rPr>
              <w:t>社保证明（网页或窗口打印资料均可，社保证明资料应当至少包含养老保险）及劳动合同</w:t>
            </w:r>
            <w:r>
              <w:rPr>
                <w:rFonts w:hint="eastAsia" w:ascii="宋体" w:hAnsi="宋体" w:cs="宋体"/>
                <w:color w:val="000000" w:themeColor="text1"/>
                <w:sz w:val="24"/>
                <w14:textFill>
                  <w14:solidFill>
                    <w14:schemeClr w14:val="tx1"/>
                  </w14:solidFill>
                </w14:textFill>
              </w:rPr>
              <w:t>作为其为投标人员工的证明依据</w:t>
            </w:r>
            <w:r>
              <w:rPr>
                <w:rFonts w:hint="eastAsia" w:ascii="宋体" w:hAnsi="宋体" w:cs="宋体"/>
                <w:color w:val="000000" w:themeColor="text1"/>
                <w:sz w:val="24"/>
                <w:lang w:val="zh-CN"/>
                <w14:textFill>
                  <w14:solidFill>
                    <w14:schemeClr w14:val="tx1"/>
                  </w14:solidFill>
                </w14:textFill>
              </w:rPr>
              <w:t>。如投标人为新成立企业且成立时间不足</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个月可提供情况说明或者证明材料亦视为符合。</w:t>
            </w:r>
            <w:r>
              <w:rPr>
                <w:rFonts w:hint="eastAsia" w:ascii="宋体" w:hAnsi="宋体" w:cs="宋体"/>
                <w:color w:val="000000" w:themeColor="text1"/>
                <w:sz w:val="24"/>
                <w:lang w:bidi="ar"/>
                <w14:textFill>
                  <w14:solidFill>
                    <w14:schemeClr w14:val="tx1"/>
                  </w14:solidFill>
                </w14:textFill>
              </w:rPr>
              <w:t>不接受退休返聘人员作为项目负责人</w:t>
            </w:r>
            <w:r>
              <w:rPr>
                <w:rFonts w:hint="eastAsia" w:ascii="宋体" w:hAnsi="宋体" w:cs="宋体"/>
                <w:color w:val="000000" w:themeColor="text1"/>
                <w:sz w:val="24"/>
                <w:lang w:val="zh-CN"/>
                <w14:textFill>
                  <w14:solidFill>
                    <w14:schemeClr w14:val="tx1"/>
                  </w14:solidFill>
                </w14:textFill>
              </w:rPr>
              <w:t>；</w:t>
            </w:r>
          </w:p>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审计工作年限证明需提供人员简历以及承诺函加盖公章（格式自拟）；</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提供上述审计、资产清查等相关服务项目的相关材料【如合同关键页（关键页包含但不限于合同封面、服务内容页、服务人员页、双方盖章页等）或委托函加盖甲方公章等复印件，合同关键页或委托函若不能体现项目成员的工作业绩，可同时提供委托单位开具的书面证明】加盖公章，原件备查。未提供或提供不齐全或无法分辨的不得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服务团队成员（不含项目负责人）</w:t>
            </w:r>
          </w:p>
        </w:tc>
        <w:tc>
          <w:tcPr>
            <w:tcW w:w="5907" w:type="dxa"/>
          </w:tcPr>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（一）评分内容：</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lang w:val="zh-CN"/>
                <w14:textFill>
                  <w14:solidFill>
                    <w14:schemeClr w14:val="tx1"/>
                  </w14:solidFill>
                </w14:textFill>
              </w:rPr>
              <w:t>为本项目拟派的投标人服务团队成员中具有中级或以上会计师或中级或以上审计师资格的，每人得</w:t>
            </w: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zh-CN"/>
                <w14:textFill>
                  <w14:solidFill>
                    <w14:schemeClr w14:val="tx1"/>
                  </w14:solidFill>
                </w14:textFill>
              </w:rPr>
              <w:t>分，本小项最高得</w:t>
            </w:r>
            <w:r>
              <w:rPr>
                <w:rFonts w:hint="eastAsia"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kern w:val="0"/>
                <w:sz w:val="24"/>
                <w:lang w:val="zh-CN"/>
                <w14:textFill>
                  <w14:solidFill>
                    <w14:schemeClr w14:val="tx1"/>
                  </w14:solidFill>
                </w14:textFill>
              </w:rPr>
              <w:t>分。</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备注：同一成员同时具备中级会计师、中级审计师的，不累计得分，按照最高分得分。</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.为本项目拟派的投标人服务团队成员自202</w:t>
            </w:r>
            <w:r>
              <w:rPr>
                <w:rFonts w:hint="eastAsia"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lang w:val="zh-CN"/>
                <w14:textFill>
                  <w14:solidFill>
                    <w14:schemeClr w14:val="tx1"/>
                  </w14:solidFill>
                </w14:textFill>
              </w:rPr>
              <w:t>年【1】月【1】日至投标截止之日（以合同签订时间或委托函委托时间为准）</w:t>
            </w:r>
            <w:r>
              <w:rPr>
                <w:rFonts w:hint="eastAsia" w:ascii="宋体" w:hAnsi="宋体" w:cs="宋体"/>
                <w:color w:val="000000" w:themeColor="text1"/>
                <w:kern w:val="0"/>
                <w:sz w:val="24"/>
                <w14:textFill>
                  <w14:solidFill>
                    <w14:schemeClr w14:val="tx1"/>
                  </w14:solidFill>
                </w14:textFill>
              </w:rPr>
              <w:t>具备</w:t>
            </w:r>
            <w:r>
              <w:rPr>
                <w:rFonts w:hint="eastAsia" w:ascii="宋体" w:hAnsi="宋体" w:cs="宋体"/>
                <w:color w:val="000000" w:themeColor="text1"/>
                <w:kern w:val="0"/>
                <w:sz w:val="24"/>
                <w:lang w:val="zh-CN"/>
                <w14:textFill>
                  <w14:solidFill>
                    <w14:schemeClr w14:val="tx1"/>
                  </w14:solidFill>
                </w14:textFill>
              </w:rPr>
              <w:t>行政事业单位审计（包括财务报表审计及专项审计）</w:t>
            </w:r>
            <w:r>
              <w:rPr>
                <w:rFonts w:hint="eastAsia" w:ascii="宋体" w:hAnsi="宋体" w:cs="宋体"/>
                <w:color w:val="000000" w:themeColor="text1"/>
                <w:kern w:val="0"/>
                <w:sz w:val="24"/>
                <w14:textFill>
                  <w14:solidFill>
                    <w14:schemeClr w14:val="tx1"/>
                  </w14:solidFill>
                </w14:textFill>
              </w:rPr>
              <w:t>或</w:t>
            </w:r>
            <w:r>
              <w:rPr>
                <w:rFonts w:hint="eastAsia" w:ascii="宋体" w:hAnsi="宋体" w:cs="宋体"/>
                <w:color w:val="000000" w:themeColor="text1"/>
                <w:kern w:val="0"/>
                <w:sz w:val="24"/>
                <w:lang w:val="zh-CN"/>
                <w14:textFill>
                  <w14:solidFill>
                    <w14:schemeClr w14:val="tx1"/>
                  </w14:solidFill>
                </w14:textFill>
              </w:rPr>
              <w:t>行政事业单位资产清查等相关服务经验，每一人得</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分，本小项最高得</w:t>
            </w:r>
            <w:r>
              <w:rPr>
                <w:rFonts w:hint="eastAsia" w:ascii="宋体" w:hAnsi="宋体" w:cs="宋体"/>
                <w:color w:val="000000" w:themeColor="text1"/>
                <w:kern w:val="0"/>
                <w:sz w:val="24"/>
                <w:lang w:val="en-US" w:eastAsia="zh-CN"/>
                <w14:textFill>
                  <w14:solidFill>
                    <w14:schemeClr w14:val="tx1"/>
                  </w14:solidFill>
                </w14:textFill>
              </w:rPr>
              <w:t>10</w:t>
            </w:r>
            <w:r>
              <w:rPr>
                <w:rFonts w:hint="eastAsia" w:ascii="宋体" w:hAnsi="宋体" w:cs="宋体"/>
                <w:color w:val="000000" w:themeColor="text1"/>
                <w:kern w:val="0"/>
                <w:sz w:val="24"/>
                <w:lang w:val="zh-CN"/>
                <w14:textFill>
                  <w14:solidFill>
                    <w14:schemeClr w14:val="tx1"/>
                  </w14:solidFill>
                </w14:textFill>
              </w:rPr>
              <w:t>分。</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以上</w:t>
            </w: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项累计得分，满分1</w:t>
            </w:r>
            <w:r>
              <w:rPr>
                <w:rFonts w:hint="eastAsia"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kern w:val="0"/>
                <w:sz w:val="24"/>
                <w:lang w:val="zh-CN"/>
                <w14:textFill>
                  <w14:solidFill>
                    <w14:schemeClr w14:val="tx1"/>
                  </w14:solidFill>
                </w14:textFill>
              </w:rPr>
              <w:t>分。同一项合同续签不可重复计分。</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（二）评分依据：</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1.要求项目</w:t>
            </w:r>
            <w:r>
              <w:rPr>
                <w:rFonts w:hint="eastAsia" w:ascii="宋体" w:hAnsi="宋体" w:cs="宋体"/>
                <w:color w:val="000000" w:themeColor="text1"/>
                <w:kern w:val="0"/>
                <w:sz w:val="24"/>
                <w14:textFill>
                  <w14:solidFill>
                    <w14:schemeClr w14:val="tx1"/>
                  </w14:solidFill>
                </w14:textFill>
              </w:rPr>
              <w:t>团队成员</w:t>
            </w:r>
            <w:r>
              <w:rPr>
                <w:rFonts w:hint="eastAsia" w:ascii="宋体" w:hAnsi="宋体" w:cs="宋体"/>
                <w:color w:val="000000" w:themeColor="text1"/>
                <w:kern w:val="0"/>
                <w:sz w:val="24"/>
                <w:lang w:val="zh-CN"/>
                <w14:textFill>
                  <w14:solidFill>
                    <w14:schemeClr w14:val="tx1"/>
                  </w14:solidFill>
                </w14:textFill>
              </w:rPr>
              <w:t>清单（格式自拟），</w:t>
            </w:r>
            <w:r>
              <w:rPr>
                <w:rFonts w:hint="eastAsia" w:ascii="宋体" w:hAnsi="宋体" w:cs="宋体"/>
                <w:color w:val="000000" w:themeColor="text1"/>
                <w:sz w:val="24"/>
                <w14:textFill>
                  <w14:solidFill>
                    <w14:schemeClr w14:val="tx1"/>
                  </w14:solidFill>
                </w14:textFill>
              </w:rPr>
              <w:t>提供</w:t>
            </w:r>
            <w:r>
              <w:rPr>
                <w:rFonts w:hint="eastAsia" w:ascii="宋体" w:hAnsi="宋体" w:cs="宋体"/>
                <w:color w:val="000000" w:themeColor="text1"/>
                <w:kern w:val="0"/>
                <w:sz w:val="24"/>
                <w14:textFill>
                  <w14:solidFill>
                    <w14:schemeClr w14:val="tx1"/>
                  </w14:solidFill>
                </w14:textFill>
              </w:rPr>
              <w:t>通过投标人缴纳的</w:t>
            </w:r>
            <w:r>
              <w:rPr>
                <w:rFonts w:hint="eastAsia" w:ascii="宋体" w:hAnsi="宋体" w:cs="宋体"/>
                <w:color w:val="000000" w:themeColor="text1"/>
                <w:kern w:val="0"/>
                <w:sz w:val="24"/>
                <w:lang w:val="zh-CN"/>
                <w14:textFill>
                  <w14:solidFill>
                    <w14:schemeClr w14:val="tx1"/>
                  </w14:solidFill>
                </w14:textFill>
              </w:rPr>
              <w:t>投标日期前三个月</w:t>
            </w:r>
            <w:r>
              <w:rPr>
                <w:rFonts w:hint="eastAsia" w:ascii="宋体" w:hAnsi="宋体" w:cs="宋体"/>
                <w:color w:val="000000" w:themeColor="text1"/>
                <w:kern w:val="0"/>
                <w:sz w:val="24"/>
                <w14:textFill>
                  <w14:solidFill>
                    <w14:schemeClr w14:val="tx1"/>
                  </w14:solidFill>
                </w14:textFill>
              </w:rPr>
              <w:t>内任1个月的</w:t>
            </w:r>
            <w:r>
              <w:rPr>
                <w:rFonts w:hint="eastAsia" w:ascii="宋体" w:hAnsi="宋体" w:cs="宋体"/>
                <w:color w:val="000000" w:themeColor="text1"/>
                <w:kern w:val="0"/>
                <w:sz w:val="24"/>
                <w:lang w:val="zh-CN"/>
                <w14:textFill>
                  <w14:solidFill>
                    <w14:schemeClr w14:val="tx1"/>
                  </w14:solidFill>
                </w14:textFill>
              </w:rPr>
              <w:t>社保证明（网页或窗口打印资料均可，社保证明资料应当至少包含养老保险）及劳动合同</w:t>
            </w:r>
            <w:r>
              <w:rPr>
                <w:rFonts w:hint="eastAsia" w:ascii="宋体" w:hAnsi="宋体" w:cs="宋体"/>
                <w:color w:val="000000" w:themeColor="text1"/>
                <w:kern w:val="0"/>
                <w:sz w:val="24"/>
                <w14:textFill>
                  <w14:solidFill>
                    <w14:schemeClr w14:val="tx1"/>
                  </w14:solidFill>
                </w14:textFill>
              </w:rPr>
              <w:t>作为其为投标人员工的证明依据</w:t>
            </w:r>
            <w:r>
              <w:rPr>
                <w:rFonts w:hint="eastAsia" w:ascii="宋体" w:hAnsi="宋体" w:cs="宋体"/>
                <w:color w:val="000000" w:themeColor="text1"/>
                <w:kern w:val="0"/>
                <w:sz w:val="24"/>
                <w:lang w:val="zh-CN"/>
                <w14:textFill>
                  <w14:solidFill>
                    <w14:schemeClr w14:val="tx1"/>
                  </w14:solidFill>
                </w14:textFill>
              </w:rPr>
              <w:t>。如投标人为新成立企业且成立时间不足</w:t>
            </w:r>
            <w:r>
              <w:rPr>
                <w:rFonts w:hint="eastAsia"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lang w:val="zh-CN"/>
                <w14:textFill>
                  <w14:solidFill>
                    <w14:schemeClr w14:val="tx1"/>
                  </w14:solidFill>
                </w14:textFill>
              </w:rPr>
              <w:t>个月可提供情况说明或者证明材料亦视为符合。</w:t>
            </w:r>
            <w:r>
              <w:rPr>
                <w:rFonts w:hint="eastAsia" w:ascii="宋体" w:hAnsi="宋体" w:cs="宋体"/>
                <w:color w:val="000000" w:themeColor="text1"/>
                <w:sz w:val="24"/>
                <w:lang w:bidi="ar"/>
                <w14:textFill>
                  <w14:solidFill>
                    <w14:schemeClr w14:val="tx1"/>
                  </w14:solidFill>
                </w14:textFill>
              </w:rPr>
              <w:t>不接受退休返聘人员作为项目团队成员</w:t>
            </w:r>
            <w:r>
              <w:rPr>
                <w:rFonts w:hint="eastAsia" w:ascii="宋体" w:hAnsi="宋体" w:cs="宋体"/>
                <w:color w:val="000000" w:themeColor="text1"/>
                <w:kern w:val="0"/>
                <w:sz w:val="24"/>
                <w:lang w:val="zh-CN"/>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lang w:val="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提供相关证书证明材料，原件备查。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cs="宋体"/>
                <w:color w:val="000000" w:themeColor="text1"/>
                <w:kern w:val="0"/>
                <w:sz w:val="24"/>
                <w:lang w:val="zh-CN"/>
                <w14:textFill>
                  <w14:solidFill>
                    <w14:schemeClr w14:val="tx1"/>
                  </w14:solidFill>
                </w14:textFill>
              </w:rPr>
              <w:t>.提供上述审计、资产清查等相关服务项目的相关材料（如合同关键页（关键页包含但不限于合同封面、服务内容页、服务人员页、双方盖章页等）或委托函加盖甲方公章等复印件，合同关键页或委托函若不能体现项目成员的工作业绩，可同时提供委托单位开具的书面证明）加盖公章，原件备查。未提供或提供不齐全或无法分辨的不得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w:t>
            </w:r>
          </w:p>
        </w:tc>
        <w:tc>
          <w:tcPr>
            <w:tcW w:w="5907" w:type="dxa"/>
          </w:tcPr>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（一）评分内容：</w:t>
            </w:r>
          </w:p>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投标人提供自202</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年【1】月【1】日至投标截止之日（以合同签订时间或委托函委托时间为准）</w:t>
            </w:r>
            <w:r>
              <w:rPr>
                <w:rFonts w:hint="eastAsia" w:ascii="宋体" w:hAnsi="宋体" w:cs="宋体"/>
                <w:color w:val="000000" w:themeColor="text1"/>
                <w:sz w:val="24"/>
                <w14:textFill>
                  <w14:solidFill>
                    <w14:schemeClr w14:val="tx1"/>
                  </w14:solidFill>
                </w14:textFill>
              </w:rPr>
              <w:t>具备</w:t>
            </w:r>
            <w:r>
              <w:rPr>
                <w:rFonts w:hint="eastAsia" w:ascii="宋体" w:hAnsi="宋体" w:cs="宋体"/>
                <w:color w:val="000000" w:themeColor="text1"/>
                <w:sz w:val="24"/>
                <w:lang w:val="zh-CN"/>
                <w14:textFill>
                  <w14:solidFill>
                    <w14:schemeClr w14:val="tx1"/>
                  </w14:solidFill>
                </w14:textFill>
              </w:rPr>
              <w:t>行政事业单位审计（包括财务报表审计及专项审计）、资产清查等相关服务经验的，每提供一项得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分，最高得10分。</w:t>
            </w:r>
          </w:p>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（二）评分依据：</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提供可证明投标人提供上述服务的相关材料加盖公章【如合同关键页（关键页包含但不限于合同封面、服务内容页、服务人员页、双方盖章页等）或委托函加盖甲方公章等复印件】，原件备查，未提供或提供不齐全或无法分辨的不得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07"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901"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项目实施方案</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根据投标文件里对工作目标和工作思路的判断情况比较得分：</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1.项目目标理解；</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2.工作思路及工作内容。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（二）评审标准：</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满足两点得6分，满足任意一点得3分，未满足不得分。</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在此基础上，专家根据各投标单位的具体响应内容按照量化的评审因素指标进一步评审：</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优：对项目目标理解和把握全面准确，工作思路内容与深度符合招标文件要求，贴合项目具体情况；</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良：对项目目标理解和把握全面准确，工作思路内容详实具体的；</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中：对项目目标理解和把握基本准确，工作思路内容措施简单，可执行性一般的；</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差：对项目目标理解和把握不准确，工作思路内容不完整，可执行性差的。</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评价为优加</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分；评价为良加</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分；评价为中加</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分；评价为差不加分。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质量保</w:t>
            </w:r>
            <w:r>
              <w:rPr>
                <w:rFonts w:hint="eastAsia" w:ascii="宋体" w:hAnsi="宋体" w:cs="宋体"/>
                <w:color w:val="000000" w:themeColor="text1"/>
                <w:sz w:val="24"/>
                <w14:textFill>
                  <w14:solidFill>
                    <w14:schemeClr w14:val="tx1"/>
                  </w14:solidFill>
                </w14:textFill>
              </w:rPr>
              <w:t>障</w:t>
            </w:r>
            <w:r>
              <w:rPr>
                <w:rFonts w:hint="eastAsia" w:ascii="宋体" w:hAnsi="宋体" w:cs="宋体"/>
                <w:color w:val="000000" w:themeColor="text1"/>
                <w:sz w:val="24"/>
                <w:lang w:val="zh-CN"/>
                <w14:textFill>
                  <w14:solidFill>
                    <w14:schemeClr w14:val="tx1"/>
                  </w14:solidFill>
                </w14:textFill>
              </w:rPr>
              <w:t>措施</w:t>
            </w:r>
            <w:r>
              <w:rPr>
                <w:rFonts w:hint="eastAsia" w:ascii="宋体" w:hAnsi="宋体" w:cs="宋体"/>
                <w:color w:val="000000" w:themeColor="text1"/>
                <w:sz w:val="24"/>
                <w14:textFill>
                  <w14:solidFill>
                    <w14:schemeClr w14:val="tx1"/>
                  </w14:solidFill>
                </w14:textFill>
              </w:rPr>
              <w:t>及方案</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根据招标文件的需求和投标文件响应情况，编制项目实施方案。包含但不限于以下内容：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1.项目组织方案；</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2.项目进度安排方案（以完成工作日计）；</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3.提供保障措施。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（二）评分标准：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满足三点得</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分，满足任意两点得</w:t>
            </w: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分，满足任意一点得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 xml:space="preserve">分，未满足不得分。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在此基础上，专家根据各投标单位的具体响应内容按照量化的评审因素指标进一步评审：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优：项目质量、保障措施及方案可行，项目安排人员及时间高于招标文件要求，提出不少于三点可执行、针对性强的保障措施；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良：项目质量、保障措施及方案比较可行，项目安排人员及时间符合招标文件要求，提出两点可执行、有针对性的保障措施；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中：项目质量、保障措施及方案基本合理，项目安排人员及时间基本符合招标文件要求，提出一点可执行的保障措施的；</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差：项目质量、保障措施及方案不可行和不合理的，未提出可执行的保障措施。</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评审为优的加</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分；评审为良的加3分；评审为中的加1分；评审为差不得分。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2</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项目重难点分析及相关的合理化建议</w:t>
            </w:r>
          </w:p>
        </w:tc>
        <w:tc>
          <w:tcPr>
            <w:tcW w:w="5907" w:type="dxa"/>
            <w:vAlign w:val="center"/>
          </w:tcPr>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根据招标文件的需求和投标文件响应情况，编制项目难点重点分析。包含但不限于以下内容：</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1.项目难点、重点分析；</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2.应对措施及相关建议。</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val="zh-CN"/>
                <w14:textFill>
                  <w14:solidFill>
                    <w14:schemeClr w14:val="tx1"/>
                  </w14:solidFill>
                </w14:textFill>
              </w:rPr>
              <w:t>）评分标准：</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1.满足两点得</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分，满足任意一点得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分，未满足不得分。</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在此基础上，专家根据各</w:t>
            </w:r>
            <w:r>
              <w:rPr>
                <w:rFonts w:ascii="宋体" w:hAnsi="宋体" w:cs="宋体"/>
                <w:color w:val="000000" w:themeColor="text1"/>
                <w:sz w:val="24"/>
                <w14:textFill>
                  <w14:solidFill>
                    <w14:schemeClr w14:val="tx1"/>
                  </w14:solidFill>
                </w14:textFill>
              </w:rPr>
              <w:t>投标单位</w:t>
            </w:r>
            <w:r>
              <w:rPr>
                <w:rFonts w:hint="eastAsia" w:ascii="宋体" w:hAnsi="宋体" w:cs="宋体"/>
                <w:color w:val="000000" w:themeColor="text1"/>
                <w:sz w:val="24"/>
                <w:lang w:val="zh-CN"/>
                <w14:textFill>
                  <w14:solidFill>
                    <w14:schemeClr w14:val="tx1"/>
                  </w14:solidFill>
                </w14:textFill>
              </w:rPr>
              <w:t xml:space="preserve">的具体响应内容按照量化的评审因素指标进一步评审； </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优：找出2个及以上项目重点难点，</w:t>
            </w:r>
            <w:r>
              <w:rPr>
                <w:rFonts w:hint="eastAsia" w:ascii="宋体" w:hAnsi="宋体" w:cs="宋体"/>
                <w:color w:val="000000" w:themeColor="text1"/>
                <w:sz w:val="24"/>
                <w14:textFill>
                  <w14:solidFill>
                    <w14:schemeClr w14:val="tx1"/>
                  </w14:solidFill>
                </w14:textFill>
              </w:rPr>
              <w:t>分析清晰，</w:t>
            </w:r>
            <w:r>
              <w:rPr>
                <w:rFonts w:hint="eastAsia" w:ascii="宋体" w:hAnsi="宋体" w:cs="宋体"/>
                <w:color w:val="000000" w:themeColor="text1"/>
                <w:sz w:val="24"/>
                <w:lang w:val="zh-CN"/>
                <w14:textFill>
                  <w14:solidFill>
                    <w14:schemeClr w14:val="tx1"/>
                  </w14:solidFill>
                </w14:textFill>
              </w:rPr>
              <w:t>并提出针对性强的解决</w:t>
            </w:r>
            <w:r>
              <w:rPr>
                <w:rFonts w:hint="eastAsia" w:ascii="宋体" w:hAnsi="宋体" w:cs="宋体"/>
                <w:color w:val="000000" w:themeColor="text1"/>
                <w:sz w:val="24"/>
                <w14:textFill>
                  <w14:solidFill>
                    <w14:schemeClr w14:val="tx1"/>
                  </w14:solidFill>
                </w14:textFill>
              </w:rPr>
              <w:t>建议</w:t>
            </w:r>
            <w:r>
              <w:rPr>
                <w:rFonts w:hint="eastAsia" w:ascii="宋体" w:hAnsi="宋体" w:cs="宋体"/>
                <w:color w:val="000000" w:themeColor="text1"/>
                <w:sz w:val="24"/>
                <w:lang w:val="zh-CN"/>
                <w14:textFill>
                  <w14:solidFill>
                    <w14:schemeClr w14:val="tx1"/>
                  </w14:solidFill>
                </w14:textFill>
              </w:rPr>
              <w:t>；</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良：找出1个项目重点难点，分析基本清楚、解决</w:t>
            </w:r>
            <w:r>
              <w:rPr>
                <w:rFonts w:hint="eastAsia" w:ascii="宋体" w:hAnsi="宋体" w:cs="宋体"/>
                <w:color w:val="000000" w:themeColor="text1"/>
                <w:sz w:val="24"/>
                <w14:textFill>
                  <w14:solidFill>
                    <w14:schemeClr w14:val="tx1"/>
                  </w14:solidFill>
                </w14:textFill>
              </w:rPr>
              <w:t>建议</w:t>
            </w:r>
            <w:r>
              <w:rPr>
                <w:rFonts w:hint="eastAsia" w:ascii="宋体" w:hAnsi="宋体" w:cs="宋体"/>
                <w:color w:val="000000" w:themeColor="text1"/>
                <w:sz w:val="24"/>
                <w:lang w:val="zh-CN"/>
                <w14:textFill>
                  <w14:solidFill>
                    <w14:schemeClr w14:val="tx1"/>
                  </w14:solidFill>
                </w14:textFill>
              </w:rPr>
              <w:t>针对性较好的；</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中：对项目重点难点分析仅做概括性描述的</w:t>
            </w:r>
            <w:r>
              <w:rPr>
                <w:rFonts w:hint="eastAsia" w:ascii="宋体" w:hAnsi="宋体" w:cs="宋体"/>
                <w:color w:val="000000" w:themeColor="text1"/>
                <w:sz w:val="24"/>
                <w14:textFill>
                  <w14:solidFill>
                    <w14:schemeClr w14:val="tx1"/>
                  </w14:solidFill>
                </w14:textFill>
              </w:rPr>
              <w:t>，缺乏具体分析，解决建议不具备可操作性</w:t>
            </w:r>
            <w:r>
              <w:rPr>
                <w:rFonts w:hint="eastAsia" w:ascii="宋体" w:hAnsi="宋体" w:cs="宋体"/>
                <w:color w:val="000000" w:themeColor="text1"/>
                <w:sz w:val="24"/>
                <w:lang w:val="zh-CN"/>
                <w14:textFill>
                  <w14:solidFill>
                    <w14:schemeClr w14:val="tx1"/>
                  </w14:solidFill>
                </w14:textFill>
              </w:rPr>
              <w:t>；</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差：项目重点难点分析</w:t>
            </w:r>
            <w:r>
              <w:rPr>
                <w:rFonts w:hint="eastAsia" w:ascii="宋体" w:hAnsi="宋体" w:cs="宋体"/>
                <w:color w:val="000000" w:themeColor="text1"/>
                <w:sz w:val="24"/>
                <w14:textFill>
                  <w14:solidFill>
                    <w14:schemeClr w14:val="tx1"/>
                  </w14:solidFill>
                </w14:textFill>
              </w:rPr>
              <w:t>不合理，缺乏</w:t>
            </w:r>
            <w:r>
              <w:rPr>
                <w:rFonts w:hint="eastAsia" w:ascii="宋体" w:hAnsi="宋体" w:cs="宋体"/>
                <w:color w:val="000000" w:themeColor="text1"/>
                <w:sz w:val="24"/>
                <w:lang w:val="zh-CN"/>
                <w14:textFill>
                  <w14:solidFill>
                    <w14:schemeClr w14:val="tx1"/>
                  </w14:solidFill>
                </w14:textFill>
              </w:rPr>
              <w:t>解决</w:t>
            </w:r>
            <w:r>
              <w:rPr>
                <w:rFonts w:hint="eastAsia" w:ascii="宋体" w:hAnsi="宋体" w:cs="宋体"/>
                <w:color w:val="000000" w:themeColor="text1"/>
                <w:sz w:val="24"/>
                <w14:textFill>
                  <w14:solidFill>
                    <w14:schemeClr w14:val="tx1"/>
                  </w14:solidFill>
                </w14:textFill>
              </w:rPr>
              <w:t>建议</w:t>
            </w:r>
            <w:r>
              <w:rPr>
                <w:rFonts w:hint="eastAsia" w:ascii="宋体" w:hAnsi="宋体" w:cs="宋体"/>
                <w:color w:val="000000" w:themeColor="text1"/>
                <w:sz w:val="24"/>
                <w:lang w:val="zh-CN"/>
                <w14:textFill>
                  <w14:solidFill>
                    <w14:schemeClr w14:val="tx1"/>
                  </w14:solidFill>
                </w14:textFill>
              </w:rPr>
              <w:t>。</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评审为优的加</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评审为良的加</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w:t>
            </w:r>
          </w:p>
          <w:p>
            <w:pPr>
              <w:pStyle w:val="32"/>
              <w:widowControl/>
              <w:spacing w:line="560" w:lineRule="exact"/>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评审为中的加</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评审为差</w:t>
            </w:r>
            <w:r>
              <w:rPr>
                <w:rFonts w:hint="eastAsia" w:ascii="宋体" w:hAnsi="宋体" w:cs="宋体"/>
                <w:color w:val="000000" w:themeColor="text1"/>
                <w:sz w:val="24"/>
                <w14:textFill>
                  <w14:solidFill>
                    <w14:schemeClr w14:val="tx1"/>
                  </w14:solidFill>
                </w14:textFill>
              </w:rPr>
              <w:t>不加分。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项目完成（服务期满）后的服务承诺</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投标人提供以下承诺，承诺以下全部3项的得</w:t>
            </w: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分，否则不得分。</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服务期满后主动离岗；</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与后续服务公司进行交接；</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服务期满，后续服务公司未到位前仍按原合同服务承诺提供服务。</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val="zh-CN"/>
                <w14:textFill>
                  <w14:solidFill>
                    <w14:schemeClr w14:val="tx1"/>
                  </w14:solidFill>
                </w14:textFill>
              </w:rPr>
              <w:t>）评分依据：</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要求提供承诺（格式自定）</w:t>
            </w:r>
            <w:r>
              <w:rPr>
                <w:rFonts w:hint="eastAsia" w:ascii="宋体" w:hAnsi="宋体" w:cs="宋体"/>
                <w:color w:val="000000" w:themeColor="text1"/>
                <w:sz w:val="24"/>
                <w14:textFill>
                  <w14:solidFill>
                    <w14:schemeClr w14:val="tx1"/>
                  </w14:solidFill>
                </w14:textFill>
              </w:rPr>
              <w:t>加盖公章</w:t>
            </w:r>
            <w:r>
              <w:rPr>
                <w:rFonts w:hint="eastAsia" w:ascii="宋体" w:hAnsi="宋体" w:cs="宋体"/>
                <w:color w:val="000000" w:themeColor="text1"/>
                <w:sz w:val="24"/>
                <w:lang w:val="zh-CN"/>
                <w14:textFill>
                  <w14:solidFill>
                    <w14:schemeClr w14:val="tx1"/>
                  </w14:solidFill>
                </w14:textFill>
              </w:rPr>
              <w:t>作为得分依据，未提供承诺或承诺内容不满足要求不得分。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pStyle w:val="3"/>
        <w:rPr>
          <w:color w:val="000000" w:themeColor="text1"/>
          <w:lang w:val="fr-CH"/>
          <w14:textFill>
            <w14:solidFill>
              <w14:schemeClr w14:val="tx1"/>
            </w14:solidFill>
          </w14:textFill>
        </w:rPr>
        <w:sectPr>
          <w:footerReference r:id="rId5" w:type="default"/>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34" w:name="_Toc9548"/>
      <w:bookmarkStart w:id="35" w:name="_Hlk28269117"/>
      <w:r>
        <w:rPr>
          <w:rFonts w:hint="eastAsia" w:ascii="宋体" w:hAnsi="宋体" w:cs="宋体"/>
          <w:b/>
          <w:bCs/>
          <w:color w:val="000000" w:themeColor="text1"/>
          <w:sz w:val="24"/>
          <w14:textFill>
            <w14:solidFill>
              <w14:schemeClr w14:val="tx1"/>
            </w14:solidFill>
          </w14:textFill>
        </w:rPr>
        <w:t>第七章 附件（投标文件格式）</w:t>
      </w:r>
      <w:bookmarkEnd w:id="34"/>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36" w:name="_Toc5116"/>
      <w:bookmarkStart w:id="37" w:name="_Toc19494"/>
      <w:bookmarkStart w:id="38" w:name="_Toc6548"/>
      <w:bookmarkStart w:id="39" w:name="_Toc31827"/>
      <w:r>
        <w:rPr>
          <w:rFonts w:hint="eastAsia" w:ascii="宋体" w:hAnsi="宋体" w:cs="宋体"/>
          <w:b/>
          <w:bCs/>
          <w:color w:val="000000" w:themeColor="text1"/>
          <w:sz w:val="24"/>
          <w14:textFill>
            <w14:solidFill>
              <w14:schemeClr w14:val="tx1"/>
            </w14:solidFill>
          </w14:textFill>
        </w:rPr>
        <w:t>1、投标文件密封袋/封面参考</w:t>
      </w:r>
      <w:bookmarkEnd w:id="36"/>
      <w:bookmarkEnd w:id="37"/>
      <w:bookmarkEnd w:id="38"/>
      <w:bookmarkEnd w:id="39"/>
    </w:p>
    <w:tbl>
      <w:tblPr>
        <w:tblStyle w:val="1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2"/>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2"/>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40" w:name="_Toc16724"/>
      <w:r>
        <w:rPr>
          <w:rFonts w:hint="eastAsia" w:ascii="宋体" w:hAnsi="宋体" w:cs="宋体"/>
          <w:b/>
          <w:color w:val="000000" w:themeColor="text1"/>
          <w:sz w:val="24"/>
          <w14:textFill>
            <w14:solidFill>
              <w14:schemeClr w14:val="tx1"/>
            </w14:solidFill>
          </w14:textFill>
        </w:rPr>
        <w:t>2、投标文件—目录</w:t>
      </w:r>
      <w:bookmarkEnd w:id="40"/>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6"/>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6"/>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w:t>
      </w:r>
      <w:r>
        <w:rPr>
          <w:rFonts w:hint="eastAsia" w:ascii="宋体" w:hAnsi="宋体" w:cs="宋体"/>
          <w:b/>
          <w:bCs/>
          <w:color w:val="000000" w:themeColor="text1"/>
          <w:kern w:val="0"/>
          <w:sz w:val="24"/>
          <w14:textFill>
            <w14:solidFill>
              <w14:schemeClr w14:val="tx1"/>
            </w14:solidFill>
          </w14:textFill>
        </w:rPr>
        <w:t>投标人须具有有效的财政部门颁发的《会计师事务所执业证书》（提供证明材料复印件，加盖投标人公章，原件备查）；（分支机构投标须提供总公司(或总所)出具的愿为其参与本项目投标的行为以及履约等行为承担民事责任的承诺函，并提供总公司（总所）和分支机构的营业执照以及执业证扫描件，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t>；</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7"/>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7"/>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项目负责人（仅限一人）；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服务团队成员（不含项目负责人）；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同类项目业绩；</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7"/>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8"/>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项目实施方案；</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质量保障措施及方案；</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项目重难点分析及相关的合理化建议；</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项目完成（服务期满）后的服务承诺；</w:t>
      </w:r>
    </w:p>
    <w:p>
      <w:pPr>
        <w:numPr>
          <w:ilvl w:val="0"/>
          <w:numId w:val="8"/>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9"/>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8"/>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8"/>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w:t>
      </w:r>
      <w:r>
        <w:rPr>
          <w:rFonts w:hint="eastAsia" w:ascii="宋体" w:hAnsi="宋体" w:cs="宋体"/>
          <w:b/>
          <w:bCs/>
          <w:color w:val="000000" w:themeColor="text1"/>
          <w:kern w:val="0"/>
          <w:sz w:val="24"/>
          <w14:textFill>
            <w14:solidFill>
              <w14:schemeClr w14:val="tx1"/>
            </w14:solidFill>
          </w14:textFill>
        </w:rPr>
        <w:t>投标人须具有有效的财政部门颁发的《会计师事务所执业证书》（提供证明材料复印件，加盖投标人公章，原件备查）；（分支机构投标须提供总公司(或总所)出具的愿为其参与本项目投标的行为以及履约等行为承担民事责任的承诺函，并提供总公司（总所）和分支机构的营业执照以及执业证扫描件，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t>；</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1"/>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1"/>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25" w:hRule="atLeast"/>
          <w:jc w:val="center"/>
        </w:trPr>
        <w:tc>
          <w:tcPr>
            <w:tcW w:w="4240" w:type="dxa"/>
          </w:tcPr>
          <w:p>
            <w:pPr>
              <w:pStyle w:val="8"/>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8"/>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8"/>
        <w:spacing w:line="360" w:lineRule="auto"/>
        <w:jc w:val="center"/>
        <w:rPr>
          <w:rFonts w:hint="eastAsia" w:hAnsi="宋体" w:cs="宋体"/>
          <w:b/>
          <w:color w:val="000000" w:themeColor="text1"/>
          <w:sz w:val="24"/>
          <w14:textFill>
            <w14:solidFill>
              <w14:schemeClr w14:val="tx1"/>
            </w14:solidFill>
          </w14:textFill>
        </w:rPr>
      </w:pPr>
    </w:p>
    <w:p>
      <w:pPr>
        <w:pStyle w:val="8"/>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8"/>
        <w:spacing w:line="360" w:lineRule="auto"/>
        <w:rPr>
          <w:rFonts w:hint="eastAsia" w:hAnsi="宋体" w:cs="宋体"/>
          <w:color w:val="000000" w:themeColor="text1"/>
          <w:sz w:val="24"/>
          <w14:textFill>
            <w14:solidFill>
              <w14:schemeClr w14:val="tx1"/>
            </w14:solidFill>
          </w14:textFill>
        </w:rPr>
      </w:pPr>
    </w:p>
    <w:p>
      <w:pPr>
        <w:pStyle w:val="8"/>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8"/>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8"/>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8"/>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8"/>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8"/>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8"/>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项目负责人（仅限一人）；</w:t>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服务团队成员（不含项目负责人）；</w:t>
      </w:r>
    </w:p>
    <w:p>
      <w:pPr>
        <w:numPr>
          <w:ilvl w:val="0"/>
          <w:numId w:val="10"/>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8"/>
        <w:spacing w:line="360" w:lineRule="auto"/>
        <w:jc w:val="left"/>
        <w:rPr>
          <w:rFonts w:hint="eastAsia" w:hAnsi="宋体" w:cs="宋体"/>
          <w:color w:val="000000" w:themeColor="text1"/>
          <w:sz w:val="24"/>
          <w14:textFill>
            <w14:solidFill>
              <w14:schemeClr w14:val="tx1"/>
            </w14:solidFill>
          </w14:textFill>
        </w:rPr>
      </w:pPr>
    </w:p>
    <w:p>
      <w:pPr>
        <w:pStyle w:val="8"/>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2"/>
        <w:rPr>
          <w:color w:val="000000" w:themeColor="text1"/>
          <w:lang w:val="fr-CH"/>
          <w14:textFill>
            <w14:solidFill>
              <w14:schemeClr w14:val="tx1"/>
            </w14:solidFill>
          </w14:textFill>
        </w:rPr>
      </w:pP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27"/>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27"/>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27"/>
          <w:rFonts w:hint="eastAsia" w:ascii="宋体" w:hAnsi="宋体" w:cs="宋体"/>
          <w:b/>
          <w:color w:val="000000" w:themeColor="text1"/>
          <w:sz w:val="24"/>
          <w14:textFill>
            <w14:solidFill>
              <w14:schemeClr w14:val="tx1"/>
            </w14:solidFill>
          </w14:textFill>
        </w:rPr>
      </w:pPr>
      <w:r>
        <w:rPr>
          <w:rStyle w:val="27"/>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7"/>
          <w:rFonts w:hint="eastAsia" w:ascii="宋体" w:hAnsi="宋体" w:cs="宋体"/>
          <w:b/>
          <w:color w:val="000000" w:themeColor="text1"/>
          <w:sz w:val="24"/>
          <w14:textFill>
            <w14:solidFill>
              <w14:schemeClr w14:val="tx1"/>
            </w14:solidFill>
          </w14:textFill>
        </w:rPr>
      </w:pPr>
      <w:r>
        <w:rPr>
          <w:rStyle w:val="27"/>
          <w:rFonts w:hint="eastAsia" w:ascii="宋体" w:hAnsi="宋体" w:cs="宋体"/>
          <w:b/>
          <w:color w:val="000000" w:themeColor="text1"/>
          <w:sz w:val="24"/>
          <w14:textFill>
            <w14:solidFill>
              <w14:schemeClr w14:val="tx1"/>
            </w14:solidFill>
          </w14:textFill>
        </w:rPr>
        <w:br w:type="page"/>
      </w:r>
      <w:r>
        <w:rPr>
          <w:rStyle w:val="27"/>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27"/>
          <w:rFonts w:hint="eastAsia" w:ascii="宋体" w:hAnsi="宋体" w:cs="宋体"/>
          <w:color w:val="000000" w:themeColor="text1"/>
          <w:spacing w:val="6"/>
          <w:sz w:val="24"/>
          <w:u w:val="single"/>
          <w14:textFill>
            <w14:solidFill>
              <w14:schemeClr w14:val="tx1"/>
            </w14:solidFill>
          </w14:textFill>
        </w:rPr>
        <w:t xml:space="preserve"> （采购单位名称） </w:t>
      </w:r>
      <w:r>
        <w:rPr>
          <w:rStyle w:val="27"/>
          <w:rFonts w:hint="eastAsia" w:ascii="宋体" w:hAnsi="宋体" w:cs="宋体"/>
          <w:color w:val="000000" w:themeColor="text1"/>
          <w:spacing w:val="6"/>
          <w:sz w:val="24"/>
          <w14:textFill>
            <w14:solidFill>
              <w14:schemeClr w14:val="tx1"/>
            </w14:solidFill>
          </w14:textFill>
        </w:rPr>
        <w:t>单位的</w:t>
      </w:r>
      <w:r>
        <w:rPr>
          <w:rStyle w:val="27"/>
          <w:rFonts w:hint="eastAsia" w:ascii="宋体" w:hAnsi="宋体" w:cs="宋体"/>
          <w:color w:val="000000" w:themeColor="text1"/>
          <w:spacing w:val="6"/>
          <w:sz w:val="24"/>
          <w:u w:val="single"/>
          <w14:textFill>
            <w14:solidFill>
              <w14:schemeClr w14:val="tx1"/>
            </w14:solidFill>
          </w14:textFill>
        </w:rPr>
        <w:t xml:space="preserve"> （采购项目名称） </w:t>
      </w:r>
      <w:r>
        <w:rPr>
          <w:rStyle w:val="27"/>
          <w:rFonts w:hint="eastAsia" w:ascii="宋体" w:hAnsi="宋体" w:cs="宋体"/>
          <w:color w:val="000000" w:themeColor="text1"/>
          <w:spacing w:val="6"/>
          <w:sz w:val="24"/>
          <w14:textFill>
            <w14:solidFill>
              <w14:schemeClr w14:val="tx1"/>
            </w14:solidFill>
          </w14:textFill>
        </w:rPr>
        <w:t>项目采购</w:t>
      </w:r>
      <w:r>
        <w:rPr>
          <w:rStyle w:val="27"/>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27"/>
          <w:rFonts w:hint="eastAsia" w:ascii="宋体" w:hAnsi="宋体" w:cs="宋体"/>
          <w:color w:val="000000" w:themeColor="text1"/>
          <w:spacing w:val="6"/>
          <w:sz w:val="24"/>
          <w14:textFill>
            <w14:solidFill>
              <w14:schemeClr w14:val="tx1"/>
            </w14:solidFill>
          </w14:textFill>
        </w:rPr>
        <w:t>。</w:t>
      </w:r>
      <w:r>
        <w:rPr>
          <w:rStyle w:val="27"/>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spacing w:after="79" w:afterLines="25" w:line="300" w:lineRule="auto"/>
        <w:ind w:firstLine="506" w:firstLineChars="20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pacing w:val="6"/>
          <w:sz w:val="24"/>
          <w14:textFill>
            <w14:solidFill>
              <w14:schemeClr w14:val="tx1"/>
            </w14:solidFill>
          </w14:textFill>
        </w:rPr>
        <w:t>④</w:t>
      </w:r>
      <w:r>
        <w:rPr>
          <w:rFonts w:hint="eastAsia" w:ascii="宋体" w:hAnsi="宋体" w:cs="宋体"/>
          <w:b/>
          <w:bCs/>
          <w:color w:val="000000" w:themeColor="text1"/>
          <w:sz w:val="24"/>
          <w14:textFill>
            <w14:solidFill>
              <w14:schemeClr w14:val="tx1"/>
            </w14:solidFill>
          </w14:textFill>
        </w:rPr>
        <w:t>本国产品声明函</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填写指引：</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2、该部分内容填写需要参考的相关文件：</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（1）《国务院办公厅关于在政府采购中实施本国产品标准及相关政策的通知》（国办发〔2025〕34号）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（2）《关于贯彻落实&lt;国务院办公厅关于在政府采购中实施本国产品标准及相关政策的通知&gt;的意见》（财库〔2025〕30号）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（3）《深圳市财政局关于贯彻落实政府采购本国产品标准及相关政策的通知》（深财购〔2025〕69号）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3、请依照提供的格式和内容填写声明函，不要随意变更格式；声明函可以不盖章或签字。</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4、声明函具体填写要求：</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（1）产品如有型号，请在“产品名称”栏一并填写。</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（2）生产厂名与厂址应与生产厂营业执照载明的相关信息保持一致。</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（3）该产品的中国境内生产的组件成本占比相关要求实施前，“规定比例”栏可不填，下同。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（4）该产品的关键组件要求实施前，“关键组件”栏可不填，下同。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（5）该产品的关键工序要求实施前，“关键工序”栏可不填，下同。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应如实在“具体比例”栏填写提供所有符合本国产品标准的产品成本之和占提供的全部产品成本之和的比例。根据《国务院办公厅关于在政府采购中实施本国产品标准及相关政策的通知》（国办发〔2025〕34号）的规定，</w:t>
      </w:r>
      <w:r>
        <w:rPr>
          <w:rFonts w:hint="eastAsia" w:ascii="宋体" w:hAnsi="宋体" w:cs="宋体"/>
          <w:bCs/>
          <w:color w:val="000000" w:themeColor="text1"/>
          <w:sz w:val="24"/>
          <w:u w:val="doubl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20%价格评审优惠。</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争议处理：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pPr>
        <w:spacing w:after="159" w:afterLines="5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1.关于符合本国产品标准的声明函</w:t>
      </w:r>
    </w:p>
    <w:p>
      <w:pPr>
        <w:widowControl/>
        <w:shd w:val="clear" w:color="auto" w:fill="FFFFFF"/>
        <w:spacing w:line="360" w:lineRule="auto"/>
        <w:ind w:firstLine="480"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1.</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1</w:t>
      </w:r>
      <w:r>
        <w:rPr>
          <w:rFonts w:hint="eastAsia" w:ascii="宋体" w:hAnsi="宋体" w:cs="宋体"/>
          <w:color w:val="000000" w:themeColor="text1"/>
          <w:kern w:val="0"/>
          <w:sz w:val="24"/>
          <w:shd w:val="clear" w:color="auto" w:fill="FFFFFF"/>
          <w14:textFill>
            <w14:solidFill>
              <w14:schemeClr w14:val="tx1"/>
            </w14:solidFill>
          </w14:textFill>
        </w:rPr>
        <w:t>，生产厂为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（厂名）</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2</w:t>
      </w:r>
      <w:r>
        <w:rPr>
          <w:rFonts w:hint="eastAsia" w:ascii="宋体" w:hAnsi="宋体" w:cs="宋体"/>
          <w:color w:val="000000" w:themeColor="text1"/>
          <w:kern w:val="0"/>
          <w:sz w:val="24"/>
          <w:shd w:val="clear" w:color="auto" w:fill="FFFFFF"/>
          <w14:textFill>
            <w14:solidFill>
              <w14:schemeClr w14:val="tx1"/>
            </w14:solidFill>
          </w14:textFill>
        </w:rPr>
        <w:t>，厂址为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（生产厂址）</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（规定比例）</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3</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（关键组件）</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4</w:t>
      </w:r>
      <w:r>
        <w:rPr>
          <w:rFonts w:hint="eastAsia" w:ascii="宋体" w:hAnsi="宋体" w:cs="宋体"/>
          <w:color w:val="000000" w:themeColor="text1"/>
          <w:kern w:val="0"/>
          <w:sz w:val="24"/>
          <w:shd w:val="clear" w:color="auto" w:fill="FFFFFF"/>
          <w14:textFill>
            <w14:solidFill>
              <w14:schemeClr w14:val="tx1"/>
            </w14:solidFill>
          </w14:textFill>
        </w:rPr>
        <w:t>在中国境内生产。</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（关键工序）</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5</w:t>
      </w:r>
      <w:r>
        <w:rPr>
          <w:rFonts w:hint="eastAsia" w:ascii="宋体" w:hAnsi="宋体" w:cs="宋体"/>
          <w:color w:val="000000" w:themeColor="text1"/>
          <w:kern w:val="0"/>
          <w:sz w:val="24"/>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2.</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，生产厂为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（厂名）</w:t>
      </w:r>
      <w:r>
        <w:rPr>
          <w:rFonts w:hint="eastAsia" w:ascii="宋体" w:hAnsi="宋体" w:cs="宋体"/>
          <w:color w:val="000000" w:themeColor="text1"/>
          <w:kern w:val="0"/>
          <w:sz w:val="24"/>
          <w:shd w:val="clear" w:color="auto" w:fill="FFFFFF"/>
          <w14:textFill>
            <w14:solidFill>
              <w14:schemeClr w14:val="tx1"/>
            </w14:solidFill>
          </w14:textFill>
        </w:rPr>
        <w:t>，厂址为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（生产厂址）</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（规定比例）</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（关键组件）</w:t>
      </w:r>
      <w:r>
        <w:rPr>
          <w:rFonts w:hint="eastAsia" w:ascii="宋体" w:hAnsi="宋体" w:cs="宋体"/>
          <w:color w:val="000000" w:themeColor="text1"/>
          <w:kern w:val="0"/>
          <w:sz w:val="24"/>
          <w:shd w:val="clear" w:color="auto" w:fill="FFFFFF"/>
          <w14:textFill>
            <w14:solidFill>
              <w14:schemeClr w14:val="tx1"/>
            </w14:solidFill>
          </w14:textFill>
        </w:rPr>
        <w:t>在中国境内生产。</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（关键工序）</w:t>
      </w:r>
      <w:r>
        <w:rPr>
          <w:rFonts w:hint="eastAsia" w:ascii="宋体" w:hAnsi="宋体" w:cs="宋体"/>
          <w:color w:val="000000" w:themeColor="text1"/>
          <w:kern w:val="0"/>
          <w:sz w:val="24"/>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w:t>
      </w:r>
    </w:p>
    <w:p>
      <w:pPr>
        <w:widowControl/>
        <w:shd w:val="clear" w:color="auto" w:fill="FFFFFF"/>
        <w:spacing w:line="360" w:lineRule="auto"/>
        <w:ind w:firstLine="482"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本公司（单位）提供上述符合本国产品标准的产品成本之和占本公司（单位）提供的全部产品成本之和的比例达到</w:t>
      </w:r>
      <w:r>
        <w:rPr>
          <w:rFonts w:hint="eastAsia" w:ascii="宋体" w:hAnsi="宋体" w:cs="宋体"/>
          <w:b/>
          <w:bCs/>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 xml:space="preserve">（具体比例） </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6</w:t>
      </w:r>
      <w:r>
        <w:rPr>
          <w:rFonts w:hint="eastAsia" w:ascii="宋体" w:hAnsi="宋体" w:cs="宋体"/>
          <w:b/>
          <w:bCs/>
          <w:color w:val="000000" w:themeColor="text1"/>
          <w:kern w:val="0"/>
          <w:sz w:val="24"/>
          <w:shd w:val="clear" w:color="auto" w:fill="FFFFFF"/>
          <w14:textFill>
            <w14:solidFill>
              <w14:schemeClr w14:val="tx1"/>
            </w14:solidFill>
          </w14:textFill>
        </w:rPr>
        <w:t>。</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本公司（单位）对上述声明内容的真实性负责。如有虚假，愿承担相应法律责任。</w:t>
      </w:r>
    </w:p>
    <w:p>
      <w:pPr>
        <w:widowControl/>
        <w:shd w:val="clear" w:color="auto" w:fill="FFFFFF"/>
        <w:spacing w:line="360" w:lineRule="auto"/>
        <w:ind w:right="840" w:rightChars="400"/>
        <w:jc w:val="right"/>
        <w:rPr>
          <w:rFonts w:hint="eastAsia" w:ascii="宋体" w:hAnsi="宋体" w:cs="宋体"/>
          <w:color w:val="000000" w:themeColor="text1"/>
          <w:kern w:val="0"/>
          <w:sz w:val="24"/>
          <w:shd w:val="clear" w:color="auto" w:fill="FFFFFF"/>
          <w14:textFill>
            <w14:solidFill>
              <w14:schemeClr w14:val="tx1"/>
            </w14:solidFill>
          </w14:textFill>
        </w:rPr>
      </w:pPr>
    </w:p>
    <w:p>
      <w:pPr>
        <w:widowControl/>
        <w:shd w:val="clear" w:color="auto" w:fill="FFFFFF"/>
        <w:spacing w:line="360" w:lineRule="auto"/>
        <w:ind w:right="840" w:rightChars="4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公司（单位）名称：</w:t>
      </w:r>
    </w:p>
    <w:p>
      <w:pPr>
        <w:widowControl/>
        <w:shd w:val="clear" w:color="auto" w:fill="FFFFFF"/>
        <w:spacing w:line="360" w:lineRule="auto"/>
        <w:ind w:right="840" w:rightChars="400"/>
        <w:jc w:val="right"/>
        <w:rPr>
          <w:rFonts w:hint="eastAsia"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日期：    年  月  日</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__________________</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1.产品如有型号，请在“产品名称”栏一并填写。</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2.生产厂名与厂址应与生产厂营业执照载明的相关信息保持一致。</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3.该产品的中国境内生产的组件成本占比相关要求实施前，“规定比例”栏可不填，下同。</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4.该产品的关键组件要求实施前，“关键组件”栏可不填，下同。</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5.该产品的关键工序要求实施前，“关键工序”栏可不填，下同。</w:t>
      </w:r>
    </w:p>
    <w:p>
      <w:pPr>
        <w:rPr>
          <w:rFonts w:hint="eastAsia" w:ascii="宋体" w:hAnsi="宋体" w:cs="宋体"/>
          <w:bCs/>
          <w:color w:val="000000" w:themeColor="text1"/>
          <w:kern w:val="0"/>
          <w:sz w:val="24"/>
          <w14:textFill>
            <w14:solidFill>
              <w14:schemeClr w14:val="tx1"/>
            </w14:solidFill>
          </w14:textFill>
        </w:rPr>
      </w:pPr>
    </w:p>
    <w:p>
      <w:pPr>
        <w:rPr>
          <w:rFonts w:hint="eastAsia" w:ascii="宋体" w:hAnsi="宋体" w:cs="宋体"/>
          <w:bCs/>
          <w:color w:val="000000" w:themeColor="text1"/>
          <w:kern w:val="0"/>
          <w:sz w:val="24"/>
          <w14:textFill>
            <w14:solidFill>
              <w14:schemeClr w14:val="tx1"/>
            </w14:solidFill>
          </w14:textFill>
        </w:rPr>
      </w:pPr>
    </w:p>
    <w:p>
      <w:pPr>
        <w:pStyle w:val="17"/>
        <w:ind w:firstLine="482"/>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2.符合要求的财政部会同有关部门规定的有关证明文件（如有）</w:t>
      </w:r>
    </w:p>
    <w:p>
      <w:pP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5"/>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5"/>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41" w:name="OLE_LINK9"/>
      <w:r>
        <w:rPr>
          <w:rFonts w:hint="eastAsia" w:ascii="宋体" w:hAnsi="宋体" w:cs="宋体"/>
          <w:b/>
          <w:color w:val="000000" w:themeColor="text1"/>
          <w:sz w:val="28"/>
          <w:szCs w:val="28"/>
          <w14:textFill>
            <w14:solidFill>
              <w14:schemeClr w14:val="tx1"/>
            </w14:solidFill>
          </w14:textFill>
        </w:rPr>
        <w:t>证明</w:t>
      </w:r>
      <w:bookmarkEnd w:id="41"/>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2"/>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如法定代表人未在投标单位缴纳社保，则还需提供缴纳社保的公司与投标单位的相关关联关系说明。</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42" w:name="OLE_LINK10"/>
      <w:r>
        <w:rPr>
          <w:rFonts w:hint="eastAsia" w:ascii="宋体" w:hAnsi="宋体" w:cs="宋体"/>
          <w:b/>
          <w:color w:val="000000" w:themeColor="text1"/>
          <w:sz w:val="28"/>
          <w:szCs w:val="28"/>
          <w14:textFill>
            <w14:solidFill>
              <w14:schemeClr w14:val="tx1"/>
            </w14:solidFill>
          </w14:textFill>
        </w:rPr>
        <w:t>股权关系证明</w:t>
      </w:r>
      <w:bookmarkEnd w:id="42"/>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（通过国家企业信用信息公示系统(https://www.gsxt.gov.cn/index.html）、或机关赋码和事业单位登记管理平台（https://gjsy.scopsr.gov.cn/tzgg/)、或全国社会组织信用信息公示平台（https://xxgs.chinanpo.mca.gov.cn/gsxt/newList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18"/>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spacing w:line="360" w:lineRule="auto"/>
        <w:rPr>
          <w:color w:val="000000" w:themeColor="text1"/>
          <w:lang w:val="fr-CH"/>
          <w14:textFill>
            <w14:solidFill>
              <w14:schemeClr w14:val="tx1"/>
            </w14:solidFill>
          </w14:textFill>
        </w:rPr>
      </w:pP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项目实施方案；</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质量保障措施及方案；</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项目重难点分析及相关的合理化建议；</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项目完成（服务期满）后的服务承诺；</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3"/>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35"/>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43" w:name="_Toc6251"/>
      <w:bookmarkStart w:id="44" w:name="_Toc742"/>
      <w:r>
        <w:rPr>
          <w:rFonts w:hint="eastAsia" w:ascii="宋体" w:hAnsi="宋体" w:cs="宋体"/>
          <w:b/>
          <w:bCs/>
          <w:color w:val="000000" w:themeColor="text1"/>
          <w:sz w:val="24"/>
          <w14:textFill>
            <w14:solidFill>
              <w14:schemeClr w14:val="tx1"/>
            </w14:solidFill>
          </w14:textFill>
        </w:rPr>
        <w:t>附件：相关政策</w:t>
      </w:r>
      <w:bookmarkEnd w:id="43"/>
      <w:bookmarkEnd w:id="44"/>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2"/>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2"/>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2"/>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18"/>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28"/>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28"/>
              <w:jc w:val="center"/>
              <w:rPr>
                <w:rFonts w:hint="eastAsia"/>
                <w:color w:val="000000" w:themeColor="text1"/>
                <w:sz w:val="24"/>
                <w:szCs w:val="24"/>
                <w14:textFill>
                  <w14:solidFill>
                    <w14:schemeClr w14:val="tx1"/>
                  </w14:solidFill>
                </w14:textFill>
              </w:rPr>
            </w:pPr>
          </w:p>
          <w:p>
            <w:pPr>
              <w:pStyle w:val="28"/>
              <w:jc w:val="center"/>
              <w:rPr>
                <w:rFonts w:hint="eastAsia"/>
                <w:color w:val="000000" w:themeColor="text1"/>
                <w:sz w:val="24"/>
                <w:szCs w:val="24"/>
                <w14:textFill>
                  <w14:solidFill>
                    <w14:schemeClr w14:val="tx1"/>
                  </w14:solidFill>
                </w14:textFill>
              </w:rPr>
            </w:pPr>
          </w:p>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2"/>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5"/>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4"/>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45" w:name="sendNo"/>
      <w:r>
        <w:rPr>
          <w:rFonts w:hint="eastAsia"/>
          <w:color w:val="000000" w:themeColor="text1"/>
          <w14:textFill>
            <w14:solidFill>
              <w14:schemeClr w14:val="tx1"/>
            </w14:solidFill>
          </w14:textFill>
        </w:rPr>
        <w:t>财库〔</w:t>
      </w:r>
      <w:bookmarkEnd w:id="45"/>
      <w:r>
        <w:rPr>
          <w:rFonts w:hint="eastAsia"/>
          <w:color w:val="000000" w:themeColor="text1"/>
          <w14:textFill>
            <w14:solidFill>
              <w14:schemeClr w14:val="tx1"/>
            </w14:solidFill>
          </w14:textFill>
        </w:rPr>
        <w:t>2017〕141号</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46"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6"/>
      <w:r>
        <w:rPr>
          <w:rFonts w:hint="eastAsia"/>
          <w:color w:val="000000" w:themeColor="text1"/>
          <w14:textFill>
            <w14:solidFill>
              <w14:schemeClr w14:val="tx1"/>
            </w14:solidFill>
          </w14:textFill>
        </w:rPr>
        <w:t>：</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4"/>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4"/>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29"/>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29"/>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0"/>
          <w:rFonts w:hint="eastAsia"/>
          <w:b/>
          <w:bCs/>
          <w:color w:val="000000" w:themeColor="text1"/>
          <w14:textFill>
            <w14:solidFill>
              <w14:schemeClr w14:val="tx1"/>
            </w14:solidFill>
          </w14:textFill>
        </w:rPr>
        <w:t>残疾人福利性单位声明函</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本单位对上述声明的真实性负责。如有虚假，将依法承担相应责任。</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29"/>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单位名称（盖章）：</w:t>
      </w:r>
    </w:p>
    <w:p>
      <w:pPr>
        <w:pStyle w:val="29"/>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0"/>
          <w:rFonts w:hint="eastAsia"/>
          <w:color w:val="000000" w:themeColor="text1"/>
          <w14:textFill>
            <w14:solidFill>
              <w14:schemeClr w14:val="tx1"/>
            </w14:solidFill>
          </w14:textFill>
        </w:rPr>
        <w:t>日 期：</w:t>
      </w:r>
    </w:p>
    <w:p>
      <w:pPr>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widowControl/>
        <w:tabs>
          <w:tab w:val="left" w:pos="640"/>
          <w:tab w:val="left" w:pos="840"/>
        </w:tabs>
        <w:spacing w:line="360" w:lineRule="auto"/>
        <w:ind w:right="26"/>
        <w:textAlignment w:val="bottom"/>
        <w:rPr>
          <w:rStyle w:val="30"/>
          <w:rFonts w:hint="eastAsia" w:ascii="宋体" w:hAnsi="宋体" w:cs="宋体"/>
          <w:bCs/>
          <w:color w:val="000000" w:themeColor="text1"/>
          <w:sz w:val="24"/>
          <w14:textFill>
            <w14:solidFill>
              <w14:schemeClr w14:val="tx1"/>
            </w14:solidFill>
          </w14:textFill>
        </w:rPr>
      </w:pPr>
      <w:r>
        <w:rPr>
          <w:rStyle w:val="30"/>
          <w:rFonts w:hint="eastAsia" w:ascii="宋体" w:hAnsi="宋体" w:cs="宋体"/>
          <w:bCs/>
          <w:color w:val="000000" w:themeColor="text1"/>
          <w:sz w:val="24"/>
          <w14:textFill>
            <w14:solidFill>
              <w14:schemeClr w14:val="tx1"/>
            </w14:solidFill>
          </w14:textFill>
        </w:rPr>
        <w:t>5，实施本国产品标准及相关政策的特殊规定</w:t>
      </w:r>
    </w:p>
    <w:p>
      <w:pPr>
        <w:pStyle w:val="29"/>
        <w:shd w:val="clear" w:color="auto" w:fill="FFFFFF"/>
        <w:spacing w:before="0" w:beforeAutospacing="0" w:after="0" w:afterAutospacing="0" w:line="360" w:lineRule="auto"/>
        <w:ind w:firstLine="624"/>
        <w:jc w:val="both"/>
        <w:rPr>
          <w:rStyle w:val="30"/>
          <w:rFonts w:hint="eastAsia"/>
          <w:bCs/>
          <w:color w:val="000000" w:themeColor="text1"/>
          <w14:textFill>
            <w14:solidFill>
              <w14:schemeClr w14:val="tx1"/>
            </w14:solidFill>
          </w14:textFill>
        </w:rPr>
      </w:pPr>
      <w:r>
        <w:rPr>
          <w:rStyle w:val="30"/>
          <w:rFonts w:hint="eastAsia"/>
          <w:bCs/>
          <w:color w:val="000000" w:themeColor="text1"/>
          <w14:textFill>
            <w14:solidFill>
              <w14:schemeClr w14:val="tx1"/>
            </w14:solidFill>
          </w14:textFill>
        </w:rPr>
        <w:t>关于贯彻落实《国务院办公厅关于在政府采购中实施本国产品标准及相关政策的通知》的意见http://gks.mof.gov.cn/guizhangzhidu/202512/t20251219_3979568.htm</w:t>
      </w:r>
    </w:p>
    <w:p>
      <w:pPr>
        <w:pStyle w:val="29"/>
        <w:shd w:val="clear" w:color="auto" w:fill="FFFFFF"/>
        <w:spacing w:before="0" w:beforeAutospacing="0" w:after="0" w:afterAutospacing="0" w:line="360" w:lineRule="auto"/>
        <w:ind w:firstLine="624"/>
        <w:jc w:val="both"/>
        <w:rPr>
          <w:rStyle w:val="30"/>
          <w:rFonts w:hint="eastAsia"/>
          <w:bCs/>
          <w:color w:val="000000" w:themeColor="text1"/>
          <w14:textFill>
            <w14:solidFill>
              <w14:schemeClr w14:val="tx1"/>
            </w14:solidFill>
          </w14:textFill>
        </w:rPr>
      </w:pPr>
    </w:p>
    <w:p>
      <w:pPr>
        <w:pStyle w:val="29"/>
        <w:shd w:val="clear" w:color="auto" w:fill="FFFFFF"/>
        <w:spacing w:before="0" w:beforeAutospacing="0" w:after="0" w:afterAutospacing="0" w:line="360" w:lineRule="auto"/>
        <w:ind w:firstLine="624"/>
        <w:jc w:val="both"/>
        <w:rPr>
          <w:rStyle w:val="30"/>
          <w:rFonts w:hint="eastAsia"/>
          <w:bCs/>
          <w:color w:val="000000" w:themeColor="text1"/>
          <w14:textFill>
            <w14:solidFill>
              <w14:schemeClr w14:val="tx1"/>
            </w14:solidFill>
          </w14:textFill>
        </w:rPr>
      </w:pPr>
      <w:r>
        <w:rPr>
          <w:rStyle w:val="30"/>
          <w:rFonts w:hint="eastAsia"/>
          <w:bCs/>
          <w:color w:val="000000" w:themeColor="text1"/>
          <w14:textFill>
            <w14:solidFill>
              <w14:schemeClr w14:val="tx1"/>
            </w14:solidFill>
          </w14:textFill>
        </w:rPr>
        <w:t>国务院办公厅印发《关于在政府采购中实施本国产品标准及相关政策的通知》</w:t>
      </w:r>
    </w:p>
    <w:p>
      <w:pPr>
        <w:pStyle w:val="29"/>
        <w:shd w:val="clear" w:color="auto" w:fill="FFFFFF"/>
        <w:spacing w:before="0" w:beforeAutospacing="0" w:after="0" w:afterAutospacing="0" w:line="360" w:lineRule="auto"/>
        <w:ind w:firstLine="624"/>
        <w:jc w:val="both"/>
        <w:rPr>
          <w:rStyle w:val="30"/>
          <w:rFonts w:hint="eastAsia"/>
          <w:bCs/>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"http://www.mof.gov.cn/zhengwuxinxi/caizhengxinwen/202509/t20250930_3973725.htm" </w:instrText>
      </w:r>
      <w:r>
        <w:rPr>
          <w:color w:val="000000" w:themeColor="text1"/>
          <w14:textFill>
            <w14:solidFill>
              <w14:schemeClr w14:val="tx1"/>
            </w14:solidFill>
          </w14:textFill>
        </w:rPr>
        <w:fldChar w:fldCharType="separate"/>
      </w:r>
      <w:r>
        <w:rPr>
          <w:rStyle w:val="30"/>
          <w:rFonts w:hint="eastAsia"/>
          <w:bCs/>
          <w:color w:val="000000" w:themeColor="text1"/>
          <w14:textFill>
            <w14:solidFill>
              <w14:schemeClr w14:val="tx1"/>
            </w14:solidFill>
          </w14:textFill>
        </w:rPr>
        <w:t>http://www.mof.gov.cn/zhengwuxinxi/caizhengxinwen/202509/t20250930_3973725.htm</w:t>
      </w:r>
      <w:r>
        <w:rPr>
          <w:rStyle w:val="30"/>
          <w:rFonts w:hint="eastAsia"/>
          <w:bCs/>
          <w:color w:val="000000" w:themeColor="text1"/>
          <w14:textFill>
            <w14:solidFill>
              <w14:schemeClr w14:val="tx1"/>
            </w14:solidFill>
          </w14:textFill>
        </w:rPr>
        <w:fldChar w:fldCharType="end"/>
      </w:r>
    </w:p>
    <w:p>
      <w:pPr>
        <w:pStyle w:val="29"/>
        <w:shd w:val="clear" w:color="auto" w:fill="FFFFFF"/>
        <w:spacing w:before="0" w:beforeAutospacing="0" w:after="0" w:afterAutospacing="0" w:line="360" w:lineRule="auto"/>
        <w:ind w:firstLine="624"/>
        <w:jc w:val="both"/>
        <w:rPr>
          <w:rStyle w:val="30"/>
          <w:rFonts w:hint="eastAsia"/>
          <w:bCs/>
          <w:color w:val="000000" w:themeColor="text1"/>
          <w14:textFill>
            <w14:solidFill>
              <w14:schemeClr w14:val="tx1"/>
            </w14:solidFill>
          </w14:textFill>
        </w:rPr>
      </w:pPr>
      <w:r>
        <w:rPr>
          <w:rStyle w:val="30"/>
          <w:rFonts w:hint="eastAsia"/>
          <w:bCs/>
          <w:color w:val="000000" w:themeColor="text1"/>
          <w14:textFill>
            <w14:solidFill>
              <w14:schemeClr w14:val="tx1"/>
            </w14:solidFill>
          </w14:textFill>
        </w:rPr>
        <w:t>广东省财政厅 广东省工业和信息化厅关于贯彻落实在政府采购中实施本国产品标准及相关政策的通知（粤财采购〔2026〕1号）https://czt.gd.gov.cn/zfcg/content/post_4845740.html</w:t>
      </w:r>
    </w:p>
    <w:p>
      <w:pPr>
        <w:pStyle w:val="29"/>
        <w:shd w:val="clear" w:color="auto" w:fill="FFFFFF"/>
        <w:spacing w:before="0" w:beforeAutospacing="0" w:after="0" w:afterAutospacing="0" w:line="360" w:lineRule="auto"/>
        <w:ind w:firstLine="624"/>
        <w:jc w:val="both"/>
        <w:rPr>
          <w:rStyle w:val="30"/>
          <w:rFonts w:hint="eastAsia"/>
          <w:bCs/>
          <w:color w:val="000000" w:themeColor="text1"/>
          <w14:textFill>
            <w14:solidFill>
              <w14:schemeClr w14:val="tx1"/>
            </w14:solidFill>
          </w14:textFill>
        </w:rPr>
      </w:pPr>
      <w:r>
        <w:rPr>
          <w:rStyle w:val="30"/>
          <w:rFonts w:hint="eastAsia"/>
          <w:bCs/>
          <w:color w:val="000000" w:themeColor="text1"/>
          <w14:textFill>
            <w14:solidFill>
              <w14:schemeClr w14:val="tx1"/>
            </w14:solidFill>
          </w14:textFill>
        </w:rPr>
        <w:t>深圳市财政局关于贯彻落实政府采购本国产品标准及相关政策的通知</w:t>
      </w:r>
    </w:p>
    <w:p>
      <w:pPr>
        <w:pStyle w:val="29"/>
        <w:shd w:val="clear" w:color="auto" w:fill="FFFFFF"/>
        <w:spacing w:before="0" w:beforeAutospacing="0" w:after="0" w:afterAutospacing="0" w:line="360" w:lineRule="auto"/>
        <w:ind w:firstLine="624"/>
        <w:jc w:val="both"/>
        <w:rPr>
          <w:rStyle w:val="30"/>
          <w:rFonts w:hint="eastAsia"/>
          <w:bCs/>
          <w:color w:val="000000" w:themeColor="text1"/>
          <w14:textFill>
            <w14:solidFill>
              <w14:schemeClr w14:val="tx1"/>
            </w14:solidFill>
          </w14:textFill>
        </w:rPr>
      </w:pPr>
      <w:r>
        <w:rPr>
          <w:rStyle w:val="30"/>
          <w:rFonts w:hint="eastAsia"/>
          <w:bCs/>
          <w:color w:val="000000" w:themeColor="text1"/>
          <w14:textFill>
            <w14:solidFill>
              <w14:schemeClr w14:val="tx1"/>
            </w14:solidFill>
          </w14:textFill>
        </w:rPr>
        <w:t>https://www.sz.gov.cn/cn/xxgk/zfxxgj/tzgg/content/post_12577672.html</w:t>
      </w:r>
    </w:p>
    <w:p>
      <w:pPr>
        <w:pStyle w:val="29"/>
        <w:shd w:val="clear" w:color="auto" w:fill="FFFFFF"/>
        <w:spacing w:before="0" w:beforeAutospacing="0" w:after="0" w:afterAutospacing="0" w:line="360" w:lineRule="auto"/>
        <w:ind w:firstLine="624"/>
        <w:jc w:val="both"/>
        <w:rPr>
          <w:rStyle w:val="30"/>
          <w:rFonts w:hint="eastAsia"/>
          <w:bCs/>
          <w:color w:val="000000" w:themeColor="text1"/>
          <w14:textFill>
            <w14:solidFill>
              <w14:schemeClr w14:val="tx1"/>
            </w14:solidFill>
          </w14:textFill>
        </w:rPr>
      </w:pPr>
      <w:r>
        <w:rPr>
          <w:rStyle w:val="30"/>
          <w:rFonts w:hint="eastAsia"/>
          <w:bCs/>
          <w:color w:val="000000" w:themeColor="text1"/>
          <w14:textFill>
            <w14:solidFill>
              <w14:schemeClr w14:val="tx1"/>
            </w14:solidFill>
          </w14:textFill>
        </w:rPr>
        <w:t>财政部有关负责人就《关于在政府采购中实施本国产品标准及相关政策的通知》答记者问</w:t>
      </w:r>
    </w:p>
    <w:p>
      <w:pPr>
        <w:pStyle w:val="29"/>
        <w:shd w:val="clear" w:color="auto" w:fill="FFFFFF"/>
        <w:spacing w:before="0" w:beforeAutospacing="0" w:after="0" w:afterAutospacing="0" w:line="360" w:lineRule="auto"/>
        <w:ind w:firstLine="624"/>
        <w:jc w:val="both"/>
        <w:rPr>
          <w:rStyle w:val="30"/>
          <w:rFonts w:hint="eastAsia"/>
          <w:bCs/>
          <w:color w:val="000000" w:themeColor="text1"/>
          <w14:textFill>
            <w14:solidFill>
              <w14:schemeClr w14:val="tx1"/>
            </w14:solidFill>
          </w14:textFill>
        </w:rPr>
      </w:pPr>
      <w:r>
        <w:rPr>
          <w:rStyle w:val="30"/>
          <w:rFonts w:hint="eastAsia"/>
          <w:bCs/>
          <w:color w:val="000000" w:themeColor="text1"/>
          <w14:textFill>
            <w14:solidFill>
              <w14:schemeClr w14:val="tx1"/>
            </w14:solidFill>
          </w14:textFill>
        </w:rPr>
        <w:t>http://www.ccgp.gov.cn/zcfg/zcjd/202509/t20250930_25456987.htm</w:t>
      </w:r>
    </w:p>
    <w:p>
      <w:pPr>
        <w:pStyle w:val="17"/>
        <w:ind w:firstLine="480"/>
        <w:rPr>
          <w:rFonts w:hint="eastAsia"/>
          <w:color w:val="000000" w:themeColor="text1"/>
          <w:lang w:val="fr-CH"/>
          <w14:textFill>
            <w14:solidFill>
              <w14:schemeClr w14:val="tx1"/>
            </w14:solidFill>
          </w14:textFill>
        </w:rPr>
      </w:pPr>
    </w:p>
    <w:p>
      <w:pPr>
        <w:widowControl/>
        <w:tabs>
          <w:tab w:val="left" w:pos="640"/>
          <w:tab w:val="left" w:pos="840"/>
        </w:tabs>
        <w:spacing w:line="360" w:lineRule="auto"/>
        <w:ind w:right="26"/>
        <w:textAlignment w:val="bottom"/>
        <w:rPr>
          <w:rStyle w:val="30"/>
          <w:rFonts w:hint="eastAsia" w:ascii="宋体" w:hAnsi="宋体" w:cs="宋体"/>
          <w:bCs/>
          <w:color w:val="000000" w:themeColor="text1"/>
          <w:sz w:val="24"/>
          <w14:textFill>
            <w14:solidFill>
              <w14:schemeClr w14:val="tx1"/>
            </w14:solidFill>
          </w14:textFill>
        </w:rPr>
      </w:pPr>
      <w:r>
        <w:rPr>
          <w:rStyle w:val="30"/>
          <w:rFonts w:hint="eastAsia" w:ascii="宋体" w:hAnsi="宋体" w:cs="宋体"/>
          <w:bCs/>
          <w:color w:val="000000" w:themeColor="text1"/>
          <w:sz w:val="24"/>
          <w14:textFill>
            <w14:solidFill>
              <w14:schemeClr w14:val="tx1"/>
            </w14:solidFill>
          </w14:textFill>
        </w:rPr>
        <w:t>6</w:t>
      </w:r>
      <w:r>
        <w:rPr>
          <w:rStyle w:val="30"/>
          <w:rFonts w:hint="eastAsia" w:ascii="宋体" w:hAnsi="宋体" w:cs="宋体"/>
          <w:bCs/>
          <w:color w:val="000000" w:themeColor="text1"/>
          <w:sz w:val="24"/>
          <w:lang w:eastAsia="zh-CN"/>
          <w14:textFill>
            <w14:solidFill>
              <w14:schemeClr w14:val="tx1"/>
            </w14:solidFill>
          </w14:textFill>
        </w:rPr>
        <w:t>，</w:t>
      </w:r>
      <w:r>
        <w:rPr>
          <w:rStyle w:val="30"/>
          <w:rFonts w:hint="eastAsia" w:ascii="宋体" w:hAnsi="宋体" w:cs="宋体"/>
          <w:bCs/>
          <w:color w:val="000000" w:themeColor="text1"/>
          <w:sz w:val="24"/>
          <w14:textFill>
            <w14:solidFill>
              <w14:schemeClr w14:val="tx1"/>
            </w14:solidFill>
          </w14:textFill>
        </w:rPr>
        <w:t>关于落实执行《深圳市财政局关于大力推进政府采购订单融资支持企业发展有关事宜的通知》的通知</w:t>
      </w:r>
    </w:p>
    <w:p>
      <w:pPr>
        <w:pStyle w:val="29"/>
        <w:shd w:val="clear" w:color="auto" w:fill="FFFFFF"/>
        <w:spacing w:before="0" w:beforeAutospacing="0" w:after="0" w:afterAutospacing="0" w:line="360" w:lineRule="auto"/>
        <w:ind w:firstLine="624"/>
        <w:jc w:val="both"/>
        <w:rPr>
          <w:rStyle w:val="30"/>
          <w:rFonts w:ascii="Times New Roman" w:hAnsi="Times New Roman" w:cs="Times New Roman"/>
          <w:bCs/>
          <w:color w:val="000000" w:themeColor="text1"/>
          <w14:textFill>
            <w14:solidFill>
              <w14:schemeClr w14:val="tx1"/>
            </w14:solidFill>
          </w14:textFill>
        </w:rPr>
      </w:pPr>
      <w:r>
        <w:rPr>
          <w:rStyle w:val="30"/>
          <w:rFonts w:hint="eastAsia" w:ascii="Times New Roman" w:hAnsi="Times New Roman" w:cs="Times New Roman"/>
          <w:bCs/>
          <w:color w:val="000000" w:themeColor="text1"/>
          <w14:textFill>
            <w14:solidFill>
              <w14:schemeClr w14:val="tx1"/>
            </w14:solidFill>
          </w14:textFill>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w:t>
      </w:r>
      <w:r>
        <w:rPr>
          <w:rStyle w:val="30"/>
          <w:rFonts w:hint="eastAsia" w:ascii="Times New Roman" w:hAnsi="Times New Roman" w:cs="Times New Roman"/>
          <w:bCs/>
          <w:color w:val="000000" w:themeColor="text1"/>
          <w:lang w:eastAsia="zh-CN"/>
          <w14:textFill>
            <w14:solidFill>
              <w14:schemeClr w14:val="tx1"/>
            </w14:solidFill>
          </w14:textFill>
        </w:rPr>
        <w:t>：</w:t>
      </w:r>
      <w:r>
        <w:rPr>
          <w:rStyle w:val="30"/>
          <w:rFonts w:hint="eastAsia" w:ascii="Times New Roman" w:hAnsi="Times New Roman" w:cs="Times New Roman"/>
          <w:bCs/>
          <w:color w:val="000000" w:themeColor="text1"/>
          <w14:textFill>
            <w14:solidFill>
              <w14:schemeClr w14:val="tx1"/>
            </w14:solidFill>
          </w14:textFill>
        </w:rPr>
        <w:t>https://finance.szexgrp.com/gtm/web/guarantee/#/）。</w:t>
      </w:r>
    </w:p>
    <w:p>
      <w:pPr>
        <w:rPr>
          <w:color w:val="000000" w:themeColor="text1"/>
          <w14:textFill>
            <w14:solidFill>
              <w14:schemeClr w14:val="tx1"/>
            </w14:solidFill>
          </w14:textFill>
        </w:rPr>
      </w:pPr>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200A2FAF"/>
    <w:multiLevelType w:val="singleLevel"/>
    <w:tmpl w:val="200A2FAF"/>
    <w:lvl w:ilvl="0" w:tentative="0">
      <w:start w:val="5"/>
      <w:numFmt w:val="decimal"/>
      <w:suff w:val="nothing"/>
      <w:lvlText w:val="（%1）"/>
      <w:lvlJc w:val="left"/>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1">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2">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2"/>
  </w:num>
  <w:num w:numId="2">
    <w:abstractNumId w:val="4"/>
  </w:num>
  <w:num w:numId="3">
    <w:abstractNumId w:val="2"/>
  </w:num>
  <w:num w:numId="4">
    <w:abstractNumId w:val="8"/>
  </w:num>
  <w:num w:numId="5">
    <w:abstractNumId w:val="9"/>
  </w:num>
  <w:num w:numId="6">
    <w:abstractNumId w:val="3"/>
  </w:num>
  <w:num w:numId="7">
    <w:abstractNumId w:val="5"/>
  </w:num>
  <w:num w:numId="8">
    <w:abstractNumId w:val="1"/>
  </w:num>
  <w:num w:numId="9">
    <w:abstractNumId w:val="0"/>
  </w:num>
  <w:num w:numId="10">
    <w:abstractNumId w:val="6"/>
  </w:num>
  <w:num w:numId="11">
    <w:abstractNumId w:val="1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1C60B0"/>
    <w:rsid w:val="003A4DB8"/>
    <w:rsid w:val="004669E7"/>
    <w:rsid w:val="007A5C1B"/>
    <w:rsid w:val="008D4EE8"/>
    <w:rsid w:val="00983EB9"/>
    <w:rsid w:val="00A11D33"/>
    <w:rsid w:val="00C93875"/>
    <w:rsid w:val="00CD1788"/>
    <w:rsid w:val="00D3429D"/>
    <w:rsid w:val="00D812E0"/>
    <w:rsid w:val="00E747E3"/>
    <w:rsid w:val="00F46D15"/>
    <w:rsid w:val="00F72CA9"/>
    <w:rsid w:val="00FE0119"/>
    <w:rsid w:val="00FF40AC"/>
    <w:rsid w:val="010A06C2"/>
    <w:rsid w:val="01145951"/>
    <w:rsid w:val="019D7341"/>
    <w:rsid w:val="01A7647D"/>
    <w:rsid w:val="01C54B55"/>
    <w:rsid w:val="01EF572E"/>
    <w:rsid w:val="023A109F"/>
    <w:rsid w:val="02477318"/>
    <w:rsid w:val="02AA1A84"/>
    <w:rsid w:val="02B81FC4"/>
    <w:rsid w:val="032046E6"/>
    <w:rsid w:val="03337D64"/>
    <w:rsid w:val="036D7252"/>
    <w:rsid w:val="03AF786B"/>
    <w:rsid w:val="03BB1D6C"/>
    <w:rsid w:val="03E5503B"/>
    <w:rsid w:val="040C3CF2"/>
    <w:rsid w:val="049A4077"/>
    <w:rsid w:val="04AC3B33"/>
    <w:rsid w:val="051C6491"/>
    <w:rsid w:val="05525F81"/>
    <w:rsid w:val="05D438B9"/>
    <w:rsid w:val="062956B3"/>
    <w:rsid w:val="06456265"/>
    <w:rsid w:val="07195727"/>
    <w:rsid w:val="076B39F3"/>
    <w:rsid w:val="078B6B9E"/>
    <w:rsid w:val="07AA637F"/>
    <w:rsid w:val="07B1439D"/>
    <w:rsid w:val="080F08D8"/>
    <w:rsid w:val="084F5179"/>
    <w:rsid w:val="08B374B6"/>
    <w:rsid w:val="08BC0C40"/>
    <w:rsid w:val="08C43471"/>
    <w:rsid w:val="08E92ED7"/>
    <w:rsid w:val="08EF6AC2"/>
    <w:rsid w:val="09185F2E"/>
    <w:rsid w:val="097815DF"/>
    <w:rsid w:val="09842C00"/>
    <w:rsid w:val="098E31D7"/>
    <w:rsid w:val="09A60DC8"/>
    <w:rsid w:val="09D57431"/>
    <w:rsid w:val="09D9508C"/>
    <w:rsid w:val="0A3D797F"/>
    <w:rsid w:val="0A3E54A5"/>
    <w:rsid w:val="0A7F6940"/>
    <w:rsid w:val="0ABF2205"/>
    <w:rsid w:val="0B1D330C"/>
    <w:rsid w:val="0B2B77D7"/>
    <w:rsid w:val="0B472137"/>
    <w:rsid w:val="0BA12829"/>
    <w:rsid w:val="0BBE527C"/>
    <w:rsid w:val="0BCB720C"/>
    <w:rsid w:val="0BE85AA6"/>
    <w:rsid w:val="0BF05890"/>
    <w:rsid w:val="0C23344D"/>
    <w:rsid w:val="0C2506CA"/>
    <w:rsid w:val="0C3B7EEE"/>
    <w:rsid w:val="0CA03970"/>
    <w:rsid w:val="0CB97F98"/>
    <w:rsid w:val="0D0B2017"/>
    <w:rsid w:val="0D896A37"/>
    <w:rsid w:val="0D9F44AC"/>
    <w:rsid w:val="0DFE5677"/>
    <w:rsid w:val="0E2624D8"/>
    <w:rsid w:val="0E4219DB"/>
    <w:rsid w:val="0EBF70A2"/>
    <w:rsid w:val="0F6B6D3C"/>
    <w:rsid w:val="0FAB0EE6"/>
    <w:rsid w:val="0FDC3796"/>
    <w:rsid w:val="10947BCD"/>
    <w:rsid w:val="11286567"/>
    <w:rsid w:val="1158509E"/>
    <w:rsid w:val="11E20D72"/>
    <w:rsid w:val="12096398"/>
    <w:rsid w:val="12267AD6"/>
    <w:rsid w:val="12383FA4"/>
    <w:rsid w:val="124318AA"/>
    <w:rsid w:val="12C8735C"/>
    <w:rsid w:val="12ED7A68"/>
    <w:rsid w:val="130B585F"/>
    <w:rsid w:val="13436DD5"/>
    <w:rsid w:val="137B7981"/>
    <w:rsid w:val="138F7287"/>
    <w:rsid w:val="13AB3BAB"/>
    <w:rsid w:val="13CB5D21"/>
    <w:rsid w:val="13FC6308"/>
    <w:rsid w:val="140B4717"/>
    <w:rsid w:val="148443FC"/>
    <w:rsid w:val="149F2FE4"/>
    <w:rsid w:val="14DC4208"/>
    <w:rsid w:val="14F670A8"/>
    <w:rsid w:val="15853F88"/>
    <w:rsid w:val="15FD3709"/>
    <w:rsid w:val="16216458"/>
    <w:rsid w:val="167A7865"/>
    <w:rsid w:val="168B1A72"/>
    <w:rsid w:val="16C358AF"/>
    <w:rsid w:val="16D637FC"/>
    <w:rsid w:val="16F76FA7"/>
    <w:rsid w:val="17253C74"/>
    <w:rsid w:val="172A3039"/>
    <w:rsid w:val="1773288D"/>
    <w:rsid w:val="1783099B"/>
    <w:rsid w:val="178D1D96"/>
    <w:rsid w:val="17966920"/>
    <w:rsid w:val="179F4FAA"/>
    <w:rsid w:val="17B10BE3"/>
    <w:rsid w:val="180B1483"/>
    <w:rsid w:val="1864257A"/>
    <w:rsid w:val="189219F1"/>
    <w:rsid w:val="18B74823"/>
    <w:rsid w:val="18E37943"/>
    <w:rsid w:val="191C4C03"/>
    <w:rsid w:val="19670574"/>
    <w:rsid w:val="19946E8F"/>
    <w:rsid w:val="199E386A"/>
    <w:rsid w:val="19ED4FB2"/>
    <w:rsid w:val="19F416DC"/>
    <w:rsid w:val="19FDD9BF"/>
    <w:rsid w:val="1A06729A"/>
    <w:rsid w:val="1A345F7C"/>
    <w:rsid w:val="1A790C41"/>
    <w:rsid w:val="1A7F3E24"/>
    <w:rsid w:val="1ABC044C"/>
    <w:rsid w:val="1B982FF3"/>
    <w:rsid w:val="1C224C26"/>
    <w:rsid w:val="1C450915"/>
    <w:rsid w:val="1CFE203E"/>
    <w:rsid w:val="1D7B69ED"/>
    <w:rsid w:val="1D864D41"/>
    <w:rsid w:val="1DDC2BB3"/>
    <w:rsid w:val="1DEF0B38"/>
    <w:rsid w:val="1DF92FB2"/>
    <w:rsid w:val="1E214A6A"/>
    <w:rsid w:val="1E5A2124"/>
    <w:rsid w:val="1EC575F3"/>
    <w:rsid w:val="1F073C5F"/>
    <w:rsid w:val="1F78690B"/>
    <w:rsid w:val="1F7F5EEC"/>
    <w:rsid w:val="1FEA7C53"/>
    <w:rsid w:val="209F2A54"/>
    <w:rsid w:val="20D44015"/>
    <w:rsid w:val="20D73ACA"/>
    <w:rsid w:val="21671CF6"/>
    <w:rsid w:val="219E6AFD"/>
    <w:rsid w:val="222F59A7"/>
    <w:rsid w:val="22486A69"/>
    <w:rsid w:val="22625D7D"/>
    <w:rsid w:val="228D764F"/>
    <w:rsid w:val="22EC725D"/>
    <w:rsid w:val="23CD1D77"/>
    <w:rsid w:val="23E7405F"/>
    <w:rsid w:val="24281889"/>
    <w:rsid w:val="24961D0D"/>
    <w:rsid w:val="24B403E6"/>
    <w:rsid w:val="24C90A33"/>
    <w:rsid w:val="25EC437E"/>
    <w:rsid w:val="26395046"/>
    <w:rsid w:val="26E054C2"/>
    <w:rsid w:val="2781787A"/>
    <w:rsid w:val="27CE5C62"/>
    <w:rsid w:val="27DA4607"/>
    <w:rsid w:val="27EA37A1"/>
    <w:rsid w:val="28355CE1"/>
    <w:rsid w:val="284C045D"/>
    <w:rsid w:val="28687E65"/>
    <w:rsid w:val="2879797C"/>
    <w:rsid w:val="28801FE8"/>
    <w:rsid w:val="28846049"/>
    <w:rsid w:val="289525F4"/>
    <w:rsid w:val="28984501"/>
    <w:rsid w:val="28A75B4C"/>
    <w:rsid w:val="28B9246E"/>
    <w:rsid w:val="292C2C40"/>
    <w:rsid w:val="29540304"/>
    <w:rsid w:val="2987256D"/>
    <w:rsid w:val="298F4F7D"/>
    <w:rsid w:val="29A5570A"/>
    <w:rsid w:val="29A63C37"/>
    <w:rsid w:val="2A4C2E6E"/>
    <w:rsid w:val="2A921963"/>
    <w:rsid w:val="2A9F38E6"/>
    <w:rsid w:val="2AD03A9F"/>
    <w:rsid w:val="2B577D1D"/>
    <w:rsid w:val="2B794137"/>
    <w:rsid w:val="2B8925CC"/>
    <w:rsid w:val="2BFA5278"/>
    <w:rsid w:val="2C0E487F"/>
    <w:rsid w:val="2C17011F"/>
    <w:rsid w:val="2C2B3086"/>
    <w:rsid w:val="2C525562"/>
    <w:rsid w:val="2C610E53"/>
    <w:rsid w:val="2CA13945"/>
    <w:rsid w:val="2CC24314"/>
    <w:rsid w:val="2D9B2143"/>
    <w:rsid w:val="2D9E319D"/>
    <w:rsid w:val="2DFD6BB3"/>
    <w:rsid w:val="2DFE6E37"/>
    <w:rsid w:val="2E837BD7"/>
    <w:rsid w:val="2F6B1FE9"/>
    <w:rsid w:val="2F762E67"/>
    <w:rsid w:val="2FF67B04"/>
    <w:rsid w:val="3025663B"/>
    <w:rsid w:val="3075313F"/>
    <w:rsid w:val="30B005FB"/>
    <w:rsid w:val="30DA5678"/>
    <w:rsid w:val="312E5FEB"/>
    <w:rsid w:val="31877EA4"/>
    <w:rsid w:val="31C76D4C"/>
    <w:rsid w:val="31D10829"/>
    <w:rsid w:val="31D356B0"/>
    <w:rsid w:val="324A23F5"/>
    <w:rsid w:val="329B4993"/>
    <w:rsid w:val="32DC7485"/>
    <w:rsid w:val="32DF2CE8"/>
    <w:rsid w:val="33323549"/>
    <w:rsid w:val="33462B51"/>
    <w:rsid w:val="337C47C4"/>
    <w:rsid w:val="339C4E66"/>
    <w:rsid w:val="342A6E92"/>
    <w:rsid w:val="343155AF"/>
    <w:rsid w:val="34677222"/>
    <w:rsid w:val="349A75F8"/>
    <w:rsid w:val="34DF500B"/>
    <w:rsid w:val="34EB7E53"/>
    <w:rsid w:val="34FC3DB1"/>
    <w:rsid w:val="35156C7E"/>
    <w:rsid w:val="351647A5"/>
    <w:rsid w:val="35213875"/>
    <w:rsid w:val="353F5AA9"/>
    <w:rsid w:val="35586B6B"/>
    <w:rsid w:val="35A3428A"/>
    <w:rsid w:val="35E11256"/>
    <w:rsid w:val="360016DD"/>
    <w:rsid w:val="36034D29"/>
    <w:rsid w:val="365E5169"/>
    <w:rsid w:val="376F634F"/>
    <w:rsid w:val="377063EE"/>
    <w:rsid w:val="37DFD236"/>
    <w:rsid w:val="37ED6FC5"/>
    <w:rsid w:val="38082ACA"/>
    <w:rsid w:val="38314519"/>
    <w:rsid w:val="38336D98"/>
    <w:rsid w:val="394A3E0E"/>
    <w:rsid w:val="394B1EE3"/>
    <w:rsid w:val="39D0586A"/>
    <w:rsid w:val="3A257964"/>
    <w:rsid w:val="3A3A5061"/>
    <w:rsid w:val="3A4A561C"/>
    <w:rsid w:val="3A571AE7"/>
    <w:rsid w:val="3A790053"/>
    <w:rsid w:val="3A8D375B"/>
    <w:rsid w:val="3A9E14C4"/>
    <w:rsid w:val="3AAA60BB"/>
    <w:rsid w:val="3AD66EB0"/>
    <w:rsid w:val="3B1F6D9D"/>
    <w:rsid w:val="3B8763FC"/>
    <w:rsid w:val="3BCD19E7"/>
    <w:rsid w:val="3C17152E"/>
    <w:rsid w:val="3C371BD0"/>
    <w:rsid w:val="3C4B567C"/>
    <w:rsid w:val="3C6C6886"/>
    <w:rsid w:val="3CAB3899"/>
    <w:rsid w:val="3CD25455"/>
    <w:rsid w:val="3CF14DC8"/>
    <w:rsid w:val="3D22462E"/>
    <w:rsid w:val="3D4B05F7"/>
    <w:rsid w:val="3D536F54"/>
    <w:rsid w:val="3D995F73"/>
    <w:rsid w:val="3DC37513"/>
    <w:rsid w:val="3E396CAE"/>
    <w:rsid w:val="3E3D0514"/>
    <w:rsid w:val="3E78202C"/>
    <w:rsid w:val="3EE71BEA"/>
    <w:rsid w:val="3F0F473E"/>
    <w:rsid w:val="3F2A1211"/>
    <w:rsid w:val="3F3901C3"/>
    <w:rsid w:val="3F88629F"/>
    <w:rsid w:val="3FB65AD9"/>
    <w:rsid w:val="3FBB4177"/>
    <w:rsid w:val="3FDFB467"/>
    <w:rsid w:val="3FE05723"/>
    <w:rsid w:val="3FF6131B"/>
    <w:rsid w:val="4031053A"/>
    <w:rsid w:val="40452C81"/>
    <w:rsid w:val="40844CB8"/>
    <w:rsid w:val="40CB28E7"/>
    <w:rsid w:val="412D2E42"/>
    <w:rsid w:val="42312C1E"/>
    <w:rsid w:val="42EB4309"/>
    <w:rsid w:val="43193DDE"/>
    <w:rsid w:val="43AE09CA"/>
    <w:rsid w:val="445826D6"/>
    <w:rsid w:val="44937BC0"/>
    <w:rsid w:val="44CD30D2"/>
    <w:rsid w:val="45132AAF"/>
    <w:rsid w:val="452F78E8"/>
    <w:rsid w:val="45687B0A"/>
    <w:rsid w:val="456D480A"/>
    <w:rsid w:val="45FB3C6E"/>
    <w:rsid w:val="46B81CA9"/>
    <w:rsid w:val="46BF00B8"/>
    <w:rsid w:val="48054931"/>
    <w:rsid w:val="487C41DD"/>
    <w:rsid w:val="487D4E0F"/>
    <w:rsid w:val="495B760C"/>
    <w:rsid w:val="498B5C77"/>
    <w:rsid w:val="49DF0B35"/>
    <w:rsid w:val="49FC5DE1"/>
    <w:rsid w:val="4A0D488A"/>
    <w:rsid w:val="4A677B24"/>
    <w:rsid w:val="4AA41473"/>
    <w:rsid w:val="4B232DA2"/>
    <w:rsid w:val="4C073ABA"/>
    <w:rsid w:val="4C63431C"/>
    <w:rsid w:val="4C637F6F"/>
    <w:rsid w:val="4C784EC6"/>
    <w:rsid w:val="4C9B2B0C"/>
    <w:rsid w:val="4D562C80"/>
    <w:rsid w:val="4D930C30"/>
    <w:rsid w:val="4D9E721C"/>
    <w:rsid w:val="4DAF6BE2"/>
    <w:rsid w:val="4E4C1E6E"/>
    <w:rsid w:val="4E676345"/>
    <w:rsid w:val="4E704ACE"/>
    <w:rsid w:val="4EC372F3"/>
    <w:rsid w:val="4EE554BC"/>
    <w:rsid w:val="4F2B1B4F"/>
    <w:rsid w:val="4F6208BA"/>
    <w:rsid w:val="4F710AFD"/>
    <w:rsid w:val="4F936CC6"/>
    <w:rsid w:val="4F9812E6"/>
    <w:rsid w:val="4FAC52CF"/>
    <w:rsid w:val="50011E81"/>
    <w:rsid w:val="501D6F9B"/>
    <w:rsid w:val="50402E5B"/>
    <w:rsid w:val="504D156B"/>
    <w:rsid w:val="505A5003"/>
    <w:rsid w:val="50655046"/>
    <w:rsid w:val="50D61560"/>
    <w:rsid w:val="511676E7"/>
    <w:rsid w:val="51625CF9"/>
    <w:rsid w:val="51932FAD"/>
    <w:rsid w:val="519F1952"/>
    <w:rsid w:val="522602C5"/>
    <w:rsid w:val="523227C6"/>
    <w:rsid w:val="52376968"/>
    <w:rsid w:val="524B1ADA"/>
    <w:rsid w:val="5268268C"/>
    <w:rsid w:val="52B508CE"/>
    <w:rsid w:val="52B551A5"/>
    <w:rsid w:val="536852EA"/>
    <w:rsid w:val="53A45945"/>
    <w:rsid w:val="53A6324B"/>
    <w:rsid w:val="54297BF9"/>
    <w:rsid w:val="54434FD7"/>
    <w:rsid w:val="549F7EBB"/>
    <w:rsid w:val="54BB7C66"/>
    <w:rsid w:val="553920BD"/>
    <w:rsid w:val="557650C0"/>
    <w:rsid w:val="558E2409"/>
    <w:rsid w:val="55B160F8"/>
    <w:rsid w:val="560721BC"/>
    <w:rsid w:val="561072C2"/>
    <w:rsid w:val="5622142A"/>
    <w:rsid w:val="56AF799E"/>
    <w:rsid w:val="56E322E1"/>
    <w:rsid w:val="56EB388B"/>
    <w:rsid w:val="572D5C52"/>
    <w:rsid w:val="573F96A4"/>
    <w:rsid w:val="576176AA"/>
    <w:rsid w:val="57822B16"/>
    <w:rsid w:val="579B7990"/>
    <w:rsid w:val="57A53A3A"/>
    <w:rsid w:val="57EE53E1"/>
    <w:rsid w:val="57FE4A8F"/>
    <w:rsid w:val="57FFF5E9"/>
    <w:rsid w:val="581E3FA7"/>
    <w:rsid w:val="582639F4"/>
    <w:rsid w:val="583D33C0"/>
    <w:rsid w:val="58F5454D"/>
    <w:rsid w:val="590B5B1F"/>
    <w:rsid w:val="590D1897"/>
    <w:rsid w:val="59691FED"/>
    <w:rsid w:val="59701E3C"/>
    <w:rsid w:val="597638E0"/>
    <w:rsid w:val="598C4EB2"/>
    <w:rsid w:val="59D46859"/>
    <w:rsid w:val="5A276988"/>
    <w:rsid w:val="5A6A06C9"/>
    <w:rsid w:val="5A7C1BE0"/>
    <w:rsid w:val="5AD54636"/>
    <w:rsid w:val="5BD55073"/>
    <w:rsid w:val="5C2C4F2D"/>
    <w:rsid w:val="5C7120A1"/>
    <w:rsid w:val="5CB52971"/>
    <w:rsid w:val="5CCC1A69"/>
    <w:rsid w:val="5CF27722"/>
    <w:rsid w:val="5D8F4F70"/>
    <w:rsid w:val="5DBC7D30"/>
    <w:rsid w:val="5DD30284"/>
    <w:rsid w:val="5DE27796"/>
    <w:rsid w:val="5DE616F6"/>
    <w:rsid w:val="5E5B30A5"/>
    <w:rsid w:val="5E7AD1AF"/>
    <w:rsid w:val="5E8545C5"/>
    <w:rsid w:val="5E8A5738"/>
    <w:rsid w:val="5EBF7398"/>
    <w:rsid w:val="5EE70977"/>
    <w:rsid w:val="5F5DE8BA"/>
    <w:rsid w:val="602045A6"/>
    <w:rsid w:val="60327E35"/>
    <w:rsid w:val="608B78E2"/>
    <w:rsid w:val="60DC361E"/>
    <w:rsid w:val="60DD4245"/>
    <w:rsid w:val="60E02F3A"/>
    <w:rsid w:val="61572249"/>
    <w:rsid w:val="616933C9"/>
    <w:rsid w:val="6171498D"/>
    <w:rsid w:val="61A15272"/>
    <w:rsid w:val="61BA6082"/>
    <w:rsid w:val="61BE5E24"/>
    <w:rsid w:val="61C4171F"/>
    <w:rsid w:val="61CA36F5"/>
    <w:rsid w:val="61F93300"/>
    <w:rsid w:val="61FB28C9"/>
    <w:rsid w:val="624A77E6"/>
    <w:rsid w:val="62854B94"/>
    <w:rsid w:val="629D1B4E"/>
    <w:rsid w:val="62DD6C75"/>
    <w:rsid w:val="631E435E"/>
    <w:rsid w:val="63213CF4"/>
    <w:rsid w:val="635DD0C5"/>
    <w:rsid w:val="637C7D45"/>
    <w:rsid w:val="63C1205A"/>
    <w:rsid w:val="63D86F45"/>
    <w:rsid w:val="64371EBE"/>
    <w:rsid w:val="64CA31F0"/>
    <w:rsid w:val="64D7429C"/>
    <w:rsid w:val="64E14962"/>
    <w:rsid w:val="64EA5182"/>
    <w:rsid w:val="65282833"/>
    <w:rsid w:val="652E26F9"/>
    <w:rsid w:val="653463FD"/>
    <w:rsid w:val="65366619"/>
    <w:rsid w:val="65727C4B"/>
    <w:rsid w:val="658554FB"/>
    <w:rsid w:val="658B6DC7"/>
    <w:rsid w:val="660B3602"/>
    <w:rsid w:val="66456B14"/>
    <w:rsid w:val="667C62AE"/>
    <w:rsid w:val="66AD4998"/>
    <w:rsid w:val="66BA7997"/>
    <w:rsid w:val="66E3C90E"/>
    <w:rsid w:val="6713087B"/>
    <w:rsid w:val="676A395C"/>
    <w:rsid w:val="679D64DC"/>
    <w:rsid w:val="67CD5013"/>
    <w:rsid w:val="68662D72"/>
    <w:rsid w:val="686E2322"/>
    <w:rsid w:val="68953657"/>
    <w:rsid w:val="68C0149A"/>
    <w:rsid w:val="68F77FD9"/>
    <w:rsid w:val="699658D9"/>
    <w:rsid w:val="69DD1CCD"/>
    <w:rsid w:val="69F331D1"/>
    <w:rsid w:val="69F33468"/>
    <w:rsid w:val="6A250690"/>
    <w:rsid w:val="6A5938E3"/>
    <w:rsid w:val="6A70612A"/>
    <w:rsid w:val="6AC124E1"/>
    <w:rsid w:val="6B2947D1"/>
    <w:rsid w:val="6B340F05"/>
    <w:rsid w:val="6B3D24B0"/>
    <w:rsid w:val="6BB87D88"/>
    <w:rsid w:val="6BE26BB3"/>
    <w:rsid w:val="6BE4195C"/>
    <w:rsid w:val="6BFF0DBE"/>
    <w:rsid w:val="6C57134F"/>
    <w:rsid w:val="6C621DCA"/>
    <w:rsid w:val="6C7C2B64"/>
    <w:rsid w:val="6D044131"/>
    <w:rsid w:val="6D617FAC"/>
    <w:rsid w:val="6D746AAD"/>
    <w:rsid w:val="6DBF643F"/>
    <w:rsid w:val="6DE704B1"/>
    <w:rsid w:val="6DF42BCE"/>
    <w:rsid w:val="6E315BD0"/>
    <w:rsid w:val="6E495542"/>
    <w:rsid w:val="6E7D42EE"/>
    <w:rsid w:val="6E8C55AB"/>
    <w:rsid w:val="6EBF162C"/>
    <w:rsid w:val="6ECD3B4B"/>
    <w:rsid w:val="6EF70BC7"/>
    <w:rsid w:val="6F3A0AB4"/>
    <w:rsid w:val="6F8C57B4"/>
    <w:rsid w:val="6FDB4045"/>
    <w:rsid w:val="6FE253D4"/>
    <w:rsid w:val="6FEBBF1D"/>
    <w:rsid w:val="703379DD"/>
    <w:rsid w:val="711C7DEE"/>
    <w:rsid w:val="712B6906"/>
    <w:rsid w:val="715A543E"/>
    <w:rsid w:val="71A87053"/>
    <w:rsid w:val="71B132B0"/>
    <w:rsid w:val="724F1FEB"/>
    <w:rsid w:val="727442DD"/>
    <w:rsid w:val="72AE77EF"/>
    <w:rsid w:val="72BB1F0C"/>
    <w:rsid w:val="73020FF3"/>
    <w:rsid w:val="737A10C9"/>
    <w:rsid w:val="737D789C"/>
    <w:rsid w:val="738FA84A"/>
    <w:rsid w:val="739048A5"/>
    <w:rsid w:val="744C72C0"/>
    <w:rsid w:val="744F0B5E"/>
    <w:rsid w:val="747F7695"/>
    <w:rsid w:val="7483115A"/>
    <w:rsid w:val="750E6C6B"/>
    <w:rsid w:val="751F7B40"/>
    <w:rsid w:val="752C0E9F"/>
    <w:rsid w:val="755F74C6"/>
    <w:rsid w:val="756E14B8"/>
    <w:rsid w:val="75AB759F"/>
    <w:rsid w:val="75CF06D9"/>
    <w:rsid w:val="75D1787A"/>
    <w:rsid w:val="75EB1A91"/>
    <w:rsid w:val="75FB6152"/>
    <w:rsid w:val="760065B4"/>
    <w:rsid w:val="76045978"/>
    <w:rsid w:val="76133B2A"/>
    <w:rsid w:val="767A350B"/>
    <w:rsid w:val="767E5A24"/>
    <w:rsid w:val="76A77C3C"/>
    <w:rsid w:val="77F205C7"/>
    <w:rsid w:val="77FC72FD"/>
    <w:rsid w:val="77FDCFCD"/>
    <w:rsid w:val="783E6762"/>
    <w:rsid w:val="78615304"/>
    <w:rsid w:val="787B2A9B"/>
    <w:rsid w:val="78C41FC5"/>
    <w:rsid w:val="78D76F87"/>
    <w:rsid w:val="79752E15"/>
    <w:rsid w:val="7999158E"/>
    <w:rsid w:val="7A08012D"/>
    <w:rsid w:val="7A17211E"/>
    <w:rsid w:val="7A856043"/>
    <w:rsid w:val="7AA716F4"/>
    <w:rsid w:val="7AE73BD4"/>
    <w:rsid w:val="7B13774E"/>
    <w:rsid w:val="7B475882"/>
    <w:rsid w:val="7B77862C"/>
    <w:rsid w:val="7B8B5094"/>
    <w:rsid w:val="7B9854E0"/>
    <w:rsid w:val="7BB4552D"/>
    <w:rsid w:val="7BBF7366"/>
    <w:rsid w:val="7C2D18C4"/>
    <w:rsid w:val="7C547659"/>
    <w:rsid w:val="7C66113B"/>
    <w:rsid w:val="7C7461A7"/>
    <w:rsid w:val="7D3B3A48"/>
    <w:rsid w:val="7D453655"/>
    <w:rsid w:val="7D53FD2B"/>
    <w:rsid w:val="7D8628FA"/>
    <w:rsid w:val="7D9FF6BC"/>
    <w:rsid w:val="7DAF38F3"/>
    <w:rsid w:val="7DDB6320"/>
    <w:rsid w:val="7DDF6C4A"/>
    <w:rsid w:val="7DF6B048"/>
    <w:rsid w:val="7E292420"/>
    <w:rsid w:val="7EAA7A04"/>
    <w:rsid w:val="7EAF0808"/>
    <w:rsid w:val="7EC16AFC"/>
    <w:rsid w:val="7EC42148"/>
    <w:rsid w:val="7EE33B7E"/>
    <w:rsid w:val="7EEF3F71"/>
    <w:rsid w:val="7F160BF6"/>
    <w:rsid w:val="7F3FD470"/>
    <w:rsid w:val="7F776A28"/>
    <w:rsid w:val="7F7BA1B4"/>
    <w:rsid w:val="7F7E25B8"/>
    <w:rsid w:val="7F7F998D"/>
    <w:rsid w:val="7FA2248A"/>
    <w:rsid w:val="7FA7485F"/>
    <w:rsid w:val="7FDD39BD"/>
    <w:rsid w:val="7FDF73DC"/>
    <w:rsid w:val="7FDFB5DE"/>
    <w:rsid w:val="7FE17A0C"/>
    <w:rsid w:val="7FF627D5"/>
    <w:rsid w:val="7FF7AAC4"/>
    <w:rsid w:val="7FFF0C21"/>
    <w:rsid w:val="9BCF026A"/>
    <w:rsid w:val="9D7BB7E4"/>
    <w:rsid w:val="AFF798A7"/>
    <w:rsid w:val="B1ECF17A"/>
    <w:rsid w:val="B568175E"/>
    <w:rsid w:val="B7DBD9DF"/>
    <w:rsid w:val="B7F761A4"/>
    <w:rsid w:val="BA472C97"/>
    <w:rsid w:val="BBFB0F2D"/>
    <w:rsid w:val="BE7DD5BD"/>
    <w:rsid w:val="BF699035"/>
    <w:rsid w:val="BF766A6A"/>
    <w:rsid w:val="BF7A326F"/>
    <w:rsid w:val="BFDF8C06"/>
    <w:rsid w:val="BFF7C1FB"/>
    <w:rsid w:val="BFFFCF2A"/>
    <w:rsid w:val="CBA74757"/>
    <w:rsid w:val="CED71A04"/>
    <w:rsid w:val="CFFDE9E9"/>
    <w:rsid w:val="D7BF41E1"/>
    <w:rsid w:val="DAF7EE77"/>
    <w:rsid w:val="DBD3571C"/>
    <w:rsid w:val="DBE77E48"/>
    <w:rsid w:val="DD18BD23"/>
    <w:rsid w:val="DEFFCFC7"/>
    <w:rsid w:val="DF4D8EE8"/>
    <w:rsid w:val="DF7B9605"/>
    <w:rsid w:val="DFBAB71F"/>
    <w:rsid w:val="DFBF2CC9"/>
    <w:rsid w:val="E6F753F4"/>
    <w:rsid w:val="E6FECA2F"/>
    <w:rsid w:val="E77F15C4"/>
    <w:rsid w:val="E7A74E18"/>
    <w:rsid w:val="EDE68B83"/>
    <w:rsid w:val="EE3772D3"/>
    <w:rsid w:val="EF5BBFC9"/>
    <w:rsid w:val="EFEDA452"/>
    <w:rsid w:val="EFFFDB81"/>
    <w:rsid w:val="F0FF70E4"/>
    <w:rsid w:val="F2CB3293"/>
    <w:rsid w:val="F79242DE"/>
    <w:rsid w:val="F7BAE48F"/>
    <w:rsid w:val="F7CF7271"/>
    <w:rsid w:val="F8FF679F"/>
    <w:rsid w:val="F97FFA00"/>
    <w:rsid w:val="FC7D96C7"/>
    <w:rsid w:val="FE3A5116"/>
    <w:rsid w:val="FE5FC5ED"/>
    <w:rsid w:val="FE763431"/>
    <w:rsid w:val="FE7FF57E"/>
    <w:rsid w:val="FEDBF841"/>
    <w:rsid w:val="FF3B118A"/>
    <w:rsid w:val="FFA35405"/>
    <w:rsid w:val="FFDFFC44"/>
    <w:rsid w:val="FFE53BE7"/>
    <w:rsid w:val="FFF42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6"/>
    <w:basedOn w:val="1"/>
    <w:next w:val="1"/>
    <w:qFormat/>
    <w:uiPriority w:val="0"/>
    <w:pPr>
      <w:spacing w:before="60" w:after="60" w:line="360" w:lineRule="auto"/>
      <w:outlineLvl w:val="5"/>
    </w:pPr>
    <w:rPr>
      <w:b/>
      <w:bCs/>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 w:val="24"/>
    </w:rPr>
  </w:style>
  <w:style w:type="paragraph" w:styleId="5">
    <w:name w:val="Normal Indent"/>
    <w:basedOn w:val="1"/>
    <w:qFormat/>
    <w:uiPriority w:val="0"/>
    <w:pPr>
      <w:ind w:firstLine="420" w:firstLineChars="200"/>
    </w:pPr>
    <w:rPr>
      <w:szCs w:val="20"/>
    </w:rPr>
  </w:style>
  <w:style w:type="paragraph" w:styleId="6">
    <w:name w:val="annotation text"/>
    <w:basedOn w:val="1"/>
    <w:link w:val="35"/>
    <w:unhideWhenUsed/>
    <w:qFormat/>
    <w:uiPriority w:val="0"/>
    <w:pPr>
      <w:jc w:val="left"/>
    </w:pPr>
    <w:rPr>
      <w:kern w:val="0"/>
      <w:sz w:val="20"/>
    </w:rPr>
  </w:style>
  <w:style w:type="paragraph" w:styleId="7">
    <w:name w:val="Body Text Indent"/>
    <w:basedOn w:val="1"/>
    <w:unhideWhenUsed/>
    <w:qFormat/>
    <w:uiPriority w:val="99"/>
    <w:pPr>
      <w:spacing w:after="120"/>
      <w:ind w:left="420" w:leftChars="200"/>
    </w:pPr>
    <w:rPr>
      <w:kern w:val="0"/>
      <w:sz w:val="20"/>
      <w:szCs w:val="20"/>
    </w:rPr>
  </w:style>
  <w:style w:type="paragraph" w:styleId="8">
    <w:name w:val="Plain Text"/>
    <w:basedOn w:val="1"/>
    <w:qFormat/>
    <w:uiPriority w:val="0"/>
    <w:rPr>
      <w:rFonts w:ascii="宋体" w:hAnsi="Courier New"/>
    </w:rPr>
  </w:style>
  <w:style w:type="paragraph" w:styleId="9">
    <w:name w:val="Balloon Text"/>
    <w:basedOn w:val="1"/>
    <w:unhideWhenUsed/>
    <w:qFormat/>
    <w:uiPriority w:val="99"/>
    <w:rPr>
      <w:sz w:val="18"/>
      <w:szCs w:val="18"/>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link w:val="34"/>
    <w:qFormat/>
    <w:uiPriority w:val="0"/>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Body Text 2"/>
    <w:basedOn w:val="1"/>
    <w:qFormat/>
    <w:uiPriority w:val="99"/>
    <w:pPr>
      <w:spacing w:before="240"/>
    </w:pPr>
    <w:rPr>
      <w:rFonts w:ascii="Calibri" w:hAnsi="Calibri"/>
      <w:color w:val="FF0000"/>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0"/>
    <w:pPr>
      <w:spacing w:before="240" w:after="60"/>
      <w:jc w:val="center"/>
      <w:outlineLvl w:val="0"/>
    </w:pPr>
    <w:rPr>
      <w:rFonts w:ascii="Arial" w:hAnsi="Arial" w:eastAsia="隶书"/>
      <w:b/>
      <w:bCs/>
      <w:sz w:val="32"/>
      <w:szCs w:val="32"/>
    </w:rPr>
  </w:style>
  <w:style w:type="paragraph" w:styleId="16">
    <w:name w:val="annotation subject"/>
    <w:basedOn w:val="6"/>
    <w:next w:val="6"/>
    <w:link w:val="36"/>
    <w:qFormat/>
    <w:uiPriority w:val="0"/>
    <w:rPr>
      <w:b/>
      <w:bCs/>
      <w:kern w:val="2"/>
      <w:sz w:val="21"/>
    </w:rPr>
  </w:style>
  <w:style w:type="paragraph" w:styleId="17">
    <w:name w:val="Body Text First Indent"/>
    <w:basedOn w:val="2"/>
    <w:qFormat/>
    <w:uiPriority w:val="0"/>
    <w:pPr>
      <w:snapToGrid w:val="0"/>
      <w:spacing w:line="560" w:lineRule="exact"/>
      <w:ind w:firstLine="200" w:firstLineChars="200"/>
    </w:pPr>
    <w:rPr>
      <w:rFonts w:ascii="仿宋" w:hAnsi="仿宋" w:cs="仿宋"/>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qFormat/>
    <w:uiPriority w:val="0"/>
  </w:style>
  <w:style w:type="character" w:styleId="23">
    <w:name w:val="annotation reference"/>
    <w:basedOn w:val="20"/>
    <w:qFormat/>
    <w:uiPriority w:val="0"/>
    <w:rPr>
      <w:sz w:val="21"/>
      <w:szCs w:val="21"/>
    </w:rPr>
  </w:style>
  <w:style w:type="paragraph" w:styleId="24">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5">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6">
    <w:name w:val="List Paragraph"/>
    <w:basedOn w:val="1"/>
    <w:qFormat/>
    <w:uiPriority w:val="34"/>
    <w:pPr>
      <w:ind w:firstLine="420" w:firstLineChars="200"/>
    </w:pPr>
  </w:style>
  <w:style w:type="character" w:customStyle="1" w:styleId="27">
    <w:name w:val="NormalCharacter"/>
    <w:qFormat/>
    <w:uiPriority w:val="0"/>
    <w:rPr>
      <w:kern w:val="2"/>
      <w:sz w:val="21"/>
      <w:szCs w:val="24"/>
      <w:lang w:val="en-US" w:eastAsia="zh-CN" w:bidi="ar-SA"/>
    </w:rPr>
  </w:style>
  <w:style w:type="paragraph" w:customStyle="1" w:styleId="28">
    <w:name w:val="Table Paragraph"/>
    <w:basedOn w:val="1"/>
    <w:qFormat/>
    <w:uiPriority w:val="0"/>
    <w:pPr>
      <w:autoSpaceDE w:val="0"/>
      <w:autoSpaceDN w:val="0"/>
      <w:jc w:val="left"/>
    </w:pPr>
    <w:rPr>
      <w:rFonts w:ascii="宋体" w:hAnsi="宋体" w:cs="宋体"/>
      <w:kern w:val="0"/>
      <w:sz w:val="22"/>
      <w:szCs w:val="22"/>
    </w:rPr>
  </w:style>
  <w:style w:type="paragraph" w:customStyle="1" w:styleId="29">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qowt-font5-gb2312"/>
    <w:qFormat/>
    <w:uiPriority w:val="0"/>
  </w:style>
  <w:style w:type="paragraph" w:customStyle="1" w:styleId="31">
    <w:name w:val="正文格式"/>
    <w:basedOn w:val="7"/>
    <w:qFormat/>
    <w:uiPriority w:val="99"/>
    <w:pPr>
      <w:spacing w:after="0" w:line="360" w:lineRule="auto"/>
      <w:ind w:left="0" w:leftChars="0" w:firstLine="600"/>
    </w:pPr>
    <w:rPr>
      <w:rFonts w:eastAsia="仿宋_GB2312"/>
      <w:sz w:val="30"/>
      <w:szCs w:val="30"/>
    </w:rPr>
  </w:style>
  <w:style w:type="paragraph" w:customStyle="1" w:styleId="32">
    <w:name w:val="msolistparagraph"/>
    <w:basedOn w:val="1"/>
    <w:qFormat/>
    <w:uiPriority w:val="0"/>
    <w:pPr>
      <w:ind w:firstLine="420" w:firstLineChars="200"/>
    </w:p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4">
    <w:name w:val="页眉 字符"/>
    <w:basedOn w:val="20"/>
    <w:link w:val="11"/>
    <w:qFormat/>
    <w:uiPriority w:val="0"/>
    <w:rPr>
      <w:kern w:val="2"/>
      <w:sz w:val="18"/>
      <w:szCs w:val="18"/>
    </w:rPr>
  </w:style>
  <w:style w:type="character" w:customStyle="1" w:styleId="35">
    <w:name w:val="批注文字 字符"/>
    <w:basedOn w:val="20"/>
    <w:link w:val="6"/>
    <w:qFormat/>
    <w:uiPriority w:val="0"/>
    <w:rPr>
      <w:szCs w:val="24"/>
    </w:rPr>
  </w:style>
  <w:style w:type="character" w:customStyle="1" w:styleId="36">
    <w:name w:val="批注主题 字符"/>
    <w:basedOn w:val="35"/>
    <w:link w:val="16"/>
    <w:qFormat/>
    <w:uiPriority w:val="0"/>
    <w:rPr>
      <w:b/>
      <w:bCs/>
      <w:kern w:val="2"/>
      <w:sz w:val="21"/>
      <w:szCs w:val="24"/>
    </w:rPr>
  </w:style>
  <w:style w:type="paragraph" w:customStyle="1" w:styleId="3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10596</Words>
  <Characters>11154</Characters>
  <Lines>1805</Lines>
  <Paragraphs>1619</Paragraphs>
  <TotalTime>4</TotalTime>
  <ScaleCrop>false</ScaleCrop>
  <LinksUpToDate>false</LinksUpToDate>
  <CharactersWithSpaces>11402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2025-02-16T09:50:00Z</dcterms:created>
  <dc:creator>黎俊</dc:creator>
  <cp:lastModifiedBy>黎俊</cp:lastModifiedBy>
  <dcterms:modified xsi:type="dcterms:W3CDTF">2026-06-05T09:04:51Z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F01CD1A35EA5F10604891F6A22AC1AB7</vt:lpwstr>
  </property>
</Properties>
</file>