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  <w:lang w:eastAsia="zh-CN" w:bidi="ar-SA"/>
        </w:rPr>
      </w:pPr>
      <w:bookmarkStart w:id="19" w:name="_GoBack"/>
      <w:bookmarkEnd w:id="19"/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-鸿蒙原生应用开发扶持项目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  <w:lang w:eastAsia="zh-CN" w:bidi="ar-SA"/>
        </w:rPr>
        <w:t>操作规程</w:t>
      </w:r>
    </w:p>
    <w:p w14:paraId="21B3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jc w:val="both"/>
        <w:textAlignment w:val="auto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</w:p>
    <w:p w14:paraId="63CD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 w14:paraId="57CC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hAnsi="黑体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一、政策内容</w:t>
      </w:r>
    </w:p>
    <w:p w14:paraId="5DBF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鼓励企业开发鸿蒙原生应用，对符合条件的互联网或软件企业开发的鸿蒙原生应用，通过鸿蒙原生应用认证，以及在应用商城下载量达到一定数量的，按照一定条件分档给予最高不超过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200万元奖励。</w:t>
      </w:r>
    </w:p>
    <w:p w14:paraId="0AAB1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二、设定依据</w:t>
      </w:r>
    </w:p>
    <w:p w14:paraId="73D22914">
      <w:pPr>
        <w:keepNext w:val="0"/>
        <w:keepLines w:val="0"/>
        <w:widowControl w:val="0"/>
        <w:spacing w:after="0" w:line="560" w:lineRule="exact"/>
        <w:ind w:firstLine="640" w:firstLineChars="200"/>
        <w:contextualSpacing/>
        <w:jc w:val="both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en-US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推动鸿蒙生态蓬勃发展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，根据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南山区促进产业高质量发展专项资金管理办法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《</w:t>
      </w:r>
      <w:bookmarkStart w:id="0" w:name="_Toc20720"/>
      <w:bookmarkStart w:id="1" w:name="_Toc19915"/>
      <w:bookmarkStart w:id="2" w:name="_Toc32239"/>
      <w:bookmarkStart w:id="3" w:name="_Toc5471"/>
      <w:bookmarkStart w:id="4" w:name="_Toc1563225703"/>
      <w:bookmarkStart w:id="5" w:name="_Toc23549"/>
      <w:bookmarkStart w:id="6" w:name="_Toc7925"/>
      <w:bookmarkStart w:id="7" w:name="_Toc10587"/>
      <w:bookmarkStart w:id="8" w:name="_Toc31686"/>
      <w:bookmarkStart w:id="9" w:name="_Toc27806"/>
      <w:bookmarkStart w:id="10" w:name="_Toc29248"/>
      <w:bookmarkStart w:id="11" w:name="_Toc21320"/>
      <w:bookmarkStart w:id="12" w:name="_Toc21891"/>
      <w:bookmarkStart w:id="13" w:name="_Toc17349"/>
      <w:bookmarkStart w:id="14" w:name="_Toc15490"/>
      <w:bookmarkStart w:id="15" w:name="_Toc4663"/>
      <w:bookmarkStart w:id="16" w:name="_Toc25022"/>
      <w:bookmarkStart w:id="17" w:name="_Toc2378"/>
      <w:bookmarkStart w:id="18" w:name="_Toc23801"/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南山区促进数字经济高质量发展专项扶持措施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，制定本操作规程。</w:t>
      </w:r>
    </w:p>
    <w:p w14:paraId="7307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三、申请条件</w:t>
      </w:r>
    </w:p>
    <w:p w14:paraId="588F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（一）申请本项资金资助的企业应符合以下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基本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条件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76259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1.在南山区实际开展经营活动，具有独立承担民事责任能力的经营主体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7873A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2.数据申报地在南山区的规上互联网和软件信息服务业企业（国民经济行业分类代码前两位为64或65）；</w:t>
      </w:r>
    </w:p>
    <w:p w14:paraId="031B4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数据申报义务、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守法经营、诚实守信，有规范的财务制度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53FBD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应积极配合区委、区政府相关工作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6A21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）有下列情况之一的，本项目资金不予资助：</w:t>
      </w:r>
    </w:p>
    <w:p w14:paraId="4A19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.被依法依规纳入严重失信主体名单或失信惩戒措施清单的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 w14:paraId="62EB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.提出资助申请后，申报主体项目实施地或数据申报地发生变化，不再符合申报条件的。</w:t>
      </w:r>
    </w:p>
    <w:p w14:paraId="3E44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四、申请说明</w:t>
      </w:r>
    </w:p>
    <w:p w14:paraId="35D8C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开发鸿蒙原生应用（不含元服务）获鸿蒙原生应用认证，在HarmonyOS 5.0及以上版本应用市场上架后累计下载量超过1万的，根据应用近三个月平均月活量分档给予奖励，其中，平均月活量不低于5千的，单个应用给予10万元奖励；平均月活量不低于5万的，单个应用给予30万元奖励；平均月活量不低于50万的，单个应用给予50万元奖励。</w:t>
      </w:r>
    </w:p>
    <w:p w14:paraId="66017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仿宋_GB2312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（二）每家企业申报应用数量最多不超过4款。</w:t>
      </w:r>
    </w:p>
    <w:p w14:paraId="3CE3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、资助方式</w:t>
      </w:r>
    </w:p>
    <w:p w14:paraId="4050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本项资金资助属于核准类项目，坚持公平、公开、公正的原则，实行自愿申报、科学决策和绩效评估的管理制度，采取无偿资助方式和事后补贴制，受资助项目无需验收。</w:t>
      </w:r>
    </w:p>
    <w:p w14:paraId="55EF580F">
      <w:pPr>
        <w:keepNext w:val="0"/>
        <w:keepLines w:val="0"/>
        <w:widowControl w:val="0"/>
        <w:adjustRightInd w:val="0"/>
        <w:snapToGrid w:val="0"/>
        <w:spacing w:after="0" w:line="560" w:lineRule="exact"/>
        <w:ind w:firstLine="640" w:firstLineChars="200"/>
        <w:jc w:val="both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本项资助受年度资金预算控制，区工业和信息化局视申报情况和预算安排，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可以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对资助金额、支持比例和拨付进度等进行统一调整，申报主体应无条件同意调整结果。</w:t>
      </w:r>
    </w:p>
    <w:p w14:paraId="6CAB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、办理流程</w:t>
      </w:r>
    </w:p>
    <w:p w14:paraId="6B91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n/），在线填写《南山区促进产业高质量发展专项资金——区工业和信息化局分项资金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-鸿蒙原生应用开发扶持项目申请书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6146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局复审项目申报材料；</w:t>
      </w:r>
    </w:p>
    <w:p w14:paraId="15E1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拟定资助计划；</w:t>
      </w:r>
    </w:p>
    <w:p w14:paraId="377B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 w14:paraId="6920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对公示期满，无有效投诉的项目资助计划，区工业和信息化局再按照相应审核程序提交会议审议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0008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直接行文下达资金计划；</w:t>
      </w:r>
    </w:p>
    <w:p w14:paraId="16853388">
      <w:pPr>
        <w:keepNext w:val="0"/>
        <w:keepLines w:val="0"/>
        <w:widowControl w:val="0"/>
        <w:spacing w:after="0" w:line="560" w:lineRule="exact"/>
        <w:ind w:firstLine="640" w:firstLineChars="200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（七）申报主体线上提交加盖单位财务专用章的收据；</w:t>
      </w:r>
    </w:p>
    <w:p w14:paraId="04016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highlight w:val="none"/>
          <w:lang w:val="en-US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4C9E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outlineLvl w:val="0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七、所需材料</w:t>
      </w:r>
    </w:p>
    <w:p w14:paraId="71E1D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 w14:paraId="0A25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2EA0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B08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（四）申报主体由税务部门开具的单位上年度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完</w:t>
      </w:r>
      <w:r>
        <w:rPr>
          <w:rFonts w:hint="eastAsia" w:ascii="仿宋_GB2312" w:eastAsia="仿宋_GB2312"/>
          <w:sz w:val="32"/>
          <w:szCs w:val="32"/>
          <w:highlight w:val="none"/>
        </w:rPr>
        <w:t>税证明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或无欠税证明</w:t>
      </w:r>
      <w:r>
        <w:rPr>
          <w:rFonts w:hint="eastAsia" w:ascii="仿宋_GB2312" w:eastAsia="仿宋_GB2312"/>
          <w:sz w:val="32"/>
          <w:szCs w:val="32"/>
          <w:highlight w:val="none"/>
        </w:rPr>
        <w:t>（上传税务系统下载带有税务机关红色印章的电子版，事业单位除外)；</w:t>
      </w:r>
    </w:p>
    <w:p w14:paraId="3306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（五）鸿蒙原生应用上架证明材料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应用后台截图、上架审核通过邮件等，加盖单位公章彩色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扫描成PDF文件上传）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</w:p>
    <w:p w14:paraId="0DCA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在HarmonyOS 5.0及以上版本应用市场上架后累计下载量凭证和2026年3、4、5月单月活量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凭证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6182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调查单位基本情况表[“统计云平台联网直报系统”下载，原件（或复印件加盖单位公章）彩色扫描成PDF文件上传]；</w:t>
      </w:r>
    </w:p>
    <w:p w14:paraId="0544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08" w:firstLineChars="200"/>
        <w:contextualSpacing/>
        <w:textAlignment w:val="auto"/>
        <w:rPr>
          <w:rFonts w:hint="eastAsia" w:ascii="仿宋_GB2312" w:eastAsia="仿宋_GB2312"/>
          <w:color w:val="000000"/>
          <w:w w:val="95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w w:val="95"/>
          <w:sz w:val="32"/>
          <w:szCs w:val="32"/>
          <w:highlight w:val="none"/>
          <w:lang w:eastAsia="zh-CN"/>
        </w:rPr>
        <w:t>（八）</w:t>
      </w:r>
      <w:r>
        <w:rPr>
          <w:rFonts w:hint="eastAsia" w:eastAsia="仿宋_GB2312"/>
          <w:sz w:val="32"/>
          <w:szCs w:val="32"/>
        </w:rPr>
        <w:t>审核部门认为需要提供的其他材料[原件（或复印件加盖单位公章）彩色扫描成PDF文件上传]。</w:t>
      </w:r>
    </w:p>
    <w:p w14:paraId="02C2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八</w:t>
      </w:r>
      <w:r>
        <w:rPr>
          <w:rFonts w:hint="eastAsia" w:ascii="黑体" w:eastAsia="黑体"/>
          <w:sz w:val="32"/>
          <w:szCs w:val="32"/>
          <w:highlight w:val="none"/>
        </w:rPr>
        <w:t>、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时限要求</w:t>
      </w:r>
    </w:p>
    <w:p w14:paraId="3C55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局视申请情况安排集中受理企业申请，具体受理时间以发布的申报通知为准。</w:t>
      </w:r>
    </w:p>
    <w:p w14:paraId="7D6F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（二）申报主体须按照区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局相关通知要求及时提交资金拨付所需材料，逾期不办理者视为自动放弃。</w:t>
      </w:r>
    </w:p>
    <w:p w14:paraId="55173280">
      <w:pPr>
        <w:pStyle w:val="8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eastAsia="zh-CN"/>
        </w:rPr>
        <w:t>九</w:t>
      </w: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、其他事项</w:t>
      </w:r>
    </w:p>
    <w:p w14:paraId="54ACB98D">
      <w:pPr>
        <w:pStyle w:val="8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（一）本项目所依据的政策内容执行期间如遇国家、省、市有关政策调整的，按照上级有关规定执行。</w:t>
      </w:r>
    </w:p>
    <w:p w14:paraId="653FE3EF"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申请本项目资助的主体应保证其申报材料的完整性、真实性、准确性及合法性，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29B8AB5E"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eastAsia="zh-CN"/>
        </w:rPr>
        <w:t>十</w:t>
      </w: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、附则</w:t>
      </w:r>
    </w:p>
    <w:p w14:paraId="356E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本项目责任部门为区工业和信息化局，本操作规程由区工业和信息化局负责解释，自发布之日起施行。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yyb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BD14C">
    <w:pPr>
      <w:pStyle w:val="6"/>
      <w:jc w:val="right"/>
      <w:rPr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87D2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87D2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8A87D7E"/>
    <w:rsid w:val="10D37728"/>
    <w:rsid w:val="1E6F0EFD"/>
    <w:rsid w:val="215B5AB8"/>
    <w:rsid w:val="38DA42CB"/>
    <w:rsid w:val="3ABDD7A2"/>
    <w:rsid w:val="3FBAEF9E"/>
    <w:rsid w:val="3FE41B9C"/>
    <w:rsid w:val="3FEFE8D2"/>
    <w:rsid w:val="492EE654"/>
    <w:rsid w:val="4A1947CF"/>
    <w:rsid w:val="509818DA"/>
    <w:rsid w:val="58CD46FE"/>
    <w:rsid w:val="5B296730"/>
    <w:rsid w:val="5CEF8AFE"/>
    <w:rsid w:val="5FDD00CF"/>
    <w:rsid w:val="60EE4A41"/>
    <w:rsid w:val="6617EB44"/>
    <w:rsid w:val="67FFED36"/>
    <w:rsid w:val="6DFA9305"/>
    <w:rsid w:val="6F9AFD70"/>
    <w:rsid w:val="70772BD5"/>
    <w:rsid w:val="726E09E1"/>
    <w:rsid w:val="75EF50D7"/>
    <w:rsid w:val="76FA76C8"/>
    <w:rsid w:val="77F88485"/>
    <w:rsid w:val="78C6268A"/>
    <w:rsid w:val="7ADED379"/>
    <w:rsid w:val="7AE74FF4"/>
    <w:rsid w:val="7BFF223E"/>
    <w:rsid w:val="7C8B1E19"/>
    <w:rsid w:val="7CDF85C8"/>
    <w:rsid w:val="7D776DBD"/>
    <w:rsid w:val="7DF3E1E1"/>
    <w:rsid w:val="7E537311"/>
    <w:rsid w:val="7F7DAC5D"/>
    <w:rsid w:val="7F95169D"/>
    <w:rsid w:val="7FAF4563"/>
    <w:rsid w:val="7FF71794"/>
    <w:rsid w:val="7FF96E19"/>
    <w:rsid w:val="7FFE1DD9"/>
    <w:rsid w:val="8B7F64CA"/>
    <w:rsid w:val="9BFBD2A2"/>
    <w:rsid w:val="9CFBFF0F"/>
    <w:rsid w:val="AEF7913F"/>
    <w:rsid w:val="B1CF586B"/>
    <w:rsid w:val="B37D0DF4"/>
    <w:rsid w:val="B3BEFDAF"/>
    <w:rsid w:val="B3EF82CF"/>
    <w:rsid w:val="B7FBD674"/>
    <w:rsid w:val="B9BFF053"/>
    <w:rsid w:val="BABB571E"/>
    <w:rsid w:val="BDF7B0CE"/>
    <w:rsid w:val="BDFFFB5B"/>
    <w:rsid w:val="C6F3B665"/>
    <w:rsid w:val="DAAEE84B"/>
    <w:rsid w:val="DAF71CE8"/>
    <w:rsid w:val="DB7FA338"/>
    <w:rsid w:val="DCD58A41"/>
    <w:rsid w:val="DF7EBDDA"/>
    <w:rsid w:val="DFBBDA56"/>
    <w:rsid w:val="E7FFD5F3"/>
    <w:rsid w:val="EEF93DBF"/>
    <w:rsid w:val="EFE69B75"/>
    <w:rsid w:val="EFFEBBE0"/>
    <w:rsid w:val="F1FE9CA5"/>
    <w:rsid w:val="F567B559"/>
    <w:rsid w:val="F7375CFB"/>
    <w:rsid w:val="F97D89CE"/>
    <w:rsid w:val="FBDF01FB"/>
    <w:rsid w:val="FC1F9976"/>
    <w:rsid w:val="FDA7E278"/>
    <w:rsid w:val="FEDFDAA1"/>
    <w:rsid w:val="FF7EF088"/>
    <w:rsid w:val="FFFDC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paragraph" w:styleId="4">
    <w:name w:val="heading 4"/>
    <w:basedOn w:val="1"/>
    <w:next w:val="1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cs="Times New Roman"/>
      <w:b/>
      <w:bCs/>
      <w:sz w:val="28"/>
      <w:szCs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1968</Characters>
  <Lines>0</Lines>
  <Paragraphs>0</Paragraphs>
  <TotalTime>3</TotalTime>
  <ScaleCrop>false</ScaleCrop>
  <LinksUpToDate>false</LinksUpToDate>
  <CharactersWithSpaces>1970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XuanWanL</cp:lastModifiedBy>
  <cp:lastPrinted>2025-07-18T06:05:00Z</cp:lastPrinted>
  <dcterms:modified xsi:type="dcterms:W3CDTF">2026-05-29T08:23:42Z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eyJoZGlkIjoiN2FmNmE0MDQ3YTU0YTU4NDE3ZGM0ODFmM2Q1ZTYzNGQiLCJ1c2VySWQiOiI3MDI4OTAzODMifQ==</vt:lpwstr>
  </property>
  <property fmtid="{D5CDD505-2E9C-101B-9397-08002B2CF9AE}" pid="4" name="ICV">
    <vt:lpwstr>3ECE0E8299E24A45995BE07B8788A3DB_12</vt:lpwstr>
  </property>
</Properties>
</file>