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left"/>
        <w:rPr>
          <w:rFonts w:hint="default" w:ascii="黑体" w:hAnsi="黑体" w:eastAsia="黑体" w:cs="黑体"/>
          <w:kern w:val="0"/>
          <w:sz w:val="32"/>
          <w:szCs w:val="32"/>
          <w:lang w:val="en-US"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2-3</w:t>
      </w:r>
      <w:bookmarkStart w:id="0" w:name="_GoBack"/>
      <w:bookmarkEnd w:id="0"/>
    </w:p>
    <w:p>
      <w:pPr>
        <w:snapToGrid w:val="0"/>
        <w:spacing w:line="600" w:lineRule="exact"/>
        <w:jc w:val="left"/>
        <w:rPr>
          <w:rFonts w:ascii="Times New Roman" w:hAnsi="Times New Roman" w:eastAsia="黑体" w:cs="黑体"/>
          <w:kern w:val="0"/>
          <w:sz w:val="32"/>
          <w:szCs w:val="32"/>
        </w:rPr>
      </w:pPr>
    </w:p>
    <w:p>
      <w:pPr>
        <w:adjustRightInd w:val="0"/>
        <w:snapToGrid w:val="0"/>
        <w:spacing w:beforeLines="100" w:afterLines="100" w:line="600" w:lineRule="exact"/>
        <w:contextualSpacing/>
        <w:jc w:val="center"/>
        <w:rPr>
          <w:rFonts w:ascii="Times New Roman" w:hAnsi="Times New Roman" w:eastAsia="方正小标宋简体"/>
          <w:kern w:val="0"/>
          <w:sz w:val="44"/>
          <w:szCs w:val="44"/>
        </w:rPr>
      </w:pPr>
      <w:r>
        <w:rPr>
          <w:rFonts w:hint="eastAsia" w:ascii="Times New Roman" w:hAnsi="Times New Roman" w:eastAsia="方正小标宋简体"/>
          <w:kern w:val="0"/>
          <w:sz w:val="44"/>
          <w:szCs w:val="44"/>
        </w:rPr>
        <w:t>时尚饰品专区展位数量安排评审标准</w:t>
      </w:r>
    </w:p>
    <w:p>
      <w:pPr>
        <w:adjustRightInd w:val="0"/>
        <w:snapToGrid w:val="0"/>
        <w:spacing w:beforeLines="100" w:afterLines="100" w:line="600" w:lineRule="exact"/>
        <w:contextualSpacing/>
        <w:jc w:val="center"/>
        <w:rPr>
          <w:rFonts w:ascii="Times New Roman" w:hAnsi="Times New Roman" w:eastAsia="方正小标宋简体"/>
          <w:kern w:val="0"/>
          <w:sz w:val="32"/>
          <w:szCs w:val="32"/>
        </w:rPr>
      </w:pPr>
    </w:p>
    <w:p>
      <w:pPr>
        <w:snapToGrid w:val="0"/>
        <w:spacing w:line="60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一、申报要求</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（一）申报单位须为在中华人民共和国境内注册、具有独立法人资格的企事业单位。</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（二）符合</w:t>
      </w:r>
      <w:r>
        <w:rPr>
          <w:rFonts w:hint="eastAsia" w:ascii="Times New Roman" w:hAnsi="Times New Roman" w:eastAsia="仿宋_GB2312"/>
          <w:sz w:val="32"/>
          <w:szCs w:val="32"/>
        </w:rPr>
        <w:t>时尚饰品</w:t>
      </w:r>
      <w:r>
        <w:rPr>
          <w:rFonts w:ascii="Times New Roman" w:hAnsi="Times New Roman" w:eastAsia="仿宋_GB2312"/>
          <w:sz w:val="32"/>
          <w:szCs w:val="32"/>
        </w:rPr>
        <w:t>产业发展政策要求，具有固定的经营场所。</w:t>
      </w:r>
    </w:p>
    <w:p>
      <w:pPr>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二、企业基本情况</w:t>
      </w:r>
    </w:p>
    <w:p>
      <w:pPr>
        <w:snapToGrid w:val="0"/>
        <w:spacing w:line="600" w:lineRule="exact"/>
        <w:ind w:firstLine="643" w:firstLineChars="200"/>
        <w:rPr>
          <w:rFonts w:ascii="Times New Roman" w:hAnsi="Times New Roman" w:eastAsia="仿宋_GB2312"/>
          <w:sz w:val="32"/>
          <w:szCs w:val="32"/>
        </w:rPr>
      </w:pPr>
      <w:r>
        <w:rPr>
          <w:rFonts w:ascii="Times New Roman" w:hAnsi="Times New Roman" w:eastAsia="楷体_GB2312"/>
          <w:b/>
          <w:bCs/>
          <w:sz w:val="32"/>
          <w:szCs w:val="32"/>
        </w:rPr>
        <w:t>（一）营业资质。</w:t>
      </w:r>
      <w:r>
        <w:rPr>
          <w:rFonts w:hint="eastAsia" w:ascii="Times New Roman" w:hAnsi="Times New Roman" w:eastAsia="仿宋_GB2312"/>
          <w:sz w:val="32"/>
          <w:szCs w:val="32"/>
        </w:rPr>
        <w:t>市场监督</w:t>
      </w:r>
      <w:r>
        <w:rPr>
          <w:rFonts w:ascii="Times New Roman" w:hAnsi="Times New Roman" w:eastAsia="仿宋_GB2312"/>
          <w:sz w:val="32"/>
          <w:szCs w:val="32"/>
        </w:rPr>
        <w:t>管理部门颁发的《企业法人营业执照》复印件。</w:t>
      </w:r>
    </w:p>
    <w:p>
      <w:pPr>
        <w:snapToGrid w:val="0"/>
        <w:spacing w:line="600" w:lineRule="exact"/>
        <w:ind w:firstLine="643" w:firstLineChars="200"/>
        <w:rPr>
          <w:rFonts w:ascii="Times New Roman" w:hAnsi="Times New Roman" w:eastAsia="仿宋_GB2312"/>
          <w:sz w:val="32"/>
          <w:szCs w:val="32"/>
        </w:rPr>
      </w:pPr>
      <w:r>
        <w:rPr>
          <w:rFonts w:ascii="Times New Roman" w:hAnsi="Times New Roman" w:eastAsia="楷体_GB2312"/>
          <w:b/>
          <w:bCs/>
          <w:sz w:val="32"/>
          <w:szCs w:val="32"/>
        </w:rPr>
        <w:t>（二）企业介绍。</w:t>
      </w:r>
      <w:r>
        <w:rPr>
          <w:rFonts w:ascii="Times New Roman" w:hAnsi="Times New Roman" w:eastAsia="仿宋_GB2312"/>
          <w:sz w:val="32"/>
          <w:szCs w:val="32"/>
        </w:rPr>
        <w:t>包括但不限于：</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1.企业基本情况介绍（200字以上）；</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2.企业上一财年主营业务收入证明材料（财务会计报表、纳税证明等）；</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3.企业上一财年研发投入证明材料（财务会计报表等）；</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4.企业境内外销售情况介绍；</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5.企业产品介绍（200字以上，并附图片）。</w:t>
      </w:r>
    </w:p>
    <w:p>
      <w:pPr>
        <w:snapToGrid w:val="0"/>
        <w:spacing w:line="600" w:lineRule="exact"/>
        <w:ind w:firstLine="643" w:firstLineChars="200"/>
        <w:rPr>
          <w:rFonts w:ascii="Times New Roman" w:hAnsi="Times New Roman" w:eastAsia="仿宋_GB2312"/>
          <w:sz w:val="32"/>
          <w:szCs w:val="32"/>
        </w:rPr>
      </w:pPr>
      <w:r>
        <w:rPr>
          <w:rFonts w:ascii="Times New Roman" w:hAnsi="Times New Roman" w:eastAsia="楷体_GB2312"/>
          <w:b/>
          <w:bCs/>
          <w:sz w:val="32"/>
          <w:szCs w:val="32"/>
        </w:rPr>
        <w:t>（三）声明（需法人签字、盖章），</w:t>
      </w:r>
      <w:r>
        <w:rPr>
          <w:rFonts w:ascii="Times New Roman" w:hAnsi="Times New Roman" w:eastAsia="仿宋_GB2312"/>
          <w:sz w:val="32"/>
          <w:szCs w:val="32"/>
        </w:rPr>
        <w:t>内容如下：</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1.申请人共上报申报文件资料XX页；</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2.申请人依法注册，具有独立法人资格，并合法经营；</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3.依法纳税，近三年无违反国家法律法规的行为，无重大质量、生产安全等事故；</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4.申请人申报的所有文件和资料是准确、真实、完整和有效的；</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5.申请人申报的所有复印件均与原件核对，完全一致；</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6.申请人承诺接受有关主管部门为审核本申请而进行的必要核查。</w:t>
      </w:r>
    </w:p>
    <w:p>
      <w:pPr>
        <w:pStyle w:val="11"/>
        <w:autoSpaceDE/>
        <w:autoSpaceDN/>
        <w:adjustRightInd/>
        <w:snapToGrid w:val="0"/>
        <w:spacing w:line="600" w:lineRule="exact"/>
        <w:ind w:firstLine="601"/>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、境内外商标注册（10分）</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境内外注册商标持有者须与申请企业一致，商标覆盖的产品应属于</w:t>
      </w:r>
      <w:r>
        <w:rPr>
          <w:rFonts w:hint="eastAsia" w:ascii="Times New Roman" w:hAnsi="Times New Roman" w:eastAsia="仿宋_GB2312"/>
          <w:sz w:val="32"/>
          <w:szCs w:val="32"/>
        </w:rPr>
        <w:t>时尚饰品</w:t>
      </w:r>
      <w:r>
        <w:rPr>
          <w:rFonts w:ascii="Times New Roman" w:hAnsi="Times New Roman" w:eastAsia="仿宋_GB2312"/>
          <w:sz w:val="32"/>
          <w:szCs w:val="32"/>
        </w:rPr>
        <w:t>专区规定的</w:t>
      </w:r>
      <w:r>
        <w:rPr>
          <w:rFonts w:hint="eastAsia" w:ascii="Times New Roman" w:hAnsi="Times New Roman" w:eastAsia="仿宋_GB2312"/>
          <w:sz w:val="32"/>
          <w:szCs w:val="32"/>
          <w:lang w:val="en-US" w:eastAsia="zh-CN"/>
        </w:rPr>
        <w:t>展品范围</w:t>
      </w:r>
      <w:r>
        <w:rPr>
          <w:rFonts w:ascii="Times New Roman" w:hAnsi="Times New Roman" w:eastAsia="仿宋_GB2312"/>
          <w:sz w:val="32"/>
          <w:szCs w:val="32"/>
        </w:rPr>
        <w:t>。属商标转让的，应提交有关证明材料。</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每一个境内注册商标得1分，累计不超过3分。境外商标在一个国家（地区）注册（包括注册多个）得1分，每增加一个国家（地区）加1分。获得欧共体市场协调局（OHIM）、欧盟知识产权局（EUIPO）、非盟（OAPI）注册的有效商标，按10分计算。获得“马德里协定”国际注册的（简称“WIPO”或“OMPI”）以协定国数量计分。在“比荷卢”（Benelux）商标联盟注册的，计3分。</w:t>
      </w:r>
    </w:p>
    <w:p>
      <w:pPr>
        <w:pStyle w:val="11"/>
        <w:autoSpaceDE/>
        <w:autoSpaceDN/>
        <w:adjustRightInd/>
        <w:snapToGrid w:val="0"/>
        <w:spacing w:line="600" w:lineRule="exact"/>
        <w:ind w:firstLine="601"/>
        <w:rPr>
          <w:rFonts w:ascii="Times New Roman" w:hAnsi="Times New Roman" w:eastAsia="仿宋_GB2312"/>
          <w:sz w:val="32"/>
          <w:szCs w:val="32"/>
        </w:rPr>
      </w:pPr>
      <w:r>
        <w:rPr>
          <w:rFonts w:ascii="Times New Roman" w:hAnsi="Times New Roman" w:eastAsia="仿宋_GB2312"/>
          <w:sz w:val="32"/>
          <w:szCs w:val="32"/>
        </w:rPr>
        <w:t>本项累计不超过10分。</w:t>
      </w:r>
    </w:p>
    <w:p>
      <w:pPr>
        <w:pStyle w:val="11"/>
        <w:autoSpaceDE/>
        <w:autoSpaceDN/>
        <w:adjustRightInd/>
        <w:snapToGrid w:val="0"/>
        <w:spacing w:line="600" w:lineRule="exact"/>
        <w:ind w:firstLine="601"/>
        <w:rPr>
          <w:rFonts w:ascii="Times New Roman" w:hAnsi="Times New Roman"/>
          <w:sz w:val="32"/>
          <w:szCs w:val="32"/>
        </w:rPr>
      </w:pPr>
      <w:r>
        <w:rPr>
          <w:rFonts w:ascii="Times New Roman" w:hAnsi="Times New Roman" w:eastAsia="黑体"/>
          <w:sz w:val="32"/>
          <w:szCs w:val="32"/>
        </w:rPr>
        <w:t>四、研发创新和自主知识产权（</w:t>
      </w:r>
      <w:r>
        <w:rPr>
          <w:rFonts w:hint="eastAsia" w:ascii="Times New Roman" w:hAnsi="Times New Roman" w:eastAsia="仿宋_GB2312"/>
          <w:kern w:val="2"/>
          <w:sz w:val="32"/>
          <w:szCs w:val="32"/>
        </w:rPr>
        <w:t>45</w:t>
      </w:r>
      <w:r>
        <w:rPr>
          <w:rFonts w:ascii="Times New Roman" w:hAnsi="Times New Roman" w:eastAsia="仿宋_GB2312"/>
          <w:kern w:val="2"/>
          <w:sz w:val="32"/>
          <w:szCs w:val="32"/>
        </w:rPr>
        <w:t>分）</w:t>
      </w:r>
    </w:p>
    <w:p>
      <w:pPr>
        <w:snapToGrid w:val="0"/>
        <w:spacing w:line="600" w:lineRule="exact"/>
        <w:ind w:firstLine="643" w:firstLineChars="200"/>
        <w:rPr>
          <w:rFonts w:ascii="Times New Roman" w:hAnsi="Times New Roman" w:eastAsia="仿宋_GB2312"/>
          <w:sz w:val="32"/>
          <w:szCs w:val="32"/>
        </w:rPr>
      </w:pPr>
      <w:r>
        <w:rPr>
          <w:rFonts w:ascii="Times New Roman" w:hAnsi="Times New Roman" w:eastAsia="楷体_GB2312"/>
          <w:b/>
          <w:bCs/>
          <w:sz w:val="32"/>
          <w:szCs w:val="32"/>
        </w:rPr>
        <w:t>（</w:t>
      </w:r>
      <w:r>
        <w:rPr>
          <w:rFonts w:hint="eastAsia" w:ascii="Times New Roman" w:hAnsi="Times New Roman" w:eastAsia="楷体_GB2312"/>
          <w:b/>
          <w:bCs/>
          <w:sz w:val="32"/>
          <w:szCs w:val="32"/>
        </w:rPr>
        <w:t>一</w:t>
      </w:r>
      <w:r>
        <w:rPr>
          <w:rFonts w:ascii="Times New Roman" w:hAnsi="Times New Roman" w:eastAsia="楷体_GB2312"/>
          <w:b/>
          <w:bCs/>
          <w:sz w:val="32"/>
          <w:szCs w:val="32"/>
        </w:rPr>
        <w:t>）专利与版权。</w:t>
      </w:r>
      <w:r>
        <w:rPr>
          <w:rFonts w:ascii="Times New Roman" w:hAnsi="Times New Roman" w:eastAsia="仿宋_GB2312"/>
          <w:sz w:val="32"/>
          <w:szCs w:val="32"/>
        </w:rPr>
        <w:t>专利包括在境内外申请的合法持有的发明、实用新型和外观设计，其中，在境外申请的专利特指通过巴黎公约或专利合作条约（PCT）申请的，且可通过联合国世界知识产权组织等权威机构检索到的专利。每拥有一项发明专利得3分；每拥有一项实用新型专利得1分；</w:t>
      </w:r>
      <w:r>
        <w:rPr>
          <w:rFonts w:hint="eastAsia" w:ascii="Times New Roman" w:hAnsi="Times New Roman" w:eastAsia="仿宋_GB2312"/>
          <w:sz w:val="32"/>
          <w:szCs w:val="32"/>
        </w:rPr>
        <w:t>每拥有一项</w:t>
      </w:r>
      <w:r>
        <w:rPr>
          <w:rFonts w:ascii="Times New Roman" w:hAnsi="Times New Roman" w:eastAsia="仿宋_GB2312"/>
          <w:sz w:val="32"/>
          <w:szCs w:val="32"/>
        </w:rPr>
        <w:t>外观专利和版权得1分</w:t>
      </w:r>
      <w:r>
        <w:rPr>
          <w:rFonts w:hint="eastAsia" w:ascii="Times New Roman" w:hAnsi="Times New Roman" w:eastAsia="仿宋_GB2312"/>
          <w:sz w:val="32"/>
          <w:szCs w:val="32"/>
        </w:rPr>
        <w:t>，累计不超过30分</w:t>
      </w:r>
      <w:r>
        <w:rPr>
          <w:rFonts w:ascii="Times New Roman" w:hAnsi="Times New Roman" w:eastAsia="仿宋_GB2312"/>
          <w:sz w:val="32"/>
          <w:szCs w:val="32"/>
        </w:rPr>
        <w:t>。</w:t>
      </w:r>
    </w:p>
    <w:p>
      <w:pPr>
        <w:snapToGrid w:val="0"/>
        <w:spacing w:line="600" w:lineRule="exact"/>
        <w:ind w:firstLine="643" w:firstLineChars="200"/>
        <w:rPr>
          <w:rFonts w:ascii="Times New Roman" w:hAnsi="Times New Roman" w:eastAsia="仿宋_GB2312"/>
          <w:sz w:val="32"/>
          <w:szCs w:val="32"/>
        </w:rPr>
      </w:pPr>
      <w:r>
        <w:rPr>
          <w:rFonts w:ascii="Times New Roman" w:hAnsi="Times New Roman" w:eastAsia="楷体_GB2312"/>
          <w:b/>
          <w:bCs/>
          <w:sz w:val="32"/>
          <w:szCs w:val="32"/>
        </w:rPr>
        <w:t>（</w:t>
      </w:r>
      <w:r>
        <w:rPr>
          <w:rFonts w:hint="eastAsia" w:ascii="Times New Roman" w:hAnsi="Times New Roman" w:eastAsia="楷体_GB2312"/>
          <w:b/>
          <w:bCs/>
          <w:sz w:val="32"/>
          <w:szCs w:val="32"/>
        </w:rPr>
        <w:t>二</w:t>
      </w:r>
      <w:r>
        <w:rPr>
          <w:rFonts w:ascii="Times New Roman" w:hAnsi="Times New Roman" w:eastAsia="楷体_GB2312"/>
          <w:b/>
          <w:bCs/>
          <w:sz w:val="32"/>
          <w:szCs w:val="32"/>
        </w:rPr>
        <w:t>）国家标准或行业标准。</w:t>
      </w:r>
      <w:r>
        <w:rPr>
          <w:rFonts w:ascii="Times New Roman" w:hAnsi="Times New Roman" w:eastAsia="仿宋_GB2312"/>
          <w:sz w:val="32"/>
          <w:szCs w:val="32"/>
        </w:rPr>
        <w:t>每制定或修订一个产品（技术）的国家标准得5分，每制定或修订一个产品（技术）的行业标准得3分，累计不超过</w:t>
      </w:r>
      <w:r>
        <w:rPr>
          <w:rFonts w:hint="eastAsia" w:ascii="Times New Roman" w:hAnsi="Times New Roman" w:eastAsia="仿宋_GB2312"/>
          <w:sz w:val="32"/>
          <w:szCs w:val="32"/>
        </w:rPr>
        <w:t>15</w:t>
      </w:r>
      <w:r>
        <w:rPr>
          <w:rFonts w:ascii="Times New Roman" w:hAnsi="Times New Roman" w:eastAsia="仿宋_GB2312"/>
          <w:sz w:val="32"/>
          <w:szCs w:val="32"/>
        </w:rPr>
        <w:t>分。</w:t>
      </w:r>
    </w:p>
    <w:p>
      <w:pPr>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本项</w:t>
      </w:r>
      <w:r>
        <w:rPr>
          <w:rFonts w:ascii="Times New Roman" w:hAnsi="Times New Roman" w:eastAsia="仿宋_GB2312"/>
          <w:sz w:val="32"/>
          <w:szCs w:val="32"/>
        </w:rPr>
        <w:t>累计不超过</w:t>
      </w:r>
      <w:r>
        <w:rPr>
          <w:rFonts w:hint="eastAsia" w:ascii="Times New Roman" w:hAnsi="Times New Roman" w:eastAsia="仿宋_GB2312"/>
          <w:sz w:val="32"/>
          <w:szCs w:val="32"/>
        </w:rPr>
        <w:t>45</w:t>
      </w:r>
      <w:r>
        <w:rPr>
          <w:rFonts w:ascii="Times New Roman" w:hAnsi="Times New Roman" w:eastAsia="仿宋_GB2312"/>
          <w:sz w:val="32"/>
          <w:szCs w:val="32"/>
        </w:rPr>
        <w:t>分。</w:t>
      </w:r>
    </w:p>
    <w:p>
      <w:pPr>
        <w:pStyle w:val="11"/>
        <w:autoSpaceDE/>
        <w:autoSpaceDN/>
        <w:adjustRightInd/>
        <w:snapToGrid w:val="0"/>
        <w:spacing w:line="600" w:lineRule="exact"/>
        <w:ind w:firstLine="601"/>
        <w:rPr>
          <w:rFonts w:ascii="Times New Roman" w:hAnsi="Times New Roman" w:eastAsia="黑体"/>
          <w:sz w:val="32"/>
          <w:szCs w:val="32"/>
        </w:rPr>
      </w:pPr>
      <w:r>
        <w:rPr>
          <w:rFonts w:ascii="Times New Roman" w:hAnsi="Times New Roman" w:eastAsia="黑体"/>
          <w:sz w:val="32"/>
          <w:szCs w:val="32"/>
        </w:rPr>
        <w:t>五、国际通行认证（</w:t>
      </w:r>
      <w:r>
        <w:rPr>
          <w:rFonts w:hint="eastAsia" w:ascii="Times New Roman" w:hAnsi="Times New Roman" w:eastAsia="黑体"/>
          <w:sz w:val="32"/>
          <w:szCs w:val="32"/>
        </w:rPr>
        <w:t>15</w:t>
      </w:r>
      <w:r>
        <w:rPr>
          <w:rFonts w:ascii="Times New Roman" w:hAnsi="Times New Roman" w:eastAsia="黑体"/>
          <w:sz w:val="32"/>
          <w:szCs w:val="32"/>
        </w:rPr>
        <w:t>分）</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国际通行的质量管理体系、环境管理体系或行业认证的有效证书持有者须与专区展位申请企业一致，且覆盖产品应属于</w:t>
      </w:r>
      <w:r>
        <w:rPr>
          <w:rFonts w:hint="eastAsia" w:ascii="Times New Roman" w:hAnsi="Times New Roman" w:eastAsia="仿宋_GB2312"/>
          <w:sz w:val="32"/>
          <w:szCs w:val="32"/>
          <w:lang w:val="en-US" w:eastAsia="zh-CN"/>
        </w:rPr>
        <w:t>时尚饰品</w:t>
      </w:r>
      <w:r>
        <w:rPr>
          <w:rFonts w:ascii="Times New Roman" w:hAnsi="Times New Roman" w:eastAsia="仿宋_GB2312"/>
          <w:sz w:val="32"/>
          <w:szCs w:val="32"/>
        </w:rPr>
        <w:t>专区规定的</w:t>
      </w:r>
      <w:r>
        <w:rPr>
          <w:rFonts w:hint="eastAsia" w:ascii="Times New Roman" w:hAnsi="Times New Roman" w:eastAsia="仿宋_GB2312"/>
          <w:sz w:val="32"/>
          <w:szCs w:val="32"/>
          <w:highlight w:val="none"/>
          <w:lang w:val="en-US" w:eastAsia="zh-CN"/>
        </w:rPr>
        <w:t>展品范围</w:t>
      </w:r>
      <w:r>
        <w:rPr>
          <w:rFonts w:ascii="Times New Roman" w:hAnsi="Times New Roman" w:eastAsia="仿宋_GB2312"/>
          <w:sz w:val="32"/>
          <w:szCs w:val="32"/>
        </w:rPr>
        <w:t>。</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（一）国际质量管理体系、环境管理体系指：ISO9000 系列质量管理体系、ISO14000 系列环境管理体系、</w:t>
      </w:r>
      <w:r>
        <w:rPr>
          <w:rFonts w:ascii="Times New Roman" w:hAnsi="Times New Roman" w:eastAsia="仿宋"/>
          <w:sz w:val="32"/>
          <w:szCs w:val="32"/>
        </w:rPr>
        <w:t xml:space="preserve">ISO45000 </w:t>
      </w:r>
      <w:r>
        <w:rPr>
          <w:rFonts w:ascii="Times New Roman" w:hAnsi="Times New Roman" w:eastAsia="仿宋_GB2312"/>
          <w:sz w:val="32"/>
          <w:szCs w:val="32"/>
        </w:rPr>
        <w:t>系列职业健康安全管理体系、SA8000社会责任标准。通过一项认证得2分。</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（二）行业认证包括面向企业的行业认证和面向产品或生产线的行业认证，其中：</w:t>
      </w:r>
    </w:p>
    <w:p>
      <w:pPr>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面向企业的行业认证包括COP</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珠宝首饰行业行为准则认证</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、COC（贵金属产销监管链认证），通过一项认证得2分。</w:t>
      </w:r>
    </w:p>
    <w:p>
      <w:pPr>
        <w:snapToGrid w:val="0"/>
        <w:spacing w:line="600" w:lineRule="exact"/>
        <w:ind w:firstLine="627" w:firstLineChars="196"/>
        <w:rPr>
          <w:rFonts w:ascii="Times New Roman" w:hAnsi="Times New Roman" w:eastAsia="仿宋_GB2312"/>
          <w:sz w:val="32"/>
          <w:szCs w:val="32"/>
        </w:rPr>
      </w:pPr>
      <w:r>
        <w:rPr>
          <w:rFonts w:ascii="Times New Roman" w:hAnsi="Times New Roman" w:eastAsia="仿宋_GB2312"/>
          <w:sz w:val="32"/>
          <w:szCs w:val="32"/>
        </w:rPr>
        <w:t>面向产品</w:t>
      </w:r>
      <w:r>
        <w:rPr>
          <w:rFonts w:hint="eastAsia" w:ascii="Times New Roman" w:hAnsi="Times New Roman" w:eastAsia="仿宋_GB2312"/>
          <w:sz w:val="32"/>
          <w:szCs w:val="32"/>
        </w:rPr>
        <w:t>、</w:t>
      </w:r>
      <w:r>
        <w:rPr>
          <w:rFonts w:ascii="Times New Roman" w:hAnsi="Times New Roman" w:eastAsia="仿宋_GB2312"/>
          <w:sz w:val="32"/>
          <w:szCs w:val="32"/>
        </w:rPr>
        <w:t>生产线</w:t>
      </w:r>
      <w:r>
        <w:rPr>
          <w:rFonts w:hint="eastAsia" w:ascii="Times New Roman" w:hAnsi="Times New Roman" w:eastAsia="仿宋_GB2312"/>
          <w:sz w:val="32"/>
          <w:szCs w:val="32"/>
          <w:lang w:val="en-US" w:eastAsia="zh-CN"/>
        </w:rPr>
        <w:t>的</w:t>
      </w:r>
      <w:r>
        <w:rPr>
          <w:rFonts w:ascii="Times New Roman" w:hAnsi="Times New Roman" w:eastAsia="仿宋_GB2312"/>
          <w:sz w:val="32"/>
          <w:szCs w:val="32"/>
        </w:rPr>
        <w:t>行业认证标准包括</w:t>
      </w:r>
      <w:r>
        <w:rPr>
          <w:rFonts w:hint="eastAsia" w:ascii="Times New Roman" w:hAnsi="Times New Roman" w:eastAsia="仿宋_GB2312"/>
          <w:sz w:val="32"/>
          <w:szCs w:val="32"/>
        </w:rPr>
        <w:t>GIA</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美国宝石学院</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、IGI（国际宝石学院）、NGTC</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国检</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、HRD</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比利时</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、AGS（切工精度评级）、欧盟REACH、CE、德国GS、TUV、美国CPSIA</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儿童珠宝铅/邻笨</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、ASTM</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成人首饰安全</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、英国UKCA，BSCI认证、SMETA认证，</w:t>
      </w:r>
      <w:r>
        <w:rPr>
          <w:rFonts w:ascii="Times New Roman" w:hAnsi="Times New Roman" w:eastAsia="仿宋_GB2312"/>
          <w:sz w:val="32"/>
          <w:szCs w:val="32"/>
        </w:rPr>
        <w:t>通过一项认证得1分，同个产品或生产线通过多项认证累计不超过2分。</w:t>
      </w:r>
    </w:p>
    <w:p>
      <w:pPr>
        <w:snapToGrid w:val="0"/>
        <w:spacing w:line="600" w:lineRule="exact"/>
        <w:ind w:firstLine="627" w:firstLineChars="196"/>
        <w:rPr>
          <w:rFonts w:ascii="Times New Roman" w:hAnsi="Times New Roman" w:eastAsia="仿宋_GB2312"/>
          <w:sz w:val="32"/>
          <w:szCs w:val="32"/>
        </w:rPr>
      </w:pPr>
      <w:r>
        <w:rPr>
          <w:rFonts w:ascii="Times New Roman" w:hAnsi="Times New Roman" w:eastAsia="仿宋_GB2312"/>
          <w:sz w:val="32"/>
          <w:szCs w:val="32"/>
        </w:rPr>
        <w:t>以上认证累计不超过</w:t>
      </w:r>
      <w:r>
        <w:rPr>
          <w:rFonts w:hint="eastAsia" w:ascii="Times New Roman" w:hAnsi="Times New Roman" w:eastAsia="仿宋_GB2312"/>
          <w:sz w:val="32"/>
          <w:szCs w:val="32"/>
        </w:rPr>
        <w:t>15</w:t>
      </w:r>
      <w:r>
        <w:rPr>
          <w:rFonts w:ascii="Times New Roman" w:hAnsi="Times New Roman" w:eastAsia="仿宋_GB2312"/>
          <w:sz w:val="32"/>
          <w:szCs w:val="32"/>
        </w:rPr>
        <w:t>分。</w:t>
      </w:r>
    </w:p>
    <w:p>
      <w:pPr>
        <w:pStyle w:val="11"/>
        <w:autoSpaceDE/>
        <w:autoSpaceDN/>
        <w:adjustRightInd/>
        <w:snapToGrid w:val="0"/>
        <w:spacing w:line="600" w:lineRule="exact"/>
        <w:ind w:firstLine="601"/>
        <w:rPr>
          <w:rFonts w:ascii="Times New Roman" w:hAnsi="Times New Roman" w:eastAsia="黑体"/>
          <w:sz w:val="32"/>
          <w:szCs w:val="32"/>
        </w:rPr>
      </w:pPr>
      <w:r>
        <w:rPr>
          <w:rFonts w:ascii="Times New Roman" w:hAnsi="Times New Roman" w:eastAsia="黑体"/>
          <w:sz w:val="32"/>
          <w:szCs w:val="32"/>
        </w:rPr>
        <w:t>六、自主可控能力（</w:t>
      </w:r>
      <w:r>
        <w:rPr>
          <w:rFonts w:hint="eastAsia" w:ascii="Times New Roman" w:hAnsi="Times New Roman" w:eastAsia="黑体"/>
          <w:sz w:val="32"/>
          <w:szCs w:val="32"/>
        </w:rPr>
        <w:t>15</w:t>
      </w:r>
      <w:r>
        <w:rPr>
          <w:rFonts w:ascii="Times New Roman" w:hAnsi="Times New Roman" w:eastAsia="黑体"/>
          <w:sz w:val="32"/>
          <w:szCs w:val="32"/>
        </w:rPr>
        <w:t>分）</w:t>
      </w:r>
    </w:p>
    <w:p>
      <w:pPr>
        <w:pStyle w:val="11"/>
        <w:autoSpaceDE/>
        <w:autoSpaceDN/>
        <w:adjustRightInd/>
        <w:snapToGrid w:val="0"/>
        <w:spacing w:line="600" w:lineRule="exact"/>
        <w:ind w:firstLine="601"/>
        <w:rPr>
          <w:rFonts w:ascii="Times New Roman" w:hAnsi="Times New Roman" w:eastAsia="黑体"/>
          <w:sz w:val="32"/>
          <w:szCs w:val="32"/>
        </w:rPr>
      </w:pPr>
      <w:r>
        <w:rPr>
          <w:rFonts w:ascii="Times New Roman" w:hAnsi="Times New Roman" w:eastAsia="仿宋_GB2312"/>
          <w:sz w:val="32"/>
          <w:szCs w:val="32"/>
        </w:rPr>
        <w:t>有自有工厂的企业得5分；有</w:t>
      </w:r>
      <w:r>
        <w:rPr>
          <w:rFonts w:hint="eastAsia" w:ascii="Times New Roman" w:hAnsi="Times New Roman" w:eastAsia="仿宋_GB2312"/>
          <w:sz w:val="32"/>
          <w:szCs w:val="32"/>
        </w:rPr>
        <w:t>自主设计师队伍</w:t>
      </w:r>
      <w:r>
        <w:rPr>
          <w:rFonts w:ascii="Times New Roman" w:hAnsi="Times New Roman" w:eastAsia="仿宋_GB2312"/>
          <w:sz w:val="32"/>
          <w:szCs w:val="32"/>
        </w:rPr>
        <w:t>的企业得5分；有上游供应链管理能力的企业得5分</w:t>
      </w:r>
      <w:r>
        <w:rPr>
          <w:rFonts w:hint="eastAsia" w:ascii="Times New Roman" w:hAnsi="Times New Roman" w:eastAsia="仿宋_GB2312"/>
          <w:sz w:val="32"/>
          <w:szCs w:val="32"/>
        </w:rPr>
        <w:t>；有境外销售渠道的企业得5分</w:t>
      </w:r>
      <w:r>
        <w:rPr>
          <w:rFonts w:ascii="Times New Roman" w:hAnsi="Times New Roman" w:eastAsia="仿宋_GB2312"/>
          <w:sz w:val="32"/>
          <w:szCs w:val="32"/>
        </w:rPr>
        <w:t>。本项累计不超过</w:t>
      </w:r>
      <w:r>
        <w:rPr>
          <w:rFonts w:hint="eastAsia" w:ascii="Times New Roman" w:hAnsi="Times New Roman" w:eastAsia="仿宋_GB2312"/>
          <w:sz w:val="32"/>
          <w:szCs w:val="32"/>
        </w:rPr>
        <w:t>15</w:t>
      </w:r>
      <w:r>
        <w:rPr>
          <w:rFonts w:ascii="Times New Roman" w:hAnsi="Times New Roman" w:eastAsia="仿宋_GB2312"/>
          <w:sz w:val="32"/>
          <w:szCs w:val="32"/>
        </w:rPr>
        <w:t>分。</w:t>
      </w:r>
    </w:p>
    <w:p>
      <w:pPr>
        <w:pStyle w:val="11"/>
        <w:autoSpaceDE/>
        <w:autoSpaceDN/>
        <w:adjustRightInd/>
        <w:snapToGrid w:val="0"/>
        <w:spacing w:line="600" w:lineRule="exact"/>
        <w:ind w:firstLine="601"/>
        <w:rPr>
          <w:rFonts w:ascii="Times New Roman" w:hAnsi="Times New Roman" w:eastAsia="黑体"/>
          <w:sz w:val="32"/>
          <w:szCs w:val="32"/>
        </w:rPr>
      </w:pPr>
      <w:r>
        <w:rPr>
          <w:rFonts w:ascii="Times New Roman" w:hAnsi="Times New Roman" w:eastAsia="黑体"/>
          <w:sz w:val="32"/>
          <w:szCs w:val="32"/>
        </w:rPr>
        <w:t>七、行业影响力（15分）</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由商会推荐的专家结合产品的创新性、市场认可度以及企业和产品在行业中的影响力等维度进行专业评分。本项累计不超过15分。</w:t>
      </w:r>
    </w:p>
    <w:p>
      <w:pPr>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八、展位使用管理要求</w:t>
      </w:r>
    </w:p>
    <w:p>
      <w:pPr>
        <w:snapToGrid w:val="0"/>
        <w:spacing w:line="600" w:lineRule="exact"/>
        <w:ind w:firstLine="643" w:firstLineChars="200"/>
        <w:rPr>
          <w:rFonts w:ascii="Times New Roman" w:hAnsi="Times New Roman" w:eastAsia="仿宋_GB2312"/>
          <w:sz w:val="32"/>
          <w:szCs w:val="32"/>
        </w:rPr>
      </w:pPr>
      <w:r>
        <w:rPr>
          <w:rFonts w:ascii="Times New Roman" w:hAnsi="Times New Roman" w:eastAsia="楷体_GB2312"/>
          <w:b/>
          <w:bCs/>
          <w:sz w:val="32"/>
          <w:szCs w:val="32"/>
        </w:rPr>
        <w:t>（一）展位数量。</w:t>
      </w:r>
      <w:r>
        <w:rPr>
          <w:rFonts w:ascii="Times New Roman" w:hAnsi="Times New Roman" w:eastAsia="仿宋_GB2312"/>
          <w:sz w:val="32"/>
          <w:szCs w:val="32"/>
        </w:rPr>
        <w:t>专区参展企业每家获得展位数不低于</w:t>
      </w:r>
      <w:r>
        <w:rPr>
          <w:rFonts w:hint="eastAsia" w:ascii="Times New Roman" w:hAnsi="Times New Roman" w:eastAsia="仿宋_GB2312"/>
          <w:sz w:val="32"/>
          <w:szCs w:val="32"/>
        </w:rPr>
        <w:t>2</w:t>
      </w:r>
      <w:r>
        <w:rPr>
          <w:rFonts w:ascii="Times New Roman" w:hAnsi="Times New Roman" w:eastAsia="仿宋_GB2312"/>
          <w:sz w:val="32"/>
          <w:szCs w:val="32"/>
        </w:rPr>
        <w:t>个。安排结果在广交会官网进行公示公布。</w:t>
      </w:r>
    </w:p>
    <w:p>
      <w:pPr>
        <w:snapToGrid w:val="0"/>
        <w:spacing w:line="600" w:lineRule="exact"/>
        <w:ind w:firstLine="643" w:firstLineChars="200"/>
        <w:rPr>
          <w:rFonts w:ascii="Times New Roman" w:hAnsi="Times New Roman" w:eastAsia="仿宋_GB2312"/>
          <w:sz w:val="32"/>
          <w:szCs w:val="32"/>
        </w:rPr>
      </w:pPr>
      <w:r>
        <w:rPr>
          <w:rFonts w:ascii="Times New Roman" w:hAnsi="Times New Roman" w:eastAsia="楷体_GB2312"/>
          <w:b/>
          <w:bCs/>
          <w:sz w:val="32"/>
          <w:szCs w:val="32"/>
        </w:rPr>
        <w:t>（二）展位位置。</w:t>
      </w:r>
      <w:r>
        <w:rPr>
          <w:rFonts w:ascii="Times New Roman" w:hAnsi="Times New Roman" w:eastAsia="仿宋_GB2312"/>
          <w:sz w:val="32"/>
          <w:szCs w:val="32"/>
        </w:rPr>
        <w:t>由</w:t>
      </w:r>
      <w:r>
        <w:rPr>
          <w:rFonts w:hint="eastAsia" w:ascii="Times New Roman" w:hAnsi="Times New Roman" w:eastAsia="仿宋_GB2312"/>
          <w:sz w:val="32"/>
          <w:szCs w:val="32"/>
        </w:rPr>
        <w:t>轻工</w:t>
      </w:r>
      <w:r>
        <w:rPr>
          <w:rFonts w:ascii="Times New Roman" w:hAnsi="Times New Roman" w:eastAsia="仿宋_GB2312"/>
          <w:sz w:val="32"/>
          <w:szCs w:val="32"/>
        </w:rPr>
        <w:t>商会按照参展企业得分，按照优企优地、同类产品适当集聚的原则安排。安排结果在广交会官网进行公示公布。</w:t>
      </w:r>
    </w:p>
    <w:p>
      <w:pPr>
        <w:snapToGrid w:val="0"/>
        <w:spacing w:line="600" w:lineRule="exact"/>
        <w:ind w:firstLine="643" w:firstLineChars="200"/>
        <w:rPr>
          <w:rFonts w:ascii="Times New Roman" w:hAnsi="Times New Roman" w:eastAsia="仿宋_GB2312"/>
          <w:sz w:val="32"/>
          <w:szCs w:val="32"/>
          <w:highlight w:val="green"/>
        </w:rPr>
      </w:pPr>
      <w:r>
        <w:rPr>
          <w:rFonts w:ascii="Times New Roman" w:hAnsi="Times New Roman" w:eastAsia="楷体_GB2312"/>
          <w:b/>
          <w:bCs/>
          <w:sz w:val="32"/>
          <w:szCs w:val="32"/>
          <w:highlight w:val="none"/>
        </w:rPr>
        <w:t>（三）展位使用管理。</w:t>
      </w:r>
      <w:r>
        <w:rPr>
          <w:rFonts w:ascii="Times New Roman" w:hAnsi="Times New Roman" w:eastAsia="仿宋_GB2312"/>
          <w:sz w:val="32"/>
          <w:szCs w:val="32"/>
          <w:highlight w:val="none"/>
        </w:rPr>
        <w:t>专区展位仅限本企业使用，不得与有联合经营或供货关系的企业共同参展。一经发现违反广交会展位使用管理规定相关行为</w:t>
      </w:r>
      <w:r>
        <w:rPr>
          <w:rFonts w:hint="eastAsia" w:ascii="仿宋_GB2312" w:hAnsi="Times New Roman" w:eastAsia="仿宋_GB2312" w:cs="仿宋_GB2312"/>
          <w:kern w:val="2"/>
          <w:sz w:val="32"/>
          <w:szCs w:val="32"/>
          <w:highlight w:val="none"/>
        </w:rPr>
        <w:t>，</w:t>
      </w:r>
      <w:r>
        <w:rPr>
          <w:rFonts w:hint="eastAsia" w:ascii="仿宋_GB2312" w:hAnsi="Times New Roman" w:eastAsia="仿宋_GB2312" w:cs="仿宋_GB2312"/>
          <w:kern w:val="2"/>
          <w:sz w:val="32"/>
          <w:szCs w:val="32"/>
        </w:rPr>
        <w:t>按照《中国进出口商品交易会出口展展位使用管理规定》处理。</w:t>
      </w:r>
    </w:p>
    <w:p>
      <w:pPr>
        <w:spacing w:line="600" w:lineRule="exact"/>
        <w:ind w:firstLine="643" w:firstLineChars="200"/>
        <w:rPr>
          <w:rFonts w:hint="default"/>
        </w:rPr>
      </w:pPr>
      <w:r>
        <w:rPr>
          <w:rFonts w:ascii="Times New Roman" w:hAnsi="Times New Roman" w:eastAsia="楷体_GB2312"/>
          <w:b/>
          <w:bCs/>
          <w:sz w:val="32"/>
          <w:szCs w:val="32"/>
        </w:rPr>
        <w:t>（四）展位动态调整。</w:t>
      </w:r>
      <w:r>
        <w:rPr>
          <w:rFonts w:ascii="Times New Roman" w:hAnsi="Times New Roman" w:eastAsia="仿宋_GB2312"/>
          <w:sz w:val="32"/>
          <w:szCs w:val="32"/>
        </w:rPr>
        <w:t>对专区参展企业原则上实行二年一评制，其展位数量安排原则上保持四届不变。允许企业退回展位，退回部分参照本标准重新安排至有需求的企业。两次重评期间，非专区企业可随时提交、补充或更新申请材料。申报时间节点参照每届品牌展位申报通知执行。</w:t>
      </w:r>
    </w:p>
    <w:p/>
    <w:sectPr>
      <w:footerReference r:id="rId3" w:type="default"/>
      <w:pgSz w:w="11906" w:h="16838"/>
      <w:pgMar w:top="1440" w:right="1800" w:bottom="1440" w:left="1800" w:header="851" w:footer="992" w:gutter="0"/>
      <w:pgNumType w:fmt="decimal" w:start="89"/>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187FC2"/>
    <w:rsid w:val="04097B92"/>
    <w:rsid w:val="08F123CA"/>
    <w:rsid w:val="0A4D7496"/>
    <w:rsid w:val="10082B4A"/>
    <w:rsid w:val="16935139"/>
    <w:rsid w:val="24187FC2"/>
    <w:rsid w:val="24296EFD"/>
    <w:rsid w:val="258D6FE3"/>
    <w:rsid w:val="38267A37"/>
    <w:rsid w:val="3DC55A6C"/>
    <w:rsid w:val="52CE1606"/>
    <w:rsid w:val="5D8D6400"/>
    <w:rsid w:val="61AB1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widowControl w:val="0"/>
      <w:spacing w:before="260" w:after="260" w:line="412" w:lineRule="auto"/>
      <w:outlineLvl w:val="1"/>
    </w:pPr>
    <w:rPr>
      <w:rFonts w:ascii="Arial" w:hAnsi="Arial" w:eastAsia="黑体"/>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next w:val="1"/>
    <w:qFormat/>
    <w:uiPriority w:val="10"/>
    <w:pPr>
      <w:widowControl w:val="0"/>
      <w:autoSpaceDE w:val="0"/>
      <w:autoSpaceDN w:val="0"/>
      <w:adjustRightInd w:val="0"/>
      <w:spacing w:line="360" w:lineRule="auto"/>
      <w:ind w:firstLine="641" w:firstLineChars="200"/>
    </w:pPr>
    <w:rPr>
      <w:rFonts w:ascii="楷体_GB2312" w:hAnsi="Times New Roman" w:eastAsia="楷体_GB2312" w:cs="Times New Roman"/>
      <w:b/>
      <w:color w:val="auto"/>
      <w:kern w:val="0"/>
      <w:sz w:val="32"/>
      <w:szCs w:val="20"/>
      <w:lang w:val="en-US" w:eastAsia="zh-CN" w:bidi="ar-SA"/>
    </w:rPr>
  </w:style>
  <w:style w:type="table" w:styleId="7">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附件"/>
    <w:basedOn w:val="1"/>
    <w:qFormat/>
    <w:uiPriority w:val="0"/>
    <w:pPr>
      <w:jc w:val="left"/>
    </w:pPr>
    <w:rPr>
      <w:rFonts w:hint="eastAsia" w:ascii="黑体" w:hAnsi="黑体" w:eastAsia="黑体" w:cs="Times New Roman"/>
      <w:sz w:val="32"/>
      <w:szCs w:val="32"/>
    </w:rPr>
  </w:style>
  <w:style w:type="paragraph" w:customStyle="1" w:styleId="10">
    <w:name w:val="附件标题"/>
    <w:basedOn w:val="1"/>
    <w:qFormat/>
    <w:uiPriority w:val="0"/>
    <w:pPr>
      <w:ind w:firstLine="0" w:firstLineChars="0"/>
      <w:jc w:val="left"/>
    </w:pPr>
    <w:rPr>
      <w:rFonts w:hint="eastAsia" w:ascii="黑体" w:hAnsi="黑体" w:eastAsia="黑体" w:cs="Arial"/>
      <w:sz w:val="32"/>
      <w:szCs w:val="32"/>
    </w:rPr>
  </w:style>
  <w:style w:type="paragraph" w:customStyle="1" w:styleId="11">
    <w:name w:val="CM10"/>
    <w:basedOn w:val="1"/>
    <w:next w:val="1"/>
    <w:qFormat/>
    <w:uiPriority w:val="0"/>
    <w:pPr>
      <w:autoSpaceDE w:val="0"/>
      <w:autoSpaceDN w:val="0"/>
      <w:adjustRightInd w:val="0"/>
      <w:spacing w:line="580" w:lineRule="atLeast"/>
      <w:jc w:val="left"/>
    </w:pPr>
    <w:rPr>
      <w:rFonts w:ascii="宋体"/>
      <w:kern w:val="0"/>
      <w:sz w:val="24"/>
    </w:rPr>
  </w:style>
  <w:style w:type="paragraph" w:customStyle="1" w:styleId="12">
    <w:name w:val="CM14"/>
    <w:next w:val="13"/>
    <w:qFormat/>
    <w:uiPriority w:val="0"/>
    <w:pPr>
      <w:widowControl w:val="0"/>
      <w:autoSpaceDE w:val="0"/>
      <w:autoSpaceDN w:val="0"/>
      <w:adjustRightInd w:val="0"/>
    </w:pPr>
    <w:rPr>
      <w:rFonts w:ascii="宋体" w:hAnsi="Times New Roman" w:eastAsia="宋体" w:cs="Times New Roman"/>
      <w:color w:val="auto"/>
      <w:kern w:val="2"/>
      <w:sz w:val="24"/>
      <w:szCs w:val="24"/>
      <w:lang w:val="en-US" w:eastAsia="zh-CN" w:bidi="ar-SA"/>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kern w:val="2"/>
      <w:sz w:val="24"/>
      <w:szCs w:val="24"/>
      <w:lang w:val="en-US" w:eastAsia="zh-CN" w:bidi="ar-SA"/>
    </w:rPr>
  </w:style>
  <w:style w:type="paragraph" w:customStyle="1" w:styleId="14">
    <w:name w:val="CM7"/>
    <w:basedOn w:val="13"/>
    <w:next w:val="13"/>
    <w:qFormat/>
    <w:uiPriority w:val="0"/>
    <w:pPr>
      <w:widowControl w:val="0"/>
      <w:autoSpaceDE w:val="0"/>
      <w:autoSpaceDN w:val="0"/>
      <w:adjustRightInd w:val="0"/>
      <w:spacing w:line="583" w:lineRule="atLeast"/>
    </w:pPr>
    <w:rPr>
      <w:rFonts w:ascii="宋体" w:hAnsi="Times New Roman" w:eastAsia="宋体" w:cs="Times New Roman"/>
      <w:color w:val="auto"/>
      <w:kern w:val="2"/>
      <w:sz w:val="24"/>
      <w:szCs w:val="24"/>
      <w:lang w:val="en-US" w:eastAsia="zh-CN" w:bidi="ar-SA"/>
    </w:rPr>
  </w:style>
  <w:style w:type="paragraph" w:customStyle="1" w:styleId="15">
    <w:name w:val="CM2"/>
    <w:next w:val="13"/>
    <w:qFormat/>
    <w:uiPriority w:val="0"/>
    <w:pPr>
      <w:widowControl w:val="0"/>
      <w:autoSpaceDE w:val="0"/>
      <w:autoSpaceDN w:val="0"/>
      <w:adjustRightInd w:val="0"/>
      <w:spacing w:line="580" w:lineRule="atLeast"/>
    </w:pPr>
    <w:rPr>
      <w:rFonts w:ascii="宋体" w:hAnsi="Times New Roman" w:eastAsia="宋体" w:cs="Times New Roman"/>
      <w:color w:val="auto"/>
      <w:kern w:val="2"/>
      <w:sz w:val="24"/>
      <w:szCs w:val="24"/>
      <w:lang w:val="en-US" w:eastAsia="zh-CN" w:bidi="ar-SA"/>
    </w:rPr>
  </w:style>
  <w:style w:type="paragraph" w:customStyle="1" w:styleId="16">
    <w:name w:val="CM18"/>
    <w:next w:val="13"/>
    <w:qFormat/>
    <w:uiPriority w:val="0"/>
    <w:pPr>
      <w:widowControl w:val="0"/>
      <w:autoSpaceDE w:val="0"/>
      <w:autoSpaceDN w:val="0"/>
      <w:adjustRightInd w:val="0"/>
    </w:pPr>
    <w:rPr>
      <w:rFonts w:ascii="宋体" w:hAnsi="Times New Roman" w:eastAsia="宋体" w:cs="Times New Roman"/>
      <w:color w:val="auto"/>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1782</Words>
  <Characters>1906</Characters>
  <Lines>0</Lines>
  <Paragraphs>0</Paragraphs>
  <TotalTime>0</TotalTime>
  <ScaleCrop>false</ScaleCrop>
  <LinksUpToDate>false</LinksUpToDate>
  <CharactersWithSpaces>1909</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2026-03-24T03:14:00Z</dcterms:created>
  <dc:creator>czx</dc:creator>
  <cp:lastModifiedBy>收文会务（陈楠）</cp:lastModifiedBy>
  <cp:lastPrinted>2026-05-26T10:03:00Z</cp:lastPrinted>
  <dcterms:modified xsi:type="dcterms:W3CDTF">2026-05-29T07:22:42Z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01A8158D85554264ABA388993B0BAF1F_11</vt:lpwstr>
  </property>
  <property fmtid="{D5CDD505-2E9C-101B-9397-08002B2CF9AE}" pid="4" name="KSOTemplateDocerSaveRecord">
    <vt:lpwstr>eyJoZGlkIjoiZWEwZWU2NDE5NjI0ODFhZjEyZWZmYWNkZGJjMzBlODUiLCJ1c2VySWQiOiIxNDk3MzQ1MTc2In0=</vt:lpwstr>
  </property>
</Properties>
</file>