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cs="黑体"/>
          <w:kern w:val="0"/>
          <w:sz w:val="32"/>
          <w:szCs w:val="32"/>
        </w:rPr>
      </w:pPr>
      <w:r>
        <w:rPr>
          <w:rFonts w:hint="eastAsia" w:ascii="黑体" w:hAnsi="黑体" w:eastAsia="黑体" w:cs="黑体"/>
          <w:kern w:val="0"/>
          <w:sz w:val="32"/>
          <w:szCs w:val="32"/>
        </w:rPr>
        <w:t>附件</w:t>
      </w:r>
      <w:r>
        <w:rPr>
          <w:rFonts w:ascii="黑体" w:hAnsi="黑体" w:eastAsia="黑体" w:cs="黑体"/>
          <w:kern w:val="0"/>
          <w:sz w:val="32"/>
          <w:szCs w:val="32"/>
        </w:rPr>
        <w:t>1</w:t>
      </w:r>
    </w:p>
    <w:p>
      <w:pPr>
        <w:spacing w:line="560" w:lineRule="exact"/>
        <w:jc w:val="center"/>
        <w:rPr>
          <w:rFonts w:hint="eastAsia" w:ascii="方正小标宋简体" w:hAnsi="方正小标宋简体" w:eastAsia="方正小标宋简体" w:cs="方正小标宋简体"/>
          <w:kern w:val="0"/>
          <w:sz w:val="44"/>
          <w:szCs w:val="44"/>
        </w:rPr>
      </w:pPr>
    </w:p>
    <w:p>
      <w:pPr>
        <w:spacing w:line="560" w:lineRule="exac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第140届广交会深圳交易团</w:t>
      </w:r>
      <w:r>
        <w:rPr>
          <w:rFonts w:ascii="方正小标宋简体" w:hAnsi="方正小标宋简体" w:eastAsia="方正小标宋简体" w:cs="方正小标宋简体"/>
          <w:kern w:val="0"/>
          <w:sz w:val="44"/>
          <w:szCs w:val="44"/>
        </w:rPr>
        <w:t>品牌</w:t>
      </w:r>
      <w:r>
        <w:rPr>
          <w:rFonts w:hint="eastAsia" w:ascii="方正小标宋简体" w:hAnsi="方正小标宋简体" w:eastAsia="方正小标宋简体" w:cs="方正小标宋简体"/>
          <w:kern w:val="0"/>
          <w:sz w:val="44"/>
          <w:szCs w:val="44"/>
        </w:rPr>
        <w:t>展位确认</w:t>
      </w:r>
    </w:p>
    <w:p>
      <w:pPr>
        <w:spacing w:line="560" w:lineRule="exact"/>
        <w:jc w:val="center"/>
        <w:rPr>
          <w:rFonts w:hint="eastAsia" w:ascii="华文中宋" w:hAnsi="华文中宋" w:eastAsia="华文中宋"/>
          <w:kern w:val="0"/>
          <w:sz w:val="44"/>
          <w:szCs w:val="44"/>
        </w:rPr>
      </w:pPr>
      <w:r>
        <w:rPr>
          <w:rFonts w:hint="eastAsia" w:ascii="方正小标宋简体" w:hAnsi="方正小标宋简体" w:eastAsia="方正小标宋简体" w:cs="方正小标宋简体"/>
          <w:kern w:val="0"/>
          <w:sz w:val="44"/>
          <w:szCs w:val="44"/>
        </w:rPr>
        <w:t>及动态评审须知</w:t>
      </w:r>
    </w:p>
    <w:p>
      <w:pPr>
        <w:spacing w:line="560" w:lineRule="exact"/>
        <w:rPr>
          <w:rFonts w:hint="eastAsia" w:ascii="黑体" w:hAnsi="黑体" w:eastAsia="黑体" w:cs="黑体"/>
          <w:kern w:val="0"/>
          <w:sz w:val="32"/>
          <w:szCs w:val="32"/>
        </w:rPr>
      </w:pPr>
    </w:p>
    <w:p>
      <w:pPr>
        <w:pStyle w:val="8"/>
        <w:numPr>
          <w:ilvl w:val="0"/>
          <w:numId w:val="1"/>
        </w:numPr>
        <w:spacing w:line="560" w:lineRule="exact"/>
        <w:ind w:firstLineChars="0"/>
        <w:rPr>
          <w:rFonts w:hint="eastAsia" w:ascii="黑体" w:hAnsi="黑体" w:eastAsia="黑体"/>
          <w:kern w:val="0"/>
          <w:sz w:val="32"/>
          <w:szCs w:val="32"/>
        </w:rPr>
      </w:pPr>
      <w:r>
        <w:rPr>
          <w:rFonts w:ascii="黑体" w:hAnsi="黑体" w:eastAsia="黑体"/>
          <w:kern w:val="0"/>
          <w:sz w:val="32"/>
          <w:szCs w:val="32"/>
        </w:rPr>
        <w:t>品牌</w:t>
      </w:r>
      <w:r>
        <w:rPr>
          <w:rFonts w:hint="eastAsia" w:ascii="黑体" w:hAnsi="黑体" w:eastAsia="黑体"/>
          <w:kern w:val="0"/>
          <w:sz w:val="32"/>
          <w:szCs w:val="32"/>
        </w:rPr>
        <w:t>展位确认流程</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登录广交会“参展易捷通”系统</w:t>
      </w:r>
      <w:r>
        <w:rPr>
          <w:rFonts w:hint="eastAsia" w:ascii="仿宋_GB2312" w:hAnsi="仿宋_GB2312" w:eastAsia="仿宋_GB2312" w:cs="仿宋_GB2312"/>
          <w:spacing w:val="1"/>
          <w:w w:val="84"/>
          <w:kern w:val="0"/>
          <w:sz w:val="32"/>
          <w:szCs w:val="32"/>
          <w:fitText w:val="5280" w:id="-690254957"/>
        </w:rPr>
        <w:t>（https://exhibitor.cantonfair.org.cn）</w:t>
      </w:r>
      <w:r>
        <w:rPr>
          <w:rFonts w:hint="eastAsia" w:ascii="仿宋_GB2312" w:hAnsi="仿宋_GB2312" w:eastAsia="仿宋_GB2312" w:cs="仿宋_GB2312"/>
          <w:kern w:val="0"/>
          <w:sz w:val="32"/>
          <w:szCs w:val="32"/>
        </w:rPr>
        <w:t>,登记确认公司及展品信息，进行展位申请。完成“参展易捷通”系统申请登记后，再根据深圳交易团的要求，进入深圳交易团系统“广交会企业网上业务平台”</w:t>
      </w:r>
      <w:r>
        <w:rPr>
          <w:rFonts w:hint="eastAsia" w:ascii="仿宋_GB2312" w:hAnsi="仿宋_GB2312" w:eastAsia="仿宋_GB2312" w:cs="仿宋_GB2312"/>
          <w:spacing w:val="1"/>
          <w:w w:val="90"/>
          <w:kern w:val="0"/>
          <w:sz w:val="32"/>
          <w:szCs w:val="32"/>
          <w:fitText w:val="3200" w:id="-1614844194"/>
        </w:rPr>
        <w:t>（www.szfetsc.com.cn</w:t>
      </w:r>
      <w:r>
        <w:rPr>
          <w:rFonts w:hint="eastAsia" w:ascii="仿宋_GB2312" w:hAnsi="仿宋_GB2312" w:eastAsia="仿宋_GB2312" w:cs="仿宋_GB2312"/>
          <w:spacing w:val="6"/>
          <w:w w:val="90"/>
          <w:kern w:val="0"/>
          <w:sz w:val="32"/>
          <w:szCs w:val="32"/>
          <w:fitText w:val="3200" w:id="-1614844194"/>
        </w:rPr>
        <w:t>）</w:t>
      </w:r>
      <w:r>
        <w:rPr>
          <w:rFonts w:hint="eastAsia" w:ascii="仿宋_GB2312" w:hAnsi="仿宋_GB2312" w:eastAsia="仿宋_GB2312" w:cs="仿宋_GB2312"/>
          <w:kern w:val="0"/>
          <w:sz w:val="32"/>
          <w:szCs w:val="32"/>
        </w:rPr>
        <w:t>，使用“易捷通用户名”及“密码”登录，填写企业信息及上传展位申报资料并根据系统提示递交资料。</w:t>
      </w:r>
      <w:r>
        <w:rPr>
          <w:rFonts w:ascii="仿宋_GB2312" w:hAnsi="仿宋_GB2312" w:eastAsia="仿宋_GB2312" w:cs="仿宋_GB2312"/>
          <w:kern w:val="0"/>
          <w:sz w:val="32"/>
          <w:szCs w:val="32"/>
        </w:rPr>
        <w:t>品牌</w:t>
      </w:r>
      <w:r>
        <w:rPr>
          <w:rFonts w:hint="eastAsia" w:ascii="仿宋_GB2312" w:hAnsi="仿宋_GB2312" w:eastAsia="仿宋_GB2312" w:cs="仿宋_GB2312"/>
          <w:kern w:val="0"/>
          <w:sz w:val="32"/>
          <w:szCs w:val="32"/>
        </w:rPr>
        <w:t>展位</w:t>
      </w:r>
      <w:r>
        <w:rPr>
          <w:rFonts w:ascii="仿宋_GB2312" w:hAnsi="仿宋_GB2312" w:eastAsia="仿宋_GB2312" w:cs="仿宋_GB2312"/>
          <w:kern w:val="0"/>
          <w:sz w:val="32"/>
          <w:szCs w:val="32"/>
        </w:rPr>
        <w:t>确认</w:t>
      </w:r>
      <w:r>
        <w:rPr>
          <w:rFonts w:hint="eastAsia" w:ascii="仿宋_GB2312" w:hAnsi="仿宋_GB2312" w:eastAsia="仿宋_GB2312" w:cs="仿宋_GB2312"/>
          <w:kern w:val="0"/>
          <w:sz w:val="32"/>
          <w:szCs w:val="32"/>
        </w:rPr>
        <w:t>申请流程如下：</w:t>
      </w:r>
    </w:p>
    <w:p>
      <w:pPr>
        <w:pStyle w:val="8"/>
        <w:numPr>
          <w:ilvl w:val="0"/>
          <w:numId w:val="2"/>
        </w:numPr>
        <w:spacing w:line="560" w:lineRule="exact"/>
        <w:ind w:firstLineChars="0"/>
        <w:rPr>
          <w:rFonts w:hint="eastAsia" w:ascii="楷体_GB2312" w:hAnsi="楷体_GB2312" w:eastAsia="楷体_GB2312" w:cs="楷体_GB2312"/>
          <w:b w:val="0"/>
          <w:bCs w:val="0"/>
          <w:kern w:val="0"/>
          <w:sz w:val="32"/>
          <w:szCs w:val="32"/>
        </w:rPr>
      </w:pPr>
      <w:r>
        <w:rPr>
          <w:rFonts w:hint="eastAsia" w:ascii="楷体_GB2312" w:hAnsi="楷体_GB2312" w:eastAsia="楷体_GB2312" w:cs="楷体_GB2312"/>
          <w:b w:val="0"/>
          <w:bCs w:val="0"/>
          <w:kern w:val="0"/>
          <w:sz w:val="32"/>
          <w:szCs w:val="32"/>
        </w:rPr>
        <w:t>品牌展位确认及申请时间：</w:t>
      </w:r>
    </w:p>
    <w:p>
      <w:pPr>
        <w:spacing w:line="560" w:lineRule="exact"/>
        <w:ind w:left="643"/>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即日起-2026年5月25日</w:t>
      </w:r>
    </w:p>
    <w:p>
      <w:pPr>
        <w:pStyle w:val="8"/>
        <w:numPr>
          <w:numId w:val="0"/>
        </w:numPr>
        <w:spacing w:line="560" w:lineRule="exact"/>
        <w:ind w:left="643" w:leftChars="0"/>
        <w:rPr>
          <w:rFonts w:hint="eastAsia" w:ascii="楷体_GB2312" w:hAnsi="楷体_GB2312" w:eastAsia="楷体_GB2312" w:cs="楷体_GB2312"/>
          <w:b w:val="0"/>
          <w:bCs w:val="0"/>
          <w:kern w:val="0"/>
          <w:sz w:val="32"/>
          <w:szCs w:val="32"/>
        </w:rPr>
      </w:pPr>
      <w:r>
        <w:rPr>
          <w:rFonts w:hint="eastAsia" w:ascii="楷体_GB2312" w:hAnsi="楷体_GB2312" w:eastAsia="楷体_GB2312" w:cs="楷体_GB2312"/>
          <w:b w:val="0"/>
          <w:bCs w:val="0"/>
          <w:kern w:val="0"/>
          <w:sz w:val="32"/>
          <w:szCs w:val="32"/>
        </w:rPr>
        <w:t>（二）登录“参展易捷通”系统打印参展申请表</w:t>
      </w:r>
    </w:p>
    <w:p>
      <w:pPr>
        <w:spacing w:line="560" w:lineRule="exact"/>
        <w:ind w:firstLine="642"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b/>
          <w:bCs/>
          <w:sz w:val="32"/>
          <w:szCs w:val="32"/>
        </w:rPr>
        <w:t>仅对企业自愿退回和大会收回的品牌展位进行调整安排。请第139届广交会品牌展位参展企业，</w:t>
      </w:r>
      <w:r>
        <w:rPr>
          <w:rFonts w:hint="eastAsia" w:ascii="仿宋_GB2312" w:hAnsi="仿宋_GB2312" w:eastAsia="仿宋_GB2312" w:cs="仿宋_GB2312"/>
          <w:sz w:val="32"/>
          <w:szCs w:val="32"/>
        </w:rPr>
        <w:t>按</w:t>
      </w:r>
      <w:r>
        <w:rPr>
          <w:rFonts w:hint="eastAsia" w:ascii="Times New Roman" w:hAnsi="Times New Roman" w:eastAsia="仿宋_GB2312" w:cs="仿宋_GB2312"/>
          <w:sz w:val="32"/>
          <w:szCs w:val="32"/>
        </w:rPr>
        <w:t>对应展区确认品牌展位数量（路径：展位申请——品牌展位确认申</w:t>
      </w:r>
      <w:r>
        <w:rPr>
          <w:rFonts w:hint="eastAsia" w:ascii="Times New Roman" w:hAnsi="Times New Roman" w:eastAsia="仿宋_GB2312" w:cs="仿宋_GB2312"/>
          <w:color w:val="000000"/>
          <w:sz w:val="32"/>
          <w:szCs w:val="32"/>
        </w:rPr>
        <w:t>请），打印参展申请表，签字</w:t>
      </w:r>
      <w:r>
        <w:rPr>
          <w:rFonts w:hint="eastAsia" w:ascii="仿宋_GB2312" w:hAnsi="仿宋_GB2312" w:eastAsia="仿宋_GB2312" w:cs="仿宋_GB2312"/>
          <w:kern w:val="0"/>
          <w:sz w:val="32"/>
          <w:szCs w:val="32"/>
        </w:rPr>
        <w:t>并加盖公章后上传至深圳交易团系统。如确认退回全部或部分品牌展位，</w:t>
      </w:r>
      <w:r>
        <w:rPr>
          <w:rFonts w:hint="eastAsia" w:ascii="仿宋_GB2312" w:hAnsi="仿宋_GB2312" w:eastAsia="仿宋_GB2312" w:cs="仿宋_GB2312"/>
          <w:b/>
          <w:bCs/>
          <w:kern w:val="0"/>
          <w:sz w:val="32"/>
          <w:szCs w:val="32"/>
        </w:rPr>
        <w:t>请同步书面提交加盖公章的退展位申请（确认申请时系统自动生成）及另文详细说明退展原因的报告至交易团。</w:t>
      </w:r>
      <w:r>
        <w:rPr>
          <w:rFonts w:hint="eastAsia" w:ascii="仿宋_GB2312" w:hAnsi="仿宋_GB2312" w:eastAsia="仿宋_GB2312" w:cs="仿宋_GB2312"/>
          <w:kern w:val="0"/>
          <w:sz w:val="32"/>
          <w:szCs w:val="32"/>
        </w:rPr>
        <w:t>逾期未确认的视为放弃。</w:t>
      </w:r>
    </w:p>
    <w:p>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（三）登录市经贸中心网站完善申请资料</w:t>
      </w:r>
    </w:p>
    <w:p>
      <w:pPr>
        <w:spacing w:line="560" w:lineRule="exact"/>
        <w:ind w:firstLine="648"/>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请于2</w:t>
      </w:r>
      <w:r>
        <w:rPr>
          <w:rFonts w:ascii="仿宋_GB2312" w:hAnsi="仿宋_GB2312" w:eastAsia="仿宋_GB2312" w:cs="仿宋_GB2312"/>
          <w:kern w:val="0"/>
          <w:sz w:val="32"/>
          <w:szCs w:val="32"/>
        </w:rPr>
        <w:t>02</w:t>
      </w:r>
      <w:r>
        <w:rPr>
          <w:rFonts w:hint="eastAsia" w:ascii="仿宋_GB2312" w:hAnsi="仿宋_GB2312" w:eastAsia="仿宋_GB2312" w:cs="仿宋_GB2312"/>
          <w:kern w:val="0"/>
          <w:sz w:val="32"/>
          <w:szCs w:val="32"/>
        </w:rPr>
        <w:t>6年6月5日前, 使用“易捷通用户名”及“密码”登录市经贸中心网站</w:t>
      </w:r>
      <w:r>
        <w:rPr>
          <w:rFonts w:hint="eastAsia" w:ascii="仿宋_GB2312" w:hAnsi="仿宋_GB2312" w:eastAsia="仿宋_GB2312" w:cs="仿宋_GB2312"/>
          <w:spacing w:val="1"/>
          <w:w w:val="73"/>
          <w:kern w:val="0"/>
          <w:sz w:val="32"/>
          <w:szCs w:val="32"/>
          <w:fitText w:val="2580" w:id="-33607861"/>
        </w:rPr>
        <w:t>（www.szfetsc.com.cn</w:t>
      </w:r>
      <w:r>
        <w:rPr>
          <w:rFonts w:hint="eastAsia" w:ascii="仿宋_GB2312" w:hAnsi="仿宋_GB2312" w:eastAsia="仿宋_GB2312" w:cs="仿宋_GB2312"/>
          <w:spacing w:val="-4"/>
          <w:w w:val="73"/>
          <w:kern w:val="0"/>
          <w:sz w:val="32"/>
          <w:szCs w:val="32"/>
          <w:fitText w:val="2580" w:id="-33607861"/>
        </w:rPr>
        <w:t>）</w:t>
      </w:r>
      <w:r>
        <w:rPr>
          <w:rFonts w:hint="eastAsia" w:ascii="仿宋_GB2312" w:hAnsi="仿宋_GB2312" w:eastAsia="仿宋_GB2312" w:cs="仿宋_GB2312"/>
          <w:kern w:val="0"/>
          <w:sz w:val="32"/>
          <w:szCs w:val="32"/>
        </w:rPr>
        <w:t xml:space="preserve"> “广交会企业网上业务平台”,按顺序</w:t>
      </w:r>
      <w:r>
        <w:rPr>
          <w:rFonts w:hint="eastAsia" w:ascii="仿宋_GB2312" w:hAnsi="仿宋_GB2312" w:eastAsia="仿宋_GB2312" w:cs="仿宋_GB2312"/>
          <w:sz w:val="32"/>
          <w:szCs w:val="32"/>
        </w:rPr>
        <w:t>填写企业信息及上传展位申报材料</w:t>
      </w:r>
      <w:r>
        <w:rPr>
          <w:rFonts w:hint="eastAsia" w:ascii="仿宋_GB2312" w:hAnsi="仿宋_GB2312" w:eastAsia="仿宋_GB2312" w:cs="仿宋_GB2312"/>
          <w:kern w:val="0"/>
          <w:sz w:val="32"/>
          <w:szCs w:val="32"/>
        </w:rPr>
        <w:t>后，点击左侧工具栏中“确认递交申请”，完成展位的申请确认，按照系统提示上传资料。</w:t>
      </w:r>
      <w:r>
        <w:rPr>
          <w:rFonts w:hint="eastAsia" w:ascii="仿宋_GB2312" w:hAnsi="仿宋_GB2312" w:eastAsia="仿宋_GB2312" w:cs="仿宋_GB2312"/>
          <w:sz w:val="32"/>
          <w:szCs w:val="32"/>
        </w:rPr>
        <w:t>具体操作如下：</w:t>
      </w:r>
    </w:p>
    <w:p>
      <w:pPr>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申请公司对公账户资料的填写及更新；</w:t>
      </w:r>
    </w:p>
    <w:p>
      <w:pPr>
        <w:spacing w:line="560" w:lineRule="exact"/>
        <w:ind w:firstLine="636"/>
        <w:rPr>
          <w:rFonts w:hint="eastAsia"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发票类型及发票信息的填写及更新；</w:t>
      </w:r>
    </w:p>
    <w:p>
      <w:pPr>
        <w:spacing w:line="560" w:lineRule="exact"/>
        <w:ind w:firstLine="636"/>
        <w:rPr>
          <w:rFonts w:hint="eastAsia"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必须上传的公司基本材料：参展申请表（签字并加盖公章）、企业法人营业执照、</w:t>
      </w:r>
      <w:r>
        <w:rPr>
          <w:rFonts w:hint="eastAsia" w:ascii="仿宋_GB2312" w:eastAsia="仿宋_GB2312"/>
          <w:sz w:val="32"/>
          <w:szCs w:val="32"/>
        </w:rPr>
        <w:t>海关进出口信用信息公示平台查询结果截图（须加盖公司公章）</w:t>
      </w:r>
      <w:r>
        <w:rPr>
          <w:rFonts w:hint="eastAsia" w:ascii="仿宋_GB2312" w:hAnsi="仿宋_GB2312" w:eastAsia="仿宋_GB2312" w:cs="仿宋_GB2312"/>
          <w:sz w:val="32"/>
          <w:szCs w:val="32"/>
        </w:rPr>
        <w:t>、2025年</w:t>
      </w:r>
      <w:r>
        <w:rPr>
          <w:rFonts w:hint="eastAsia" w:ascii="仿宋_GB2312" w:hAnsi="仿宋_GB2312" w:eastAsia="仿宋_GB2312" w:cs="仿宋_GB2312"/>
          <w:color w:val="000000" w:themeColor="text1"/>
          <w:sz w:val="32"/>
          <w:szCs w:val="32"/>
          <w14:textFill>
            <w14:solidFill>
              <w14:schemeClr w14:val="tx1"/>
            </w14:solidFill>
          </w14:textFill>
        </w:rPr>
        <w:t>1</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12</w:t>
      </w:r>
      <w:r>
        <w:rPr>
          <w:rFonts w:hint="eastAsia" w:ascii="仿宋_GB2312" w:hAnsi="仿宋_GB2312" w:eastAsia="仿宋_GB2312" w:cs="仿宋_GB2312"/>
          <w:sz w:val="32"/>
          <w:szCs w:val="32"/>
        </w:rPr>
        <w:t>月完税证明。</w:t>
      </w:r>
    </w:p>
    <w:p>
      <w:pPr>
        <w:spacing w:line="560" w:lineRule="exact"/>
        <w:ind w:firstLine="648"/>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重要提示：</w:t>
      </w:r>
      <w:r>
        <w:rPr>
          <w:rFonts w:hint="eastAsia" w:ascii="仿宋_GB2312" w:hAnsi="仿宋_GB2312" w:eastAsia="仿宋_GB2312" w:cs="仿宋_GB2312"/>
          <w:sz w:val="32"/>
          <w:szCs w:val="32"/>
        </w:rPr>
        <w:t>(1)“</w:t>
      </w:r>
      <w:r>
        <w:rPr>
          <w:rFonts w:hint="eastAsia" w:ascii="仿宋_GB2312" w:eastAsia="仿宋_GB2312"/>
          <w:sz w:val="32"/>
          <w:szCs w:val="32"/>
        </w:rPr>
        <w:t>海关进出口信用信息查询”截图</w:t>
      </w:r>
      <w:r>
        <w:rPr>
          <w:rFonts w:hint="eastAsia" w:ascii="仿宋_GB2312" w:hAnsi="仿宋_GB2312" w:eastAsia="仿宋_GB2312" w:cs="仿宋_GB2312"/>
          <w:sz w:val="32"/>
          <w:szCs w:val="32"/>
        </w:rPr>
        <w:t>路径：登录（ http://credit.customs.gov.cn/）“海关进出口信用信息公示平台”——依次输入公司名称或统一社会信用代码，进入后点击“海关资质信息”，将页面截图打印后盖章上传；(2)如变更营业执照信息，须携带营业执照原件至交易团验审；(3)申请表无需现场递交，将签字盖章扫描件上传至交易团系统。</w:t>
      </w:r>
    </w:p>
    <w:p>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二、品牌展位动态调整申请</w:t>
      </w:r>
    </w:p>
    <w:p>
      <w:pPr>
        <w:spacing w:line="560" w:lineRule="exact"/>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44"/>
        </w:rPr>
        <w:t>根据广交会品牌展位动态调整机制，</w:t>
      </w:r>
      <w:r>
        <w:rPr>
          <w:rFonts w:hint="eastAsia" w:ascii="Times New Roman" w:hAnsi="Times New Roman" w:eastAsia="仿宋_GB2312" w:cs="Times New Roman"/>
          <w:sz w:val="32"/>
          <w:szCs w:val="44"/>
        </w:rPr>
        <w:t>有意新申请品牌展位的企业，</w:t>
      </w:r>
      <w:r>
        <w:rPr>
          <w:rFonts w:ascii="Times New Roman" w:hAnsi="Times New Roman" w:eastAsia="仿宋_GB2312" w:cs="Times New Roman"/>
          <w:sz w:val="32"/>
          <w:szCs w:val="44"/>
        </w:rPr>
        <w:t>可</w:t>
      </w:r>
      <w:r>
        <w:rPr>
          <w:rFonts w:hint="eastAsia" w:ascii="Times New Roman" w:hAnsi="Times New Roman" w:eastAsia="仿宋_GB2312" w:cs="Times New Roman"/>
          <w:sz w:val="32"/>
          <w:szCs w:val="44"/>
        </w:rPr>
        <w:t>填写对应展区书面申请表，并加盖公章，连同企业资质材料（详见附件4）</w:t>
      </w:r>
      <w:r>
        <w:rPr>
          <w:rFonts w:hint="eastAsia" w:ascii="仿宋_GB2312" w:hAnsi="仿宋_GB2312" w:eastAsia="仿宋_GB2312" w:cs="仿宋_GB2312"/>
          <w:sz w:val="32"/>
          <w:szCs w:val="32"/>
        </w:rPr>
        <w:t>装订成册，每个展区一式两份递交至深圳交易团（已参评2026年品牌展位评审的企业，若有需要补充的，仅须补充更新的材料）。</w:t>
      </w:r>
      <w:r>
        <w:rPr>
          <w:rFonts w:ascii="Times New Roman" w:hAnsi="Times New Roman" w:eastAsia="仿宋_GB2312" w:cs="Times New Roman"/>
          <w:sz w:val="32"/>
          <w:szCs w:val="44"/>
        </w:rPr>
        <w:t>相关表格文件详见广交会官网</w:t>
      </w:r>
      <w:r>
        <w:rPr>
          <w:rFonts w:hint="eastAsia" w:ascii="仿宋_GB2312" w:hAnsi="仿宋_GB2312" w:eastAsia="仿宋_GB2312" w:cs="仿宋_GB2312"/>
          <w:sz w:val="32"/>
          <w:szCs w:val="44"/>
        </w:rPr>
        <w:t>（https://www.cantonfair.org.cn，路径：参展商——参展指引——品牌展位评审及动态调整工作指南）。</w:t>
      </w:r>
    </w:p>
    <w:p>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三、展位预收费的缴纳（参与品牌动态评审企业无需缴纳预收费）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避免因虚报展位申请数量而影响展位安排工作进度的情况出现，申请广交会展位的企业请结合实际需求申报展位数量，同时须在申请展位时缴纳“展位预付款”。展位预付款的缴纳与退回一律通过申请企业公司账户往来，除特殊情况报交易团审批外，以其他公司或个人账户或现金代缴的方式支付展位预付款均作为无效申请处理。</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（二）每申请一个展位须缴纳5000元人民币的展位预付款。若企业获得展位，所缴纳的展位预付款将作为展位费部分；若企业未获得展位，所缴纳的展位预付款将原路退返企业。</w:t>
      </w:r>
    </w:p>
    <w:p>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（三）展位预付款须在6月5日前缴纳至深圳交易团下列指定账户：</w:t>
      </w:r>
    </w:p>
    <w:p>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收款单位：深圳市对外经济贸易服务中心有限责任公司</w:t>
      </w:r>
    </w:p>
    <w:p>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 户 行：中信银行深圳市民中心支行</w:t>
      </w:r>
    </w:p>
    <w:p>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    号：7442410182600060416</w:t>
      </w:r>
    </w:p>
    <w:p>
      <w:pPr>
        <w:spacing w:line="560" w:lineRule="exact"/>
        <w:ind w:firstLine="624" w:firstLineChars="19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转账后第三个工作日，可在 “广交会企业网上业务平台”系统（深圳交易团系统）查询“转账到账情况”，以实际到账为准，无须递交转账凭证。如有疑问请联系财务部门，电话：88916809，8</w:t>
      </w:r>
      <w:r>
        <w:rPr>
          <w:rFonts w:ascii="仿宋_GB2312" w:hAnsi="仿宋_GB2312" w:eastAsia="仿宋_GB2312" w:cs="仿宋_GB2312"/>
          <w:sz w:val="32"/>
          <w:szCs w:val="32"/>
        </w:rPr>
        <w:t>89168</w:t>
      </w:r>
      <w:r>
        <w:rPr>
          <w:rFonts w:hint="eastAsia" w:ascii="仿宋_GB2312" w:hAnsi="仿宋_GB2312" w:eastAsia="仿宋_GB2312" w:cs="仿宋_GB2312"/>
          <w:sz w:val="32"/>
          <w:szCs w:val="32"/>
        </w:rPr>
        <w:t>92。</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四、注意事项</w:t>
      </w:r>
    </w:p>
    <w:p>
      <w:pPr>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b w:val="0"/>
          <w:bCs/>
          <w:sz w:val="32"/>
          <w:szCs w:val="32"/>
        </w:rPr>
        <w:t>（一）请按系统提示，如实填报有关信息。</w:t>
      </w:r>
      <w:r>
        <w:rPr>
          <w:rFonts w:hint="eastAsia" w:ascii="Times New Roman" w:hAnsi="Times New Roman" w:eastAsia="仿宋_GB2312" w:cs="仿宋_GB2312"/>
          <w:sz w:val="32"/>
          <w:szCs w:val="44"/>
        </w:rPr>
        <w:t>可参阅广交会官网“参展商——参展指引——参展申请”栏目、“参展易捷通”</w:t>
      </w:r>
      <w:r>
        <w:rPr>
          <w:rFonts w:hint="eastAsia" w:ascii="仿宋_GB2312" w:hAnsi="仿宋_GB2312" w:eastAsia="仿宋_GB2312" w:cs="仿宋_GB2312"/>
          <w:sz w:val="32"/>
          <w:szCs w:val="44"/>
        </w:rPr>
        <w:t>系统首页“通知公告栏”的操作指南，或联系广交会客户联络中心（4000—888—999）咨询。</w:t>
      </w:r>
    </w:p>
    <w:p>
      <w:pPr>
        <w:spacing w:line="560" w:lineRule="exact"/>
        <w:ind w:firstLine="600"/>
        <w:rPr>
          <w:rFonts w:hint="eastAsia" w:ascii="仿宋_GB2312" w:hAnsi="仿宋_GB2312" w:eastAsia="仿宋_GB2312" w:cs="仿宋_GB2312"/>
          <w:sz w:val="32"/>
          <w:szCs w:val="32"/>
        </w:rPr>
      </w:pPr>
      <w:r>
        <w:rPr>
          <w:rFonts w:hint="eastAsia" w:ascii="楷体_GB2312" w:hAnsi="楷体_GB2312" w:eastAsia="楷体_GB2312" w:cs="楷体_GB2312"/>
          <w:kern w:val="0"/>
          <w:sz w:val="32"/>
          <w:szCs w:val="32"/>
        </w:rPr>
        <w:t>（二）如申请展区实行展品专业分区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44"/>
        </w:rPr>
        <w:t>须根据主要展品类别（占本企业展品60%以上），如实申报对应展品专区，以方便采购商准确查找目标展位，提高参展成效。</w:t>
      </w:r>
    </w:p>
    <w:p>
      <w:pPr>
        <w:spacing w:line="560" w:lineRule="exact"/>
        <w:ind w:firstLine="645"/>
        <w:rPr>
          <w:rFonts w:hint="eastAsia" w:ascii="仿宋_GB2312" w:hAnsi="仿宋_GB2312" w:eastAsia="仿宋_GB2312" w:cs="仿宋_GB2312"/>
          <w:sz w:val="32"/>
          <w:szCs w:val="32"/>
        </w:rPr>
      </w:pPr>
      <w:r>
        <w:rPr>
          <w:rFonts w:hint="eastAsia" w:ascii="楷体_GB2312" w:hAnsi="楷体_GB2312" w:eastAsia="楷体_GB2312" w:cs="楷体_GB2312"/>
          <w:kern w:val="0"/>
          <w:sz w:val="32"/>
          <w:szCs w:val="32"/>
        </w:rPr>
        <w:t>（三）广交会出口展实行退展位约束机制，</w:t>
      </w:r>
      <w:r>
        <w:rPr>
          <w:rFonts w:ascii="仿宋_GB2312" w:hAnsi="仿宋_GB2312" w:eastAsia="仿宋_GB2312" w:cs="仿宋_GB2312"/>
          <w:sz w:val="32"/>
          <w:szCs w:val="32"/>
        </w:rPr>
        <w:t>具体为：在参展展区所有企业展位号公布次日之前（含）退展位的，所退展位不收取展位费；在参展展区所有企业展位号公布次日至开幕前一日退展位的，所退展位收取一半展位费；在开幕日之后（含）退展位的，所退展位收取全额展位费。</w:t>
      </w:r>
    </w:p>
    <w:p>
      <w:pPr>
        <w:spacing w:line="560" w:lineRule="exact"/>
        <w:ind w:firstLine="645"/>
        <w:rPr>
          <w:rFonts w:hint="eastAsia" w:ascii="仿宋_GB2312" w:hAnsi="仿宋_GB2312" w:eastAsia="仿宋_GB2312" w:cs="仿宋_GB2312"/>
          <w:kern w:val="0"/>
          <w:sz w:val="32"/>
          <w:szCs w:val="32"/>
        </w:rPr>
      </w:pPr>
      <w:r>
        <w:rPr>
          <w:rFonts w:hint="eastAsia" w:ascii="楷体_GB2312" w:hAnsi="楷体_GB2312" w:eastAsia="楷体_GB2312" w:cs="楷体_GB2312"/>
          <w:kern w:val="0"/>
          <w:sz w:val="32"/>
          <w:szCs w:val="32"/>
        </w:rPr>
        <w:t>（四）</w:t>
      </w:r>
      <w:r>
        <w:rPr>
          <w:rFonts w:hint="eastAsia" w:ascii="楷体_GB2312" w:hAnsi="楷体_GB2312" w:eastAsia="楷体_GB2312" w:cs="楷体_GB2312"/>
          <w:sz w:val="32"/>
          <w:szCs w:val="44"/>
        </w:rPr>
        <w:t>广交会线上平台和APP常态化运营</w:t>
      </w:r>
      <w:r>
        <w:rPr>
          <w:rFonts w:ascii="Times New Roman" w:hAnsi="Times New Roman" w:eastAsia="仿宋_GB2312" w:cs="Times New Roman"/>
          <w:sz w:val="32"/>
          <w:szCs w:val="44"/>
        </w:rPr>
        <w:t>，</w:t>
      </w:r>
      <w:r>
        <w:rPr>
          <w:rFonts w:hint="eastAsia" w:ascii="仿宋_GB2312" w:hAnsi="仿宋_GB2312" w:eastAsia="仿宋_GB2312" w:cs="仿宋_GB2312"/>
          <w:sz w:val="32"/>
          <w:szCs w:val="44"/>
        </w:rPr>
        <w:t>企业可随时通过广交会官网云展厅管理系统（路径：参展商——云展厅管理）注册登录、选购套餐、上传及维护产品信息等。在云展厅上传</w:t>
      </w:r>
      <w:r>
        <w:rPr>
          <w:rFonts w:hint="eastAsia" w:ascii="仿宋_GB2312" w:hAnsi="仿宋_GB2312" w:eastAsia="仿宋_GB2312" w:cs="仿宋_GB2312"/>
          <w:sz w:val="32"/>
          <w:szCs w:val="44"/>
          <w:lang w:eastAsia="zh"/>
        </w:rPr>
        <w:t>产</w:t>
      </w:r>
      <w:r>
        <w:rPr>
          <w:rFonts w:hint="eastAsia" w:ascii="仿宋_GB2312" w:hAnsi="仿宋_GB2312" w:eastAsia="仿宋_GB2312" w:cs="仿宋_GB2312"/>
          <w:sz w:val="32"/>
          <w:szCs w:val="44"/>
        </w:rPr>
        <w:t>品将有机会被采购商搜索查询，获得更多商机</w:t>
      </w:r>
      <w:r>
        <w:rPr>
          <w:rFonts w:hint="eastAsia" w:ascii="仿宋_GB2312" w:hAnsi="仿宋_GB2312" w:eastAsia="仿宋_GB2312" w:cs="仿宋_GB2312"/>
          <w:sz w:val="32"/>
          <w:szCs w:val="32"/>
        </w:rPr>
        <w:t>；在“参展易捷通”系统登记的展品仅用于展位申请，不在广交会线上平</w:t>
      </w:r>
      <w:bookmarkStart w:id="1" w:name="_GoBack"/>
      <w:bookmarkEnd w:id="1"/>
      <w:r>
        <w:rPr>
          <w:rFonts w:hint="eastAsia" w:ascii="仿宋_GB2312" w:hAnsi="仿宋_GB2312" w:eastAsia="仿宋_GB2312" w:cs="仿宋_GB2312"/>
          <w:sz w:val="32"/>
          <w:szCs w:val="32"/>
        </w:rPr>
        <w:t>台和APP上展示</w:t>
      </w:r>
      <w:r>
        <w:rPr>
          <w:rFonts w:hint="eastAsia" w:ascii="仿宋_GB2312" w:hAnsi="仿宋_GB2312" w:eastAsia="仿宋_GB2312" w:cs="仿宋_GB2312"/>
          <w:sz w:val="32"/>
          <w:szCs w:val="44"/>
        </w:rPr>
        <w:t>。可前往广交会官网“帮助中心”了解具体操作指引。</w:t>
      </w:r>
    </w:p>
    <w:p>
      <w:pPr>
        <w:spacing w:line="560" w:lineRule="exact"/>
        <w:ind w:firstLine="645"/>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（五）服务机器人等友谊大厅（21.2）相关专区展位申请事宜另文通知。</w:t>
      </w:r>
    </w:p>
    <w:p/>
    <w:p>
      <w:pPr>
        <w:spacing w:line="560" w:lineRule="exact"/>
        <w:ind w:firstLine="642" w:firstLineChars="200"/>
        <w:rPr>
          <w:rFonts w:hint="eastAsia" w:ascii="仿宋_GB2312" w:hAnsi="仿宋_GB2312" w:eastAsia="仿宋_GB2312" w:cs="仿宋_GB2312"/>
          <w:b/>
          <w:bCs/>
          <w:kern w:val="0"/>
          <w:sz w:val="32"/>
          <w:szCs w:val="32"/>
        </w:rPr>
      </w:pPr>
      <w:bookmarkStart w:id="0" w:name="_Hlk165970884"/>
      <w:r>
        <w:rPr>
          <w:rFonts w:hint="eastAsia" w:ascii="仿宋_GB2312" w:hAnsi="仿宋_GB2312" w:eastAsia="仿宋_GB2312" w:cs="仿宋_GB2312"/>
          <w:b/>
          <w:bCs/>
          <w:kern w:val="0"/>
          <w:sz w:val="32"/>
          <w:szCs w:val="32"/>
        </w:rPr>
        <w:t>联系电话</w:t>
      </w:r>
      <w:bookmarkEnd w:id="0"/>
      <w:r>
        <w:rPr>
          <w:rFonts w:hint="eastAsia" w:ascii="仿宋_GB2312" w:hAnsi="仿宋_GB2312" w:eastAsia="仿宋_GB2312" w:cs="仿宋_GB2312"/>
          <w:b/>
          <w:bCs/>
          <w:kern w:val="0"/>
          <w:sz w:val="32"/>
          <w:szCs w:val="32"/>
        </w:rPr>
        <w:t>：88916820、88916970、88916866、88916966、88916819、88916881、88916835、88916837、88916858</w:t>
      </w:r>
    </w:p>
    <w:p>
      <w:pPr>
        <w:spacing w:line="560" w:lineRule="exact"/>
        <w:ind w:firstLine="642"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地址：深圳福田区金田路4028号经贸中心大厦6楼710</w:t>
      </w:r>
    </w:p>
    <w:sectPr>
      <w:footerReference r:id="rId3" w:type="default"/>
      <w:pgSz w:w="11906" w:h="16838"/>
      <w:pgMar w:top="1814" w:right="1474" w:bottom="181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 w:name="华文彩云">
    <w:panose1 w:val="02010800040101010101"/>
    <w:charset w:val="86"/>
    <w:family w:val="auto"/>
    <w:pitch w:val="default"/>
    <w:sig w:usb0="00000001" w:usb1="080F0000" w:usb2="00000000" w:usb3="00000000" w:csb0="00040000" w:csb1="0000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1106"/>
        <w:tab w:val="clear" w:pos="4153"/>
      </w:tabs>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- 1 -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007043"/>
    <w:multiLevelType w:val="multilevel"/>
    <w:tmpl w:val="32007043"/>
    <w:lvl w:ilvl="0" w:tentative="0">
      <w:start w:val="1"/>
      <w:numFmt w:val="japaneseCounting"/>
      <w:lvlText w:val="%1、"/>
      <w:lvlJc w:val="left"/>
      <w:pPr>
        <w:ind w:left="1560" w:hanging="720"/>
      </w:pPr>
    </w:lvl>
    <w:lvl w:ilvl="1" w:tentative="0">
      <w:start w:val="1"/>
      <w:numFmt w:val="lowerLetter"/>
      <w:lvlText w:val="%2)"/>
      <w:lvlJc w:val="left"/>
      <w:pPr>
        <w:ind w:left="1464" w:hanging="420"/>
      </w:pPr>
    </w:lvl>
    <w:lvl w:ilvl="2" w:tentative="0">
      <w:start w:val="1"/>
      <w:numFmt w:val="lowerRoman"/>
      <w:lvlText w:val="%3."/>
      <w:lvlJc w:val="right"/>
      <w:pPr>
        <w:ind w:left="1884" w:hanging="420"/>
      </w:pPr>
    </w:lvl>
    <w:lvl w:ilvl="3" w:tentative="0">
      <w:start w:val="1"/>
      <w:numFmt w:val="decimal"/>
      <w:lvlText w:val="%4."/>
      <w:lvlJc w:val="left"/>
      <w:pPr>
        <w:ind w:left="2304" w:hanging="420"/>
      </w:pPr>
    </w:lvl>
    <w:lvl w:ilvl="4" w:tentative="0">
      <w:start w:val="1"/>
      <w:numFmt w:val="lowerLetter"/>
      <w:lvlText w:val="%5)"/>
      <w:lvlJc w:val="left"/>
      <w:pPr>
        <w:ind w:left="2724" w:hanging="420"/>
      </w:pPr>
    </w:lvl>
    <w:lvl w:ilvl="5" w:tentative="0">
      <w:start w:val="1"/>
      <w:numFmt w:val="lowerRoman"/>
      <w:lvlText w:val="%6."/>
      <w:lvlJc w:val="right"/>
      <w:pPr>
        <w:ind w:left="3144" w:hanging="420"/>
      </w:pPr>
    </w:lvl>
    <w:lvl w:ilvl="6" w:tentative="0">
      <w:start w:val="1"/>
      <w:numFmt w:val="decimal"/>
      <w:lvlText w:val="%7."/>
      <w:lvlJc w:val="left"/>
      <w:pPr>
        <w:ind w:left="3564" w:hanging="420"/>
      </w:pPr>
    </w:lvl>
    <w:lvl w:ilvl="7" w:tentative="0">
      <w:start w:val="1"/>
      <w:numFmt w:val="lowerLetter"/>
      <w:lvlText w:val="%8)"/>
      <w:lvlJc w:val="left"/>
      <w:pPr>
        <w:ind w:left="3984" w:hanging="420"/>
      </w:pPr>
    </w:lvl>
    <w:lvl w:ilvl="8" w:tentative="0">
      <w:start w:val="1"/>
      <w:numFmt w:val="lowerRoman"/>
      <w:lvlText w:val="%9."/>
      <w:lvlJc w:val="right"/>
      <w:pPr>
        <w:ind w:left="4404" w:hanging="420"/>
      </w:pPr>
    </w:lvl>
  </w:abstractNum>
  <w:abstractNum w:abstractNumId="1">
    <w:nsid w:val="69616F62"/>
    <w:multiLevelType w:val="multilevel"/>
    <w:tmpl w:val="69616F62"/>
    <w:lvl w:ilvl="0" w:tentative="0">
      <w:start w:val="1"/>
      <w:numFmt w:val="japaneseCounting"/>
      <w:lvlText w:val="（%1）"/>
      <w:lvlJc w:val="left"/>
      <w:pPr>
        <w:ind w:left="1723" w:hanging="1080"/>
      </w:pPr>
      <w:rPr>
        <w:rFonts w:hint="default" w:ascii="楷体_GB2312" w:hAnsi="楷体_GB2312" w:eastAsia="楷体_GB2312" w:cs="楷体_GB2312"/>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hN2QzYTYxMzY0YzIwZWU3M2IxZDRiYWRhODNlNGEifQ=="/>
  </w:docVars>
  <w:rsids>
    <w:rsidRoot w:val="FFF23EF9"/>
    <w:rsid w:val="00007377"/>
    <w:rsid w:val="00011025"/>
    <w:rsid w:val="00032CE2"/>
    <w:rsid w:val="00044918"/>
    <w:rsid w:val="00067198"/>
    <w:rsid w:val="000D7E43"/>
    <w:rsid w:val="001067F1"/>
    <w:rsid w:val="00113852"/>
    <w:rsid w:val="00124C80"/>
    <w:rsid w:val="00145DE0"/>
    <w:rsid w:val="00162A07"/>
    <w:rsid w:val="00164763"/>
    <w:rsid w:val="001D04F7"/>
    <w:rsid w:val="001F2AD0"/>
    <w:rsid w:val="00264B50"/>
    <w:rsid w:val="002C3E3C"/>
    <w:rsid w:val="00310777"/>
    <w:rsid w:val="00337B3E"/>
    <w:rsid w:val="00345F5B"/>
    <w:rsid w:val="003735B0"/>
    <w:rsid w:val="003B20B3"/>
    <w:rsid w:val="003E2ED7"/>
    <w:rsid w:val="00421480"/>
    <w:rsid w:val="00452484"/>
    <w:rsid w:val="00453CEA"/>
    <w:rsid w:val="00462C9A"/>
    <w:rsid w:val="00487373"/>
    <w:rsid w:val="004938FF"/>
    <w:rsid w:val="004B1C22"/>
    <w:rsid w:val="004C1824"/>
    <w:rsid w:val="00560A1D"/>
    <w:rsid w:val="005D3E71"/>
    <w:rsid w:val="005E3055"/>
    <w:rsid w:val="005F0866"/>
    <w:rsid w:val="006102B7"/>
    <w:rsid w:val="006379F8"/>
    <w:rsid w:val="006A4301"/>
    <w:rsid w:val="006D18D7"/>
    <w:rsid w:val="006E232E"/>
    <w:rsid w:val="006E2BF2"/>
    <w:rsid w:val="006E3C90"/>
    <w:rsid w:val="00703CFA"/>
    <w:rsid w:val="0075241B"/>
    <w:rsid w:val="0079006A"/>
    <w:rsid w:val="007C49E4"/>
    <w:rsid w:val="007E4800"/>
    <w:rsid w:val="00806143"/>
    <w:rsid w:val="00812CB3"/>
    <w:rsid w:val="00827335"/>
    <w:rsid w:val="008504D5"/>
    <w:rsid w:val="00851FC0"/>
    <w:rsid w:val="0086686A"/>
    <w:rsid w:val="00897F6D"/>
    <w:rsid w:val="008A7063"/>
    <w:rsid w:val="008C1021"/>
    <w:rsid w:val="008E7EF5"/>
    <w:rsid w:val="00914779"/>
    <w:rsid w:val="009669E5"/>
    <w:rsid w:val="00975FA9"/>
    <w:rsid w:val="009858C6"/>
    <w:rsid w:val="009B1040"/>
    <w:rsid w:val="009B3582"/>
    <w:rsid w:val="009C4C74"/>
    <w:rsid w:val="009D0192"/>
    <w:rsid w:val="009E2928"/>
    <w:rsid w:val="009E5AA8"/>
    <w:rsid w:val="00A03F02"/>
    <w:rsid w:val="00A21FCF"/>
    <w:rsid w:val="00A25B11"/>
    <w:rsid w:val="00A3289D"/>
    <w:rsid w:val="00A5145B"/>
    <w:rsid w:val="00A53CF6"/>
    <w:rsid w:val="00A66906"/>
    <w:rsid w:val="00A84BE3"/>
    <w:rsid w:val="00AB14C2"/>
    <w:rsid w:val="00AD2B76"/>
    <w:rsid w:val="00AD446D"/>
    <w:rsid w:val="00B02C1B"/>
    <w:rsid w:val="00B11A98"/>
    <w:rsid w:val="00B3257A"/>
    <w:rsid w:val="00B77A4B"/>
    <w:rsid w:val="00BB3C36"/>
    <w:rsid w:val="00BD3886"/>
    <w:rsid w:val="00C12121"/>
    <w:rsid w:val="00C74F25"/>
    <w:rsid w:val="00C81A1C"/>
    <w:rsid w:val="00C81D88"/>
    <w:rsid w:val="00C930C6"/>
    <w:rsid w:val="00C9319A"/>
    <w:rsid w:val="00CB2461"/>
    <w:rsid w:val="00CD3A00"/>
    <w:rsid w:val="00D039A4"/>
    <w:rsid w:val="00D06E19"/>
    <w:rsid w:val="00D11D1D"/>
    <w:rsid w:val="00D27F86"/>
    <w:rsid w:val="00D37131"/>
    <w:rsid w:val="00D42E72"/>
    <w:rsid w:val="00D526F6"/>
    <w:rsid w:val="00DB4E3A"/>
    <w:rsid w:val="00DD7380"/>
    <w:rsid w:val="00DE6C87"/>
    <w:rsid w:val="00E02D9D"/>
    <w:rsid w:val="00E0527E"/>
    <w:rsid w:val="00E17857"/>
    <w:rsid w:val="00E20B58"/>
    <w:rsid w:val="00E24953"/>
    <w:rsid w:val="00E27F10"/>
    <w:rsid w:val="00E308C6"/>
    <w:rsid w:val="00E71E0B"/>
    <w:rsid w:val="00E812F0"/>
    <w:rsid w:val="00E845C8"/>
    <w:rsid w:val="00EB2A11"/>
    <w:rsid w:val="00EF69D6"/>
    <w:rsid w:val="00F16007"/>
    <w:rsid w:val="00F34C9F"/>
    <w:rsid w:val="00F47518"/>
    <w:rsid w:val="00F67716"/>
    <w:rsid w:val="00F9472F"/>
    <w:rsid w:val="00FB44CA"/>
    <w:rsid w:val="43E336A7"/>
    <w:rsid w:val="57AD4064"/>
    <w:rsid w:val="673A6E3E"/>
    <w:rsid w:val="BDF78A1E"/>
    <w:rsid w:val="F6AF4CE1"/>
    <w:rsid w:val="FFF23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Hyperlink"/>
    <w:basedOn w:val="6"/>
    <w:qFormat/>
    <w:uiPriority w:val="0"/>
    <w:rPr>
      <w:color w:val="0563C1" w:themeColor="hyperlink"/>
      <w:u w:val="single"/>
      <w14:textFill>
        <w14:solidFill>
          <w14:schemeClr w14:val="hlink"/>
        </w14:solidFill>
      </w14:textFill>
    </w:rPr>
  </w:style>
  <w:style w:type="paragraph" w:styleId="8">
    <w:name w:val="List Paragraph"/>
    <w:basedOn w:val="1"/>
    <w:qFormat/>
    <w:uiPriority w:val="34"/>
    <w:pPr>
      <w:ind w:firstLine="420" w:firstLineChars="200"/>
    </w:pPr>
  </w:style>
  <w:style w:type="character" w:customStyle="1" w:styleId="9">
    <w:name w:val="批注框文本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333</Words>
  <Characters>1901</Characters>
  <Lines>15</Lines>
  <Paragraphs>4</Paragraphs>
  <TotalTime>410</TotalTime>
  <ScaleCrop>false</ScaleCrop>
  <LinksUpToDate>false</LinksUpToDate>
  <CharactersWithSpaces>2230</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2023-11-17T00:29:00Z</dcterms:created>
  <dc:creator>网站运维(陈梓标)</dc:creator>
  <cp:lastModifiedBy>邓晓伟</cp:lastModifiedBy>
  <cp:lastPrinted>2025-11-13T18:19:00Z</cp:lastPrinted>
  <dcterms:modified xsi:type="dcterms:W3CDTF">2026-05-09T11:01:50Z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y fmtid="{D5CDD505-2E9C-101B-9397-08002B2CF9AE}" pid="3" name="ICV">
    <vt:lpwstr>8FAB712A052C47628640DF4846BA2A1F_13</vt:lpwstr>
  </property>
</Properties>
</file>