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11912">
      <w:pPr>
        <w:overflowPunct w:val="0"/>
        <w:spacing w:after="0" w:line="560" w:lineRule="exact"/>
        <w:jc w:val="both"/>
        <w:outlineLvl w:val="0"/>
        <w:rPr>
          <w:rFonts w:ascii="黑体" w:hAnsi="黑体" w:eastAsia="黑体" w:cs="黑体"/>
          <w:sz w:val="32"/>
          <w:szCs w:val="44"/>
        </w:rPr>
      </w:pPr>
      <w:bookmarkStart w:id="36" w:name="_GoBack"/>
      <w:bookmarkEnd w:id="36"/>
      <w:r>
        <w:rPr>
          <w:rFonts w:ascii="黑体" w:hAnsi="黑体" w:eastAsia="黑体" w:cs="黑体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kern w:val="2"/>
          <w:position w:val="0"/>
          <w:sz w:val="32"/>
          <w:szCs w:val="44"/>
          <w:u w:val="none"/>
          <w:vertAlign w:val="baseline"/>
          <w:rtl w:val="0"/>
          <w:cs w:val="0"/>
          <w:lang w:val="en-US" w:eastAsia="zh-CN" w:bidi="ar-SA"/>
        </w:rPr>
        <w:t>附件3</w:t>
      </w:r>
    </w:p>
    <w:p w14:paraId="58937756">
      <w:pPr>
        <w:overflowPunct w:val="0"/>
        <w:spacing w:after="0" w:line="560" w:lineRule="exact"/>
        <w:jc w:val="both"/>
        <w:outlineLvl w:val="0"/>
        <w:rPr>
          <w:rFonts w:hint="eastAsia" w:ascii="黑体" w:hAnsi="黑体" w:eastAsia="黑体" w:cs="黑体"/>
          <w:sz w:val="32"/>
          <w:szCs w:val="44"/>
        </w:rPr>
      </w:pPr>
    </w:p>
    <w:p w14:paraId="68268442">
      <w:pPr>
        <w:overflowPunct w:val="0"/>
        <w:spacing w:after="0" w:line="560" w:lineRule="exact"/>
        <w:jc w:val="center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Toc12754"/>
      <w:bookmarkStart w:id="1" w:name="_Toc32429"/>
      <w:bookmarkStart w:id="2" w:name="_Toc15089"/>
      <w:bookmarkStart w:id="3" w:name="_Toc32105"/>
      <w:bookmarkStart w:id="4" w:name="_Toc27982"/>
      <w:bookmarkStart w:id="5" w:name="_Toc31660"/>
      <w:bookmarkStart w:id="6" w:name="_Toc29741"/>
      <w:bookmarkStart w:id="7" w:name="_Toc29215"/>
      <w:bookmarkStart w:id="8" w:name="_Toc21527"/>
      <w:bookmarkStart w:id="9" w:name="_Toc15164"/>
      <w:bookmarkStart w:id="10" w:name="_Toc2045"/>
      <w:bookmarkStart w:id="11" w:name="_Toc27435"/>
      <w:bookmarkStart w:id="12" w:name="_Toc1620177826"/>
      <w:bookmarkStart w:id="13" w:name="_Toc7216"/>
      <w:bookmarkStart w:id="14" w:name="_Toc12877"/>
      <w:bookmarkStart w:id="15" w:name="_Toc30256"/>
      <w:bookmarkStart w:id="16" w:name="_Toc24432"/>
      <w:bookmarkStart w:id="17" w:name="_Toc15336"/>
      <w:bookmarkStart w:id="18" w:name="_Toc3242"/>
      <w:bookmarkStart w:id="19" w:name="_Toc10228"/>
      <w:bookmarkStart w:id="20" w:name="_Toc28816"/>
      <w:bookmarkStart w:id="21" w:name="_Toc3004"/>
      <w:bookmarkStart w:id="22" w:name="_Toc1331"/>
      <w:bookmarkStart w:id="23" w:name="_Toc20843"/>
      <w:bookmarkStart w:id="24" w:name="_Toc2734"/>
      <w:bookmarkStart w:id="25" w:name="_Toc8321"/>
      <w:bookmarkStart w:id="26" w:name="_Toc1237"/>
      <w:bookmarkStart w:id="27" w:name="_Toc22688"/>
      <w:bookmarkStart w:id="28" w:name="_Toc8655"/>
      <w:bookmarkStart w:id="29" w:name="_Toc554"/>
      <w:bookmarkStart w:id="30" w:name="_Toc3823"/>
      <w:bookmarkStart w:id="31" w:name="_Toc18785"/>
      <w:bookmarkStart w:id="32" w:name="_Toc12772"/>
      <w:bookmarkStart w:id="33" w:name="_Toc12767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《深圳市水务发展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十五五”规划</w:t>
      </w:r>
    </w:p>
    <w:p w14:paraId="1D21CA26">
      <w:pPr>
        <w:overflowPunct w:val="0"/>
        <w:spacing w:after="0" w:line="560" w:lineRule="exact"/>
        <w:jc w:val="center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（征求意见稿）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》编制说明</w:t>
      </w:r>
    </w:p>
    <w:p w14:paraId="02CE32A9">
      <w:pPr>
        <w:overflowPunct w:val="0"/>
        <w:spacing w:after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4C904E">
      <w:pPr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34" w:name="OLE_LINK8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根据省水利厅《关于印发〈广东省水安全保障“十五五”规划编制工作大纲〉的通知》（粤水规计〔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号）及市发展改革委《深圳市“十五五”专项规划编制计划》要求，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市水务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局组织编制了《深圳市水务发展“十五五”规划（征求意见稿）》</w:t>
      </w:r>
      <w:bookmarkEnd w:id="34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，现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有关情况说明如下：</w:t>
      </w:r>
    </w:p>
    <w:p w14:paraId="4BC73CF7">
      <w:pPr>
        <w:overflowPunct w:val="0"/>
        <w:spacing w:after="0"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一、编制背景</w:t>
      </w:r>
    </w:p>
    <w:p w14:paraId="360555A5">
      <w:pPr>
        <w:spacing w:after="0" w:line="560" w:lineRule="exact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“十五五”时期是我国基本实现社会主义现代化夯实基础、全面发力的关键时期</w:t>
      </w:r>
      <w:bookmarkStart w:id="35" w:name="OLE_LINK18"/>
      <w:r>
        <w:rPr>
          <w:rFonts w:hint="eastAsia" w:ascii="仿宋_GB2312" w:hAnsi="仿宋" w:eastAsia="仿宋_GB2312" w:cs="仿宋"/>
          <w:color w:val="000000"/>
          <w:sz w:val="32"/>
          <w:szCs w:val="32"/>
        </w:rPr>
        <w:t>。2025年4月30日，</w:t>
      </w:r>
      <w:bookmarkEnd w:id="35"/>
      <w:r>
        <w:rPr>
          <w:rFonts w:hint="eastAsia" w:ascii="仿宋_GB2312" w:hAnsi="仿宋" w:eastAsia="仿宋_GB2312" w:cs="仿宋"/>
          <w:color w:val="000000"/>
          <w:sz w:val="32"/>
          <w:szCs w:val="32"/>
        </w:rPr>
        <w:t>习近平总书记主持召开部分省区市“十五五”时期经济社会发展座谈会强调，适应形势变化，把握战略重点，科学谋划“十五五”时期经济社会发展。2025年5月19日，习近平总书记对“十五五”规划编制工作作出重要指示，强调要坚持科学决策、民主决策、依法决策，高质量完成“十五五”规划编制工作。2025年10月23日，中国共产党第二十届中央委员会第四次全体会议通过《中共中央关于制定国民经济和社会发展第十五个五年规划的建议》，对于推动我国经济社会持续健康发展，为如期基本实现社会主义现代化奠定更加坚实的基础，具有重大意义。</w:t>
      </w:r>
    </w:p>
    <w:p w14:paraId="21FAAE4B">
      <w:pPr>
        <w:spacing w:after="0" w:line="560" w:lineRule="exact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为深入贯彻习近平新时代中国特色社会主义思想，全面贯彻党的二十大和二十届历次全会精神，深入学习落实习近平总书记对广东、深圳系列重要讲话和重要指示精神，依据《中共中央关于制定国民经济和社会发展第十五个五年规划的建议》《中华人民共和国国民经济和社会发展第十五个五年规划纲要》《广东省国民经济和社会发展第十五个五年规划纲要》《深圳市国民经济和社会发展第十五个五年规划纲要》以及国家和省有关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水务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高质量发展的政策文件，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市水务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局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编制了《深圳市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水务发展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“十五五”规划（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征求意见稿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）》（以下简称《规划》）。</w:t>
      </w:r>
    </w:p>
    <w:p w14:paraId="07EB6C42">
      <w:pPr>
        <w:overflowPunct w:val="0"/>
        <w:spacing w:after="0"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二、编制过程</w:t>
      </w:r>
    </w:p>
    <w:p w14:paraId="46A28D74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楷体_GB2312" w:hAnsi="楷体_GB2312" w:eastAsia="楷体_GB2312" w:cs="楷体_GB2312"/>
          <w:b w:val="0"/>
          <w:bCs w:val="0"/>
          <w:color w:val="0F1115"/>
          <w:sz w:val="32"/>
          <w:szCs w:val="32"/>
        </w:rPr>
      </w:pPr>
      <w:r>
        <w:rPr>
          <w:rFonts w:ascii="楷体_GB2312" w:hAnsi="楷体_GB2312" w:eastAsia="楷体_GB2312" w:cs="楷体_GB2312"/>
          <w:b w:val="0"/>
          <w:bCs w:val="0"/>
          <w:color w:val="0F1115"/>
          <w:sz w:val="32"/>
          <w:szCs w:val="32"/>
          <w:shd w:val="clear" w:color="auto" w:fill="FFFFFF"/>
        </w:rPr>
        <w:t>（一）学习重要要求</w:t>
      </w:r>
    </w:p>
    <w:p w14:paraId="4759B0E8">
      <w:pPr>
        <w:spacing w:after="0" w:line="56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认真学习党的二十大和二十届历次全会报告、习近平总书记关于治水的重要论述，以及对广东、深圳系列重要讲话和重要指示精神，逐条研读国家实施进一步全面深化改革、推动城市高质量发展、推进新型城市基础设施建设打造韧性城市、推进城市更新行动、推进江河保护治理等战略，水利部进一步全面深化改革水利任务实施方案，广东省推进幸福河湖建设等上位政策文件，深刻领会中央城市工作会议精神，贯彻落实市领导对“十五五”规划编制工作的具体要求，为《规划》编制提供上位政策支撑。</w:t>
      </w:r>
    </w:p>
    <w:p w14:paraId="415CEE70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楷体_GB2312" w:hAnsi="楷体_GB2312" w:eastAsia="楷体_GB2312" w:cs="楷体_GB2312"/>
          <w:b w:val="0"/>
          <w:bCs w:val="0"/>
          <w:color w:val="0F1115"/>
          <w:sz w:val="32"/>
          <w:szCs w:val="32"/>
          <w:shd w:val="clear" w:color="auto" w:fill="FFFFFF"/>
        </w:rPr>
      </w:pPr>
      <w:r>
        <w:rPr>
          <w:rFonts w:ascii="楷体_GB2312" w:hAnsi="楷体_GB2312" w:eastAsia="楷体_GB2312" w:cs="楷体_GB2312"/>
          <w:b w:val="0"/>
          <w:bCs w:val="0"/>
          <w:color w:val="0F1115"/>
          <w:sz w:val="32"/>
          <w:szCs w:val="32"/>
          <w:shd w:val="clear" w:color="auto" w:fill="FFFFFF"/>
        </w:rPr>
        <w:t>（二）深入调查研究</w:t>
      </w:r>
    </w:p>
    <w:p w14:paraId="3DE0D543">
      <w:pPr>
        <w:spacing w:after="0" w:line="56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坚持“开门编规划”，面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向公众开展问卷调查，收集规划编制重点方向，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先后通过多种形式学习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和交流北京、上海、广州、宁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波、南通等城市“十五五”相关规划编制情况，借鉴各城市水务发展方面的先进经验与做法。采取座谈会、书面调研等方式，对局系统各单位各部门、各区水务主管部门、环水集团等进行调研。通过座谈、调研，系统总结“十四五”以来深圳水务发展取得的成效，深入分析当前面临的突出问题和“十五五”时期的新形势新挑战，剖析近年来的民生诉求，为《规划》编制提供基础支撑。</w:t>
      </w:r>
    </w:p>
    <w:p w14:paraId="0ADACCC2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楷体_GB2312" w:hAnsi="楷体_GB2312" w:eastAsia="楷体_GB2312" w:cs="楷体_GB2312"/>
          <w:b w:val="0"/>
          <w:bCs w:val="0"/>
          <w:color w:val="0F1115"/>
          <w:sz w:val="32"/>
          <w:szCs w:val="32"/>
          <w:shd w:val="clear" w:color="auto" w:fill="FFFFFF"/>
        </w:rPr>
      </w:pPr>
      <w:r>
        <w:rPr>
          <w:rFonts w:ascii="楷体_GB2312" w:hAnsi="楷体_GB2312" w:eastAsia="楷体_GB2312" w:cs="楷体_GB2312"/>
          <w:b w:val="0"/>
          <w:bCs w:val="0"/>
          <w:color w:val="0F1115"/>
          <w:sz w:val="32"/>
          <w:szCs w:val="32"/>
          <w:shd w:val="clear" w:color="auto" w:fill="FFFFFF"/>
        </w:rPr>
        <w:t>（三）充分征求意见</w:t>
      </w:r>
    </w:p>
    <w:p w14:paraId="41217DEF">
      <w:pPr>
        <w:spacing w:after="0"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《规划》编制工作启动以来，多次在局内部召开研讨会，收集有关单位、部门对“十五五”时期水务发展的思路建议。先后征求局系统各单位各部门、市直相关部门、各区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含新区、合作区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、环水集团意见。2026年4月，形成征求意见稿，按程序面向社会公众公开征求意见，广泛吸纳社会各界建议。</w:t>
      </w:r>
    </w:p>
    <w:p w14:paraId="24BD8F70">
      <w:pPr>
        <w:overflowPunct w:val="0"/>
        <w:spacing w:after="0"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三、编制思路</w:t>
      </w:r>
    </w:p>
    <w:p w14:paraId="25CE6EA8">
      <w:pPr>
        <w:spacing w:after="0" w:line="56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在全市国民经济和社会发展“十五五”规划的统领下，把握好未来五年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GB"/>
        </w:rPr>
        <w:t>城市发展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从规模增量扩张转向存量提质增效为主的阶段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GB"/>
        </w:rPr>
        <w:t>特征，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以及深圳水务发展方向，紧扣美丽中国建设要求，以山海连城绿美深圳生态建设为引领，以全面推动水务高质量发展为核心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明确目标定位、坚持问题导向、聚焦重点任务、强化项目支撑，编制具有前瞻性、战略性、可操作性的水务发展“十五五”规划。</w:t>
      </w:r>
    </w:p>
    <w:p w14:paraId="2C21EE21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楷体_GB2312" w:hAnsi="楷体_GB2312" w:eastAsia="楷体_GB2312" w:cs="楷体_GB2312"/>
          <w:b w:val="0"/>
          <w:bCs w:val="0"/>
          <w:color w:val="0F1115"/>
          <w:sz w:val="32"/>
          <w:szCs w:val="32"/>
          <w:shd w:val="clear" w:color="auto" w:fill="FFFFFF"/>
        </w:rPr>
      </w:pPr>
      <w:r>
        <w:rPr>
          <w:rFonts w:ascii="楷体_GB2312" w:hAnsi="楷体_GB2312" w:eastAsia="楷体_GB2312" w:cs="楷体_GB2312"/>
          <w:b w:val="0"/>
          <w:bCs w:val="0"/>
          <w:color w:val="0F1115"/>
          <w:sz w:val="32"/>
          <w:szCs w:val="32"/>
          <w:shd w:val="clear" w:color="auto" w:fill="FFFFFF"/>
        </w:rPr>
        <w:t>（一）目标定位</w:t>
      </w:r>
    </w:p>
    <w:p w14:paraId="3FA47BA3">
      <w:pPr>
        <w:spacing w:after="0" w:line="56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“十五五”时期是深圳水务发展实现水务现代化夯实基础、全面发力的关键时期。《规划》以全面推动水务高质量发展为核心，通过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GB"/>
        </w:rPr>
        <w:t>统筹推进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GB"/>
        </w:rPr>
        <w:t>六水”共治、协同发展，全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面提升水安全保障能力，超大城市高质量水网建设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"/>
        </w:rPr>
        <w:t>取得显著成效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，水务现代化建设走在前、作示范，实现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水润鹏城、蓝绿交织、城水共兴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3F521355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楷体_GB2312" w:hAnsi="楷体_GB2312" w:eastAsia="楷体_GB2312" w:cs="楷体_GB2312"/>
          <w:b w:val="0"/>
          <w:bCs w:val="0"/>
          <w:color w:val="0F1115"/>
          <w:sz w:val="32"/>
          <w:szCs w:val="32"/>
          <w:shd w:val="clear" w:color="auto" w:fill="FFFFFF"/>
        </w:rPr>
      </w:pPr>
      <w:r>
        <w:rPr>
          <w:rFonts w:ascii="楷体_GB2312" w:hAnsi="楷体_GB2312" w:eastAsia="楷体_GB2312" w:cs="楷体_GB2312"/>
          <w:b w:val="0"/>
          <w:bCs w:val="0"/>
          <w:color w:val="0F1115"/>
          <w:sz w:val="32"/>
          <w:szCs w:val="32"/>
          <w:shd w:val="clear" w:color="auto" w:fill="FFFFFF"/>
        </w:rPr>
        <w:t>（二）问题需求导向</w:t>
      </w:r>
    </w:p>
    <w:p w14:paraId="2BCD7C51">
      <w:pPr>
        <w:spacing w:after="0" w:line="56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水务高质量发展是基础更牢固、保障更有力、功能更优化的发展。“十五五”水务发展在“十四五”时期“六水”共治、协同发展取得阶段性成效基础上，面临安全韧性、集约高效、精细化智能化管理等方面亟待解决的问题，如水资源配置和供水体系尚需优化，防洪（潮）排涝体系极端天气灾害防御、水环境精细化长效监管、水域岸线空间管控、全周期治水管水等能力有待提升。同时，水务高质量发展面临极端天气频发、城市发展方式转变、市民对高品质水环境需求日益增长等诸多挑战。为集中力量和资源解决关键问题，满足急迫需求，开展《规划》编制。</w:t>
      </w:r>
    </w:p>
    <w:p w14:paraId="2F3931E4"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楷体_GB2312" w:hAnsi="楷体_GB2312" w:eastAsia="楷体_GB2312" w:cs="楷体_GB2312"/>
          <w:b w:val="0"/>
          <w:bCs w:val="0"/>
          <w:color w:val="0F1115"/>
          <w:sz w:val="32"/>
          <w:szCs w:val="32"/>
          <w:shd w:val="clear" w:color="auto" w:fill="FFFFFF"/>
        </w:rPr>
      </w:pPr>
      <w:r>
        <w:rPr>
          <w:rFonts w:ascii="楷体_GB2312" w:hAnsi="楷体_GB2312" w:eastAsia="楷体_GB2312" w:cs="楷体_GB2312"/>
          <w:b w:val="0"/>
          <w:bCs w:val="0"/>
          <w:color w:val="0F1115"/>
          <w:sz w:val="32"/>
          <w:szCs w:val="32"/>
          <w:shd w:val="clear" w:color="auto" w:fill="FFFFFF"/>
        </w:rPr>
        <w:t>（三）重点任务</w:t>
      </w:r>
    </w:p>
    <w:p w14:paraId="77D6A5C1">
      <w:pPr>
        <w:spacing w:after="0" w:line="56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为达成水务发展“十五五”规划目标，未来五年，聚焦以下重点任务。</w:t>
      </w:r>
    </w:p>
    <w:p w14:paraId="3C709FA4">
      <w:pPr>
        <w:spacing w:after="0" w:line="56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GB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一是聚焦</w:t>
      </w: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  <w:t>韧性建设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，</w:t>
      </w: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  <w:t>筑牢超大城市水安全底盘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立足极端天气频发与城市高密度发展的双重挑战，推动工程韧性、管理韧性、社会韧性深度融合，构建“三位一体”水安全体系，加快从“被动应急”向“主动适应”、从“刚性防御”向“韧性适应”转变，全面提升城市应对极端灾害的自适应能力与快速恢复能力。</w:t>
      </w:r>
    </w:p>
    <w:p w14:paraId="78C6379B">
      <w:pPr>
        <w:spacing w:after="0" w:line="56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二是聚焦提质增效，</w:t>
      </w: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  <w:t>推动存量设施绿色集约转型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。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面向城市发展从增量扩张转向存量提质的阶段特征，系统推进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水资源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、供水、排水三大系统存量设施更新改造，加快规模化、集约化整合，实现从“规模扩张”向“效能提升”的根本转变。优化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水资源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、供水、排水、防洪调度策略，建立以效能为导向的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污水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运维考核机制，全面提升水务治理的精细化、集约化水平。</w:t>
      </w:r>
    </w:p>
    <w:p w14:paraId="315ABAEB">
      <w:pPr>
        <w:spacing w:after="0" w:line="560" w:lineRule="exact"/>
        <w:ind w:firstLine="640"/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三是聚焦科技赋能，</w:t>
      </w: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  <w:t>构建智慧协同的水务新生态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。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培育水科技创新生态，加快水务关键设施国产化替代，强化数据治理与共享，以科技自立自强引领水务新质生产力发展。推动数字孪生与人工智能全域赋能，加速水务基础设施数智化改造，实现全要素、全流程、全链条智慧升级。深化人工智能在水资源调度、水旱灾害防御、污水系统优化、民生诉求响应等场景的融合应用，实现从“经验管理”向“智慧治理”的战略转型。</w:t>
      </w:r>
    </w:p>
    <w:p w14:paraId="2C948236">
      <w:pPr>
        <w:overflowPunct w:val="0"/>
        <w:spacing w:after="0"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、主要内容</w:t>
      </w:r>
    </w:p>
    <w:p w14:paraId="4E001BDF">
      <w:pPr>
        <w:overflowPunct w:val="0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" w:eastAsia="仿宋_GB2312" w:cs="仿宋"/>
          <w:color w:val="000000"/>
          <w:sz w:val="32"/>
          <w:szCs w:val="32"/>
        </w:rPr>
        <w:t>《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规划</w:t>
      </w:r>
      <w:r>
        <w:rPr>
          <w:rFonts w:ascii="仿宋_GB2312" w:hAnsi="仿宋" w:eastAsia="仿宋_GB2312" w:cs="仿宋"/>
          <w:color w:val="00000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共包括5个部分：</w:t>
      </w:r>
    </w:p>
    <w:p w14:paraId="184A9381">
      <w:pPr>
        <w:overflowPunct w:val="0"/>
        <w:spacing w:after="0"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第一部分为前言。</w:t>
      </w:r>
      <w:r>
        <w:rPr>
          <w:rFonts w:hint="eastAsia" w:ascii="仿宋_GB2312" w:hAnsi="仿宋_GB2312" w:eastAsia="仿宋_GB2312" w:cs="仿宋_GB2312"/>
          <w:sz w:val="32"/>
          <w:szCs w:val="32"/>
        </w:rPr>
        <w:t>简要说明《规划》编制工作背景和《规划》定位。</w:t>
      </w:r>
    </w:p>
    <w:p w14:paraId="3E461619">
      <w:pPr>
        <w:overflowPunct w:val="0"/>
        <w:spacing w:after="0" w:line="560" w:lineRule="exact"/>
        <w:ind w:firstLine="643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第二部分为发展基础</w:t>
      </w:r>
      <w:r>
        <w:rPr>
          <w:rFonts w:hint="eastAsia" w:ascii="仿宋_GB2312" w:hAnsi="仿宋_GB2312" w:eastAsia="仿宋_GB2312" w:cs="仿宋_GB2312"/>
          <w:sz w:val="32"/>
          <w:szCs w:val="32"/>
        </w:rPr>
        <w:t>。共3节，总结“十四五”期间深圳市水务发展成就、困难与挑战，以及“十五五”期间水务工作面临的形势与机遇。</w:t>
      </w:r>
    </w:p>
    <w:p w14:paraId="764009A9">
      <w:pPr>
        <w:spacing w:after="0"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第三部分为总体要求。</w:t>
      </w:r>
      <w:r>
        <w:rPr>
          <w:rFonts w:hint="eastAsia" w:ascii="仿宋_GB2312" w:hAnsi="仿宋_GB2312" w:eastAsia="仿宋_GB2312" w:cs="仿宋_GB2312"/>
          <w:sz w:val="32"/>
          <w:szCs w:val="32"/>
        </w:rPr>
        <w:t>共3节，明确指导思想与基本原则。提出“2030年水务现代化建设走在前、作示范”阶段目标，以及“人水和谐，水润鹏城”总体目标。</w:t>
      </w:r>
    </w:p>
    <w:p w14:paraId="3A86C694">
      <w:pPr>
        <w:spacing w:after="0"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第四部分为主要任务。</w:t>
      </w:r>
      <w:r>
        <w:rPr>
          <w:rFonts w:hint="eastAsia" w:ascii="仿宋_GB2312" w:hAnsi="仿宋_GB2312" w:eastAsia="仿宋_GB2312" w:cs="仿宋_GB2312"/>
          <w:sz w:val="32"/>
          <w:szCs w:val="32"/>
        </w:rPr>
        <w:t>共8节，从统筹推进“六水”共治、协同发展角度，提出具体任务举措。</w:t>
      </w:r>
    </w:p>
    <w:p w14:paraId="75324897">
      <w:pPr>
        <w:overflowPunct w:val="0"/>
        <w:spacing w:after="0"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部分为实施保障。</w:t>
      </w:r>
      <w:r>
        <w:rPr>
          <w:rFonts w:hint="eastAsia" w:ascii="仿宋_GB2312" w:hAnsi="仿宋_GB2312" w:eastAsia="仿宋_GB2312" w:cs="仿宋_GB2312"/>
          <w:sz w:val="32"/>
          <w:szCs w:val="32"/>
        </w:rPr>
        <w:t>共1节，包括加强组织领导、加强要素保障、加强人才保障、加强实施评估等4方面内容。</w:t>
      </w:r>
    </w:p>
    <w:p w14:paraId="38BF7B71"/>
    <w:p w14:paraId="4A35976F">
      <w:pPr>
        <w:pStyle w:val="2"/>
        <w:rPr>
          <w:rFonts w:hint="eastAsia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8DC64">
    <w:pPr>
      <w:pStyle w:val="1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  <a:miter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C8C58A">
                          <w:pPr>
                            <w:pStyle w:val="19"/>
                            <w:rPr>
                              <w:rFonts w:hint="eastAsia" w:ascii="宋体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Calibri" w:cs="Calibri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Calibri" w:cs="Calibri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Calibri" w:cs="Calibri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Calibri" w:cs="Calibri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Calibri" w:cs="Calibri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Calibri" w:cs="Calibri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Calibri" w:cs="Calibri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Cct/0tQAAAAFAQAADwAAAAAAAAABACAAAAAiAAAAZHJzL2Rvd25yZXYueG1s&#10;UEsBAhQAFAAAAAgAh07iQBA4Zs41AgAAYwQAAA4AAAAAAAAAAQAgAAAAIwEAAGRycy9lMm9Eb2Mu&#10;eG1sUEsFBgAAAAAGAAYAWQEAAMoFAAAAAA==&#10;">
              <v:fill on="f" focussize="0,0"/>
              <v:stroke on="f" weight="0.5pt" joinstyle="miter"/>
              <v:imagedata o:title=""/>
              <o:lock v:ext="edit" aspectratio="f"/>
              <v:textbox inset="0mm,0mm,0mm,0mm" style="mso-fit-shape-to-text:t;">
                <w:txbxContent>
                  <w:p w14:paraId="48C8C58A">
                    <w:pPr>
                      <w:pStyle w:val="19"/>
                      <w:rPr>
                        <w:rFonts w:hint="eastAsia" w:ascii="宋体" w:hAnsi="Calibri" w:cs="Calibri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Calibri" w:cs="Calibri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Calibri" w:cs="Calibri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Calibri" w:cs="Calibri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Calibri" w:cs="Calibri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Calibri" w:cs="Calibri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Calibri" w:cs="Calibri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Calibri" w:cs="Calibri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trackRevisions w:val="1"/>
  <w:documentProtection w:enforcement="0"/>
  <w:defaultTabStop w:val="420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5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nhideWhenUsed="0"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qFormat="1" w:uiPriority="99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160" w:afterAutospacing="0" w:line="278" w:lineRule="auto"/>
      <w:ind w:left="0" w:right="0" w:firstLine="0"/>
      <w:jc w:val="both"/>
    </w:pPr>
    <w:rPr>
      <w:rFonts w:hint="default" w:ascii="Calibri" w:hAnsi="Calibri" w:eastAsia="宋体" w:cs="Calibri"/>
      <w:color w:val="auto"/>
      <w:spacing w:val="0"/>
      <w:kern w:val="2"/>
      <w:position w:val="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9" w:lineRule="exact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20"/>
    </w:rPr>
  </w:style>
  <w:style w:type="paragraph" w:styleId="3">
    <w:name w:val="heading 2"/>
    <w:basedOn w:val="1"/>
    <w:next w:val="1"/>
    <w:link w:val="18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Calibri Light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="0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link w:val="43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4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5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6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7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8"/>
    <w:unhideWhenUsed/>
    <w:qFormat/>
    <w:uiPriority w:val="9"/>
    <w:pPr>
      <w:keepNext/>
      <w:keepLines/>
      <w:overflowPunct w:val="0"/>
      <w:autoSpaceDE w:val="0"/>
      <w:autoSpaceDN w:val="0"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uiPriority w:val="39"/>
    <w:pPr>
      <w:overflowPunct w:val="0"/>
      <w:autoSpaceDE w:val="0"/>
      <w:autoSpaceDN w:val="0"/>
      <w:spacing w:after="57"/>
      <w:ind w:left="1701" w:right="0" w:firstLine="0"/>
    </w:pPr>
  </w:style>
  <w:style w:type="paragraph" w:styleId="12">
    <w:name w:val="Normal Indent"/>
    <w:basedOn w:val="1"/>
    <w:unhideWhenUsed/>
    <w:qFormat/>
    <w:uiPriority w:val="99"/>
    <w:pPr>
      <w:ind w:firstLine="420"/>
    </w:pPr>
  </w:style>
  <w:style w:type="paragraph" w:styleId="13">
    <w:name w:val="caption"/>
    <w:basedOn w:val="1"/>
    <w:next w:val="1"/>
    <w:semiHidden/>
    <w:unhideWhenUsed/>
    <w:qFormat/>
    <w:uiPriority w:val="35"/>
    <w:pPr>
      <w:overflowPunct w:val="0"/>
      <w:autoSpaceDE w:val="0"/>
      <w:autoSpaceDN w:val="0"/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annotation text"/>
    <w:basedOn w:val="1"/>
    <w:link w:val="192"/>
    <w:qFormat/>
    <w:uiPriority w:val="0"/>
    <w:pPr>
      <w:jc w:val="left"/>
    </w:pPr>
  </w:style>
  <w:style w:type="paragraph" w:styleId="15">
    <w:name w:val="Body Text"/>
    <w:basedOn w:val="1"/>
    <w:next w:val="1"/>
    <w:qFormat/>
    <w:uiPriority w:val="0"/>
    <w:pPr>
      <w:spacing w:after="120"/>
    </w:pPr>
  </w:style>
  <w:style w:type="paragraph" w:styleId="16">
    <w:name w:val="toc 5"/>
    <w:basedOn w:val="1"/>
    <w:next w:val="1"/>
    <w:unhideWhenUsed/>
    <w:uiPriority w:val="39"/>
    <w:pPr>
      <w:overflowPunct w:val="0"/>
      <w:autoSpaceDE w:val="0"/>
      <w:autoSpaceDN w:val="0"/>
      <w:spacing w:after="57"/>
      <w:ind w:left="1134" w:right="0" w:firstLine="0"/>
    </w:pPr>
  </w:style>
  <w:style w:type="paragraph" w:styleId="17">
    <w:name w:val="toc 3"/>
    <w:basedOn w:val="1"/>
    <w:next w:val="1"/>
    <w:unhideWhenUsed/>
    <w:uiPriority w:val="39"/>
    <w:pPr>
      <w:overflowPunct w:val="0"/>
      <w:autoSpaceDE w:val="0"/>
      <w:autoSpaceDN w:val="0"/>
      <w:spacing w:after="57"/>
      <w:ind w:left="567" w:right="0" w:firstLine="0"/>
    </w:pPr>
  </w:style>
  <w:style w:type="paragraph" w:styleId="18">
    <w:name w:val="toc 8"/>
    <w:basedOn w:val="1"/>
    <w:next w:val="1"/>
    <w:unhideWhenUsed/>
    <w:uiPriority w:val="39"/>
    <w:pPr>
      <w:overflowPunct w:val="0"/>
      <w:autoSpaceDE w:val="0"/>
      <w:autoSpaceDN w:val="0"/>
      <w:spacing w:after="57"/>
      <w:ind w:left="1984" w:right="0" w:firstLine="0"/>
    </w:p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1">
    <w:name w:val="toc 1"/>
    <w:basedOn w:val="1"/>
    <w:next w:val="1"/>
    <w:unhideWhenUsed/>
    <w:uiPriority w:val="39"/>
    <w:pPr>
      <w:overflowPunct w:val="0"/>
      <w:autoSpaceDE w:val="0"/>
      <w:autoSpaceDN w:val="0"/>
      <w:spacing w:after="57"/>
      <w:ind w:left="0" w:right="0" w:firstLine="0"/>
    </w:pPr>
  </w:style>
  <w:style w:type="paragraph" w:styleId="22">
    <w:name w:val="toc 4"/>
    <w:basedOn w:val="1"/>
    <w:next w:val="1"/>
    <w:unhideWhenUsed/>
    <w:uiPriority w:val="39"/>
    <w:pPr>
      <w:overflowPunct w:val="0"/>
      <w:autoSpaceDE w:val="0"/>
      <w:autoSpaceDN w:val="0"/>
      <w:spacing w:after="57"/>
      <w:ind w:left="850" w:right="0" w:firstLine="0"/>
    </w:pPr>
  </w:style>
  <w:style w:type="paragraph" w:styleId="23">
    <w:name w:val="Subtitle"/>
    <w:basedOn w:val="1"/>
    <w:next w:val="1"/>
    <w:link w:val="52"/>
    <w:qFormat/>
    <w:uiPriority w:val="11"/>
    <w:pPr>
      <w:overflowPunct w:val="0"/>
      <w:autoSpaceDE w:val="0"/>
      <w:autoSpaceDN w:val="0"/>
      <w:spacing w:before="200" w:after="200"/>
    </w:pPr>
    <w:rPr>
      <w:sz w:val="24"/>
      <w:szCs w:val="24"/>
    </w:rPr>
  </w:style>
  <w:style w:type="paragraph" w:styleId="24">
    <w:name w:val="footnote text"/>
    <w:basedOn w:val="1"/>
    <w:link w:val="185"/>
    <w:semiHidden/>
    <w:unhideWhenUsed/>
    <w:uiPriority w:val="99"/>
    <w:pPr>
      <w:overflowPunct w:val="0"/>
      <w:autoSpaceDE w:val="0"/>
      <w:autoSpaceDN w:val="0"/>
      <w:spacing w:after="40" w:line="240" w:lineRule="auto"/>
    </w:pPr>
    <w:rPr>
      <w:sz w:val="18"/>
    </w:rPr>
  </w:style>
  <w:style w:type="paragraph" w:styleId="25">
    <w:name w:val="toc 6"/>
    <w:basedOn w:val="1"/>
    <w:next w:val="1"/>
    <w:unhideWhenUsed/>
    <w:uiPriority w:val="39"/>
    <w:pPr>
      <w:overflowPunct w:val="0"/>
      <w:autoSpaceDE w:val="0"/>
      <w:autoSpaceDN w:val="0"/>
      <w:spacing w:after="57"/>
      <w:ind w:left="1417" w:right="0" w:firstLine="0"/>
    </w:pPr>
  </w:style>
  <w:style w:type="paragraph" w:styleId="26">
    <w:name w:val="toc 2"/>
    <w:basedOn w:val="1"/>
    <w:next w:val="1"/>
    <w:qFormat/>
    <w:uiPriority w:val="39"/>
    <w:pPr>
      <w:tabs>
        <w:tab w:val="right" w:leader="dot" w:pos="8494"/>
      </w:tabs>
      <w:spacing w:line="360" w:lineRule="auto"/>
      <w:ind w:right="391" w:rightChars="186"/>
    </w:pPr>
    <w:rPr>
      <w:rFonts w:ascii="宋体" w:hAnsi="宋体"/>
      <w:sz w:val="24"/>
    </w:rPr>
  </w:style>
  <w:style w:type="paragraph" w:styleId="27">
    <w:name w:val="toc 9"/>
    <w:basedOn w:val="1"/>
    <w:next w:val="1"/>
    <w:unhideWhenUsed/>
    <w:uiPriority w:val="39"/>
    <w:pPr>
      <w:overflowPunct w:val="0"/>
      <w:autoSpaceDE w:val="0"/>
      <w:autoSpaceDN w:val="0"/>
      <w:spacing w:after="57"/>
      <w:ind w:left="2268" w:right="0" w:firstLine="0"/>
    </w:pPr>
  </w:style>
  <w:style w:type="paragraph" w:styleId="2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2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30">
    <w:name w:val="Title"/>
    <w:basedOn w:val="1"/>
    <w:next w:val="1"/>
    <w:link w:val="51"/>
    <w:qFormat/>
    <w:uiPriority w:val="10"/>
    <w:pPr>
      <w:overflowPunct w:val="0"/>
      <w:autoSpaceDE w:val="0"/>
      <w:autoSpaceDN w:val="0"/>
      <w:spacing w:before="300" w:after="200"/>
      <w:contextualSpacing/>
    </w:pPr>
    <w:rPr>
      <w:sz w:val="48"/>
      <w:szCs w:val="48"/>
    </w:rPr>
  </w:style>
  <w:style w:type="paragraph" w:styleId="31">
    <w:name w:val="annotation subject"/>
    <w:basedOn w:val="14"/>
    <w:next w:val="14"/>
    <w:link w:val="193"/>
    <w:qFormat/>
    <w:uiPriority w:val="0"/>
    <w:rPr>
      <w:b/>
      <w:bCs/>
    </w:rPr>
  </w:style>
  <w:style w:type="table" w:styleId="33">
    <w:name w:val="Table Grid"/>
    <w:basedOn w:val="32"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5">
    <w:name w:val="Strong"/>
    <w:basedOn w:val="34"/>
    <w:qFormat/>
    <w:uiPriority w:val="0"/>
    <w:rPr>
      <w:b/>
      <w:bCs/>
    </w:rPr>
  </w:style>
  <w:style w:type="character" w:styleId="36">
    <w:name w:val="Emphasis"/>
    <w:basedOn w:val="34"/>
    <w:qFormat/>
    <w:uiPriority w:val="0"/>
    <w:rPr>
      <w:i/>
    </w:rPr>
  </w:style>
  <w:style w:type="character" w:styleId="37">
    <w:name w:val="Hyperlink"/>
    <w:basedOn w:val="34"/>
    <w:unhideWhenUsed/>
    <w:qFormat/>
    <w:uiPriority w:val="99"/>
    <w:rPr>
      <w:color w:val="0000FF"/>
      <w:u w:val="single"/>
    </w:rPr>
  </w:style>
  <w:style w:type="character" w:styleId="38">
    <w:name w:val="annotation reference"/>
    <w:basedOn w:val="34"/>
    <w:qFormat/>
    <w:uiPriority w:val="0"/>
    <w:rPr>
      <w:sz w:val="21"/>
      <w:szCs w:val="21"/>
    </w:rPr>
  </w:style>
  <w:style w:type="character" w:styleId="39">
    <w:name w:val="footnote reference"/>
    <w:basedOn w:val="34"/>
    <w:unhideWhenUsed/>
    <w:uiPriority w:val="99"/>
    <w:rPr>
      <w:vertAlign w:val="superscript"/>
    </w:rPr>
  </w:style>
  <w:style w:type="character" w:customStyle="1" w:styleId="40">
    <w:name w:val="Heading 1 Char"/>
    <w:basedOn w:val="34"/>
    <w:uiPriority w:val="9"/>
    <w:rPr>
      <w:rFonts w:ascii="Arial" w:hAnsi="Arial" w:eastAsia="Arial" w:cs="Arial"/>
      <w:sz w:val="40"/>
      <w:szCs w:val="40"/>
    </w:rPr>
  </w:style>
  <w:style w:type="character" w:customStyle="1" w:styleId="41">
    <w:name w:val="Heading 2 Char"/>
    <w:basedOn w:val="34"/>
    <w:uiPriority w:val="9"/>
    <w:rPr>
      <w:rFonts w:ascii="Arial" w:hAnsi="Arial" w:eastAsia="Arial" w:cs="Arial"/>
      <w:sz w:val="34"/>
    </w:rPr>
  </w:style>
  <w:style w:type="character" w:customStyle="1" w:styleId="42">
    <w:name w:val="Heading 3 Char"/>
    <w:basedOn w:val="34"/>
    <w:uiPriority w:val="9"/>
    <w:rPr>
      <w:rFonts w:ascii="Arial" w:hAnsi="Arial" w:eastAsia="Arial" w:cs="Arial"/>
      <w:sz w:val="30"/>
      <w:szCs w:val="30"/>
    </w:rPr>
  </w:style>
  <w:style w:type="character" w:customStyle="1" w:styleId="43">
    <w:name w:val="Heading 4 Char"/>
    <w:basedOn w:val="34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4">
    <w:name w:val="Heading 5 Char"/>
    <w:basedOn w:val="34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5">
    <w:name w:val="Heading 6 Char"/>
    <w:basedOn w:val="34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6">
    <w:name w:val="Heading 7 Char"/>
    <w:basedOn w:val="34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7">
    <w:name w:val="Heading 8 Char"/>
    <w:basedOn w:val="34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8">
    <w:name w:val="Heading 9 Char"/>
    <w:basedOn w:val="34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9">
    <w:name w:val="List Paragraph"/>
    <w:basedOn w:val="1"/>
    <w:qFormat/>
    <w:uiPriority w:val="34"/>
    <w:pPr>
      <w:overflowPunct w:val="0"/>
      <w:autoSpaceDE w:val="0"/>
      <w:autoSpaceDN w:val="0"/>
      <w:ind w:left="720"/>
      <w:contextualSpacing/>
    </w:pPr>
  </w:style>
  <w:style w:type="paragraph" w:styleId="50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verflowPunct w:val="0"/>
      <w:autoSpaceDE w:val="0"/>
      <w:autoSpaceDN w:val="0"/>
      <w:spacing w:before="0" w:beforeAutospacing="0" w:after="0" w:afterAutospacing="0" w:line="240" w:lineRule="auto"/>
      <w:ind w:left="0" w:right="0" w:firstLine="0"/>
      <w:jc w:val="left"/>
    </w:pPr>
    <w:rPr>
      <w:rFonts w:hint="default" w:ascii="Times New Roman" w:hAnsi="Times New Roman" w:eastAsia="宋体" w:cs="Times New Roman"/>
      <w:color w:val="auto"/>
      <w:spacing w:val="0"/>
      <w:position w:val="0"/>
      <w:sz w:val="21"/>
      <w:szCs w:val="22"/>
      <w:lang w:val="en-US" w:eastAsia="en-US" w:bidi="en-US"/>
    </w:rPr>
  </w:style>
  <w:style w:type="character" w:customStyle="1" w:styleId="51">
    <w:name w:val="Title Char"/>
    <w:basedOn w:val="34"/>
    <w:link w:val="30"/>
    <w:uiPriority w:val="10"/>
    <w:rPr>
      <w:sz w:val="48"/>
      <w:szCs w:val="48"/>
    </w:rPr>
  </w:style>
  <w:style w:type="character" w:customStyle="1" w:styleId="52">
    <w:name w:val="Subtitle Char"/>
    <w:basedOn w:val="34"/>
    <w:link w:val="23"/>
    <w:qFormat/>
    <w:uiPriority w:val="11"/>
    <w:rPr>
      <w:sz w:val="24"/>
      <w:szCs w:val="24"/>
    </w:rPr>
  </w:style>
  <w:style w:type="paragraph" w:styleId="53">
    <w:name w:val="Quote"/>
    <w:basedOn w:val="1"/>
    <w:next w:val="1"/>
    <w:link w:val="54"/>
    <w:qFormat/>
    <w:uiPriority w:val="29"/>
    <w:pPr>
      <w:overflowPunct w:val="0"/>
      <w:autoSpaceDE w:val="0"/>
      <w:autoSpaceDN w:val="0"/>
      <w:ind w:left="720" w:right="720"/>
    </w:pPr>
    <w:rPr>
      <w:i/>
    </w:rPr>
  </w:style>
  <w:style w:type="character" w:customStyle="1" w:styleId="54">
    <w:name w:val="Quote Char"/>
    <w:link w:val="53"/>
    <w:uiPriority w:val="29"/>
    <w:rPr>
      <w:i/>
    </w:rPr>
  </w:style>
  <w:style w:type="paragraph" w:styleId="55">
    <w:name w:val="Intense Quote"/>
    <w:basedOn w:val="1"/>
    <w:next w:val="1"/>
    <w:link w:val="56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overflowPunct w:val="0"/>
      <w:autoSpaceDE w:val="0"/>
      <w:autoSpaceDN w:val="0"/>
      <w:ind w:left="720" w:right="720"/>
      <w:contextualSpacing w:val="0"/>
    </w:pPr>
    <w:rPr>
      <w:i/>
    </w:rPr>
  </w:style>
  <w:style w:type="character" w:customStyle="1" w:styleId="56">
    <w:name w:val="Intense Quote Char"/>
    <w:link w:val="55"/>
    <w:uiPriority w:val="30"/>
    <w:rPr>
      <w:i/>
    </w:rPr>
  </w:style>
  <w:style w:type="character" w:customStyle="1" w:styleId="57">
    <w:name w:val="Header Char"/>
    <w:basedOn w:val="34"/>
    <w:uiPriority w:val="99"/>
  </w:style>
  <w:style w:type="character" w:customStyle="1" w:styleId="58">
    <w:name w:val="Footer Char"/>
    <w:basedOn w:val="34"/>
    <w:uiPriority w:val="99"/>
  </w:style>
  <w:style w:type="character" w:customStyle="1" w:styleId="59">
    <w:name w:val="Caption Char"/>
    <w:uiPriority w:val="99"/>
  </w:style>
  <w:style w:type="table" w:customStyle="1" w:styleId="60">
    <w:name w:val="Table Grid Light"/>
    <w:basedOn w:val="32"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61">
    <w:name w:val="Plain Table 1"/>
    <w:basedOn w:val="32"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auto" w:fill="F1F1F1" w:themeFill="text1" w:themeFillTint="0D"/>
      </w:tcPr>
    </w:tblStylePr>
    <w:tblStylePr w:type="band1Horz"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62">
    <w:name w:val="Plain Table 2"/>
    <w:basedOn w:val="32"/>
    <w:qFormat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Plain Table 3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64">
    <w:name w:val="Plain Table 4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65">
    <w:name w:val="Plain Table 5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66">
    <w:name w:val="Grid Table 1 Light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1"/>
    <w:basedOn w:val="32"/>
    <w:qFormat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1 Light - Accent 2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1 Light - Accent 3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1 Light - Accent 4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1 Light - Accent 5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1 Light - Accent 6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neCell"/>
    <w:tblStylePr w:type="nwCell"/>
    <w:tblStylePr w:type="seCell"/>
    <w:tblStylePr w:type="swCell"/>
  </w:style>
  <w:style w:type="table" w:customStyle="1" w:styleId="74">
    <w:name w:val="Grid Table 2 - Accent 1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neCell"/>
    <w:tblStylePr w:type="nwCell"/>
    <w:tblStylePr w:type="seCell"/>
    <w:tblStylePr w:type="swCell"/>
  </w:style>
  <w:style w:type="table" w:customStyle="1" w:styleId="75">
    <w:name w:val="Grid Table 2 - Accent 2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76">
    <w:name w:val="Grid Table 2 - Accent 3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77">
    <w:name w:val="Grid Table 2 - Accent 4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78">
    <w:name w:val="Grid Table 2 - Accent 5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79">
    <w:name w:val="Grid Table 2 - Accent 6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80">
    <w:name w:val="Grid Table 3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neCell"/>
    <w:tblStylePr w:type="nwCell"/>
    <w:tblStylePr w:type="seCell"/>
    <w:tblStylePr w:type="swCell"/>
  </w:style>
  <w:style w:type="table" w:customStyle="1" w:styleId="81">
    <w:name w:val="Grid Table 3 - Accent 1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neCell"/>
    <w:tblStylePr w:type="nwCell"/>
    <w:tblStylePr w:type="seCell"/>
    <w:tblStylePr w:type="swCell"/>
  </w:style>
  <w:style w:type="table" w:customStyle="1" w:styleId="82">
    <w:name w:val="Grid Table 3 - Accent 2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83">
    <w:name w:val="Grid Table 3 - Accent 3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84">
    <w:name w:val="Grid Table 3 - Accent 4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85">
    <w:name w:val="Grid Table 3 - Accent 5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86">
    <w:name w:val="Grid Table 3 - Accent 6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overflowPunct w:val="0"/>
        <w:autoSpaceDE w:val="0"/>
        <w:autoSpaceDN w:val="0"/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87">
    <w:name w:val="Grid Table 4"/>
    <w:basedOn w:val="32"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neCell"/>
    <w:tblStylePr w:type="nwCell"/>
    <w:tblStylePr w:type="seCell"/>
    <w:tblStylePr w:type="swCell"/>
  </w:style>
  <w:style w:type="table" w:customStyle="1" w:styleId="88">
    <w:name w:val="Grid Table 4 - Accent 1"/>
    <w:basedOn w:val="32"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auto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  <w:tblStylePr w:type="neCell"/>
    <w:tblStylePr w:type="nwCell"/>
    <w:tblStylePr w:type="seCell"/>
    <w:tblStylePr w:type="swCell"/>
  </w:style>
  <w:style w:type="table" w:customStyle="1" w:styleId="89">
    <w:name w:val="Grid Table 4 - Accent 2"/>
    <w:basedOn w:val="32"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auto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90">
    <w:name w:val="Grid Table 4 - Accent 3"/>
    <w:basedOn w:val="32"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91">
    <w:name w:val="Grid Table 4 - Accent 4"/>
    <w:basedOn w:val="32"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auto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92">
    <w:name w:val="Grid Table 4 - Accent 5"/>
    <w:basedOn w:val="32"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auto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93">
    <w:name w:val="Grid Table 4 - Accent 6"/>
    <w:basedOn w:val="32"/>
    <w:uiPriority w:val="59"/>
    <w:pPr>
      <w:overflowPunct w:val="0"/>
      <w:autoSpaceDE w:val="0"/>
      <w:autoSpaceDN w:val="0"/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auto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94">
    <w:name w:val="Grid Table 5 Dark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band1Vert">
      <w:tcPr>
        <w:shd w:val="clear" w:color="auto" w:fill="898989" w:themeFill="text1" w:themeFillTint="75"/>
      </w:tcPr>
    </w:tblStylePr>
    <w:tblStylePr w:type="band1Horz">
      <w:tcPr>
        <w:shd w:val="clear" w:color="auto" w:fill="898989" w:themeFill="text1" w:themeFillTint="75"/>
      </w:tcPr>
    </w:tblStylePr>
    <w:tblStylePr w:type="neCell"/>
    <w:tblStylePr w:type="nwCell"/>
    <w:tblStylePr w:type="seCell"/>
    <w:tblStylePr w:type="swCell"/>
  </w:style>
  <w:style w:type="table" w:customStyle="1" w:styleId="95">
    <w:name w:val="Grid Table 5 Dark- Accent 1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band1Vert">
      <w:tcPr>
        <w:shd w:val="clear" w:color="auto" w:fill="B3D1EB" w:themeFill="accent1" w:themeFillTint="75"/>
      </w:tcPr>
    </w:tblStylePr>
    <w:tblStylePr w:type="band1Horz">
      <w:tcPr>
        <w:shd w:val="clear" w:color="auto" w:fill="B3D1EB" w:themeFill="accent1" w:themeFillTint="75"/>
      </w:tcPr>
    </w:tblStylePr>
    <w:tblStylePr w:type="neCell"/>
    <w:tblStylePr w:type="nwCell"/>
    <w:tblStylePr w:type="seCell"/>
    <w:tblStylePr w:type="swCell"/>
  </w:style>
  <w:style w:type="table" w:customStyle="1" w:styleId="96">
    <w:name w:val="Grid Table 5 Dark - Accent 2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band1Vert">
      <w:tcPr>
        <w:shd w:val="clear" w:color="auto" w:fill="F6C3A0" w:themeFill="accent2" w:themeFillTint="75"/>
      </w:tcPr>
    </w:tblStylePr>
    <w:tblStylePr w:type="band1Horz">
      <w:tcPr>
        <w:shd w:val="clear" w:color="auto" w:fill="F6C3A0" w:themeFill="accent2" w:themeFillTint="75"/>
      </w:tcPr>
    </w:tblStylePr>
    <w:tblStylePr w:type="neCell"/>
    <w:tblStylePr w:type="nwCell"/>
    <w:tblStylePr w:type="seCell"/>
    <w:tblStylePr w:type="swCell"/>
  </w:style>
  <w:style w:type="table" w:customStyle="1" w:styleId="97">
    <w:name w:val="Grid Table 5 Dark - Accent 3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band1Vert">
      <w:tcPr>
        <w:shd w:val="clear" w:color="auto" w:fill="D5D5D5" w:themeFill="accent3" w:themeFillTint="75"/>
      </w:tcPr>
    </w:tblStylePr>
    <w:tblStylePr w:type="band1Horz">
      <w:tcPr>
        <w:shd w:val="clear" w:color="auto" w:fill="D5D5D5" w:themeFill="accent3" w:themeFillTint="75"/>
      </w:tcPr>
    </w:tblStylePr>
    <w:tblStylePr w:type="neCell"/>
    <w:tblStylePr w:type="nwCell"/>
    <w:tblStylePr w:type="seCell"/>
    <w:tblStylePr w:type="swCell"/>
  </w:style>
  <w:style w:type="table" w:customStyle="1" w:styleId="98">
    <w:name w:val="Grid Table 5 Dark- Accent 4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band1Vert">
      <w:tcPr>
        <w:shd w:val="clear" w:color="auto" w:fill="FEE289" w:themeFill="accent4" w:themeFillTint="75"/>
      </w:tcPr>
    </w:tblStylePr>
    <w:tblStylePr w:type="band1Horz">
      <w:tcPr>
        <w:shd w:val="clear" w:color="auto" w:fill="FEE289" w:themeFill="accent4" w:themeFillTint="75"/>
      </w:tcPr>
    </w:tblStylePr>
    <w:tblStylePr w:type="neCell"/>
    <w:tblStylePr w:type="nwCell"/>
    <w:tblStylePr w:type="seCell"/>
    <w:tblStylePr w:type="swCell"/>
  </w:style>
  <w:style w:type="table" w:customStyle="1" w:styleId="99">
    <w:name w:val="Grid Table 5 Dark - Accent 5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band1Vert">
      <w:tcPr>
        <w:shd w:val="clear" w:color="auto" w:fill="A9BEE3" w:themeFill="accent5" w:themeFillTint="75"/>
      </w:tcPr>
    </w:tblStylePr>
    <w:tblStylePr w:type="band1Horz">
      <w:tcPr>
        <w:shd w:val="clear" w:color="auto" w:fill="A9BEE3" w:themeFill="accent5" w:themeFillTint="75"/>
      </w:tcPr>
    </w:tblStylePr>
    <w:tblStylePr w:type="neCell"/>
    <w:tblStylePr w:type="nwCell"/>
    <w:tblStylePr w:type="seCell"/>
    <w:tblStylePr w:type="swCell"/>
  </w:style>
  <w:style w:type="table" w:customStyle="1" w:styleId="100">
    <w:name w:val="Grid Table 5 Dark - Accent 6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band1Vert">
      <w:tcPr>
        <w:shd w:val="clear" w:color="auto" w:fill="BCDBA8" w:themeFill="accent6" w:themeFillTint="75"/>
      </w:tcPr>
    </w:tblStylePr>
    <w:tblStylePr w:type="band1Horz">
      <w:tcPr>
        <w:shd w:val="clear" w:color="auto" w:fill="BCDBA8" w:themeFill="accent6" w:themeFillTint="75"/>
      </w:tc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1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6 Colorful - Accent 2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6 Colorful - Accent 3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auto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6 Colorful - Accent 4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6 Colorful - Accent 5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auto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auto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6 Colorful - Accent 6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auto" w:fill="E1EFD8" w:themeFill="accent6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1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0">
    <w:name w:val="Grid Table 7 Colorful - Accent 2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1">
    <w:name w:val="Grid Table 7 Colorful - Accent 3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2">
    <w:name w:val="Grid Table 7 Colorful - Accent 4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3">
    <w:name w:val="Grid Table 7 Colorful - Accent 5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auto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4">
    <w:name w:val="Grid Table 7 Colorful - Accent 6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5">
    <w:name w:val="List Table 1 Light"/>
    <w:basedOn w:val="32"/>
    <w:uiPriority w:val="99"/>
    <w:pPr>
      <w:overflowPunct w:val="0"/>
      <w:autoSpaceDE w:val="0"/>
      <w:autoSpaceDN w:val="0"/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BEBEBE" w:themeFill="text1" w:themeFillTint="40"/>
      </w:tcPr>
    </w:tblStylePr>
    <w:tblStylePr w:type="band1Horz">
      <w:tcPr>
        <w:shd w:val="clear" w:color="auto" w:fill="BEBEBE" w:themeFill="text1" w:themeFillTint="40"/>
      </w:tcPr>
    </w:tblStylePr>
    <w:tblStylePr w:type="neCell"/>
    <w:tblStylePr w:type="nwCell"/>
    <w:tblStylePr w:type="seCell"/>
    <w:tblStylePr w:type="swCell"/>
  </w:style>
  <w:style w:type="table" w:customStyle="1" w:styleId="116">
    <w:name w:val="List Table 1 Light - Accent 1"/>
    <w:basedOn w:val="32"/>
    <w:uiPriority w:val="99"/>
    <w:pPr>
      <w:overflowPunct w:val="0"/>
      <w:autoSpaceDE w:val="0"/>
      <w:autoSpaceDN w:val="0"/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5E5F4" w:themeFill="accent1" w:themeFillTint="40"/>
      </w:tcPr>
    </w:tblStylePr>
    <w:tblStylePr w:type="band1Horz">
      <w:tcPr>
        <w:shd w:val="clear" w:color="auto" w:fill="D5E5F4" w:themeFill="accent1" w:themeFillTint="40"/>
      </w:tcPr>
    </w:tblStylePr>
    <w:tblStylePr w:type="neCell"/>
    <w:tblStylePr w:type="nwCell"/>
    <w:tblStylePr w:type="seCell"/>
    <w:tblStylePr w:type="swCell"/>
  </w:style>
  <w:style w:type="table" w:customStyle="1" w:styleId="117">
    <w:name w:val="List Table 1 Light - Accent 2"/>
    <w:basedOn w:val="32"/>
    <w:uiPriority w:val="99"/>
    <w:pPr>
      <w:overflowPunct w:val="0"/>
      <w:autoSpaceDE w:val="0"/>
      <w:autoSpaceDN w:val="0"/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ADECB" w:themeFill="accent2" w:themeFillTint="40"/>
      </w:tcPr>
    </w:tblStylePr>
    <w:tblStylePr w:type="band1Horz">
      <w:tcPr>
        <w:shd w:val="clear" w:color="auto" w:fill="FADECB" w:themeFill="accent2" w:themeFillTint="40"/>
      </w:tcPr>
    </w:tblStylePr>
    <w:tblStylePr w:type="neCell"/>
    <w:tblStylePr w:type="nwCell"/>
    <w:tblStylePr w:type="seCell"/>
    <w:tblStylePr w:type="swCell"/>
  </w:style>
  <w:style w:type="table" w:customStyle="1" w:styleId="118">
    <w:name w:val="List Table 1 Light - Accent 3"/>
    <w:basedOn w:val="32"/>
    <w:uiPriority w:val="99"/>
    <w:pPr>
      <w:overflowPunct w:val="0"/>
      <w:autoSpaceDE w:val="0"/>
      <w:autoSpaceDN w:val="0"/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8E8E8" w:themeFill="accent3" w:themeFillTint="40"/>
      </w:tcPr>
    </w:tblStylePr>
    <w:tblStylePr w:type="band1Horz">
      <w:tcPr>
        <w:shd w:val="clear" w:color="auto" w:fill="E8E8E8" w:themeFill="accent3" w:themeFillTint="40"/>
      </w:tcPr>
    </w:tblStylePr>
    <w:tblStylePr w:type="neCell"/>
    <w:tblStylePr w:type="nwCell"/>
    <w:tblStylePr w:type="seCell"/>
    <w:tblStylePr w:type="swCell"/>
  </w:style>
  <w:style w:type="table" w:customStyle="1" w:styleId="119">
    <w:name w:val="List Table 1 Light - Accent 4"/>
    <w:basedOn w:val="32"/>
    <w:uiPriority w:val="99"/>
    <w:pPr>
      <w:overflowPunct w:val="0"/>
      <w:autoSpaceDE w:val="0"/>
      <w:autoSpaceDN w:val="0"/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FEFBE" w:themeFill="accent4" w:themeFillTint="40"/>
      </w:tcPr>
    </w:tblStylePr>
    <w:tblStylePr w:type="band1Horz">
      <w:tcPr>
        <w:shd w:val="clear" w:color="auto" w:fill="FFEFBE" w:themeFill="accent4" w:themeFillTint="40"/>
      </w:tcPr>
    </w:tblStylePr>
    <w:tblStylePr w:type="neCell"/>
    <w:tblStylePr w:type="nwCell"/>
    <w:tblStylePr w:type="seCell"/>
    <w:tblStylePr w:type="swCell"/>
  </w:style>
  <w:style w:type="table" w:customStyle="1" w:styleId="120">
    <w:name w:val="List Table 1 Light - Accent 5"/>
    <w:basedOn w:val="32"/>
    <w:uiPriority w:val="99"/>
    <w:pPr>
      <w:overflowPunct w:val="0"/>
      <w:autoSpaceDE w:val="0"/>
      <w:autoSpaceDN w:val="0"/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0DBF0" w:themeFill="accent5" w:themeFillTint="40"/>
      </w:tcPr>
    </w:tblStylePr>
    <w:tblStylePr w:type="band1Horz">
      <w:tcPr>
        <w:shd w:val="clear" w:color="auto" w:fill="D0DBF0" w:themeFill="accent5" w:themeFillTint="40"/>
      </w:tcPr>
    </w:tblStylePr>
    <w:tblStylePr w:type="neCell"/>
    <w:tblStylePr w:type="nwCell"/>
    <w:tblStylePr w:type="seCell"/>
    <w:tblStylePr w:type="swCell"/>
  </w:style>
  <w:style w:type="table" w:customStyle="1" w:styleId="121">
    <w:name w:val="List Table 1 Light - Accent 6"/>
    <w:basedOn w:val="32"/>
    <w:uiPriority w:val="99"/>
    <w:pPr>
      <w:overflowPunct w:val="0"/>
      <w:autoSpaceDE w:val="0"/>
      <w:autoSpaceDN w:val="0"/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AEBCF" w:themeFill="accent6" w:themeFillTint="40"/>
      </w:tcPr>
    </w:tblStylePr>
    <w:tblStylePr w:type="band1Horz">
      <w:tcPr>
        <w:shd w:val="clear" w:color="auto" w:fill="DAEBCF" w:themeFill="accent6" w:themeFillTint="40"/>
      </w:tcPr>
    </w:tblStylePr>
    <w:tblStylePr w:type="neCell"/>
    <w:tblStylePr w:type="nwCell"/>
    <w:tblStylePr w:type="seCell"/>
    <w:tblStylePr w:type="swCell"/>
  </w:style>
  <w:style w:type="table" w:customStyle="1" w:styleId="122">
    <w:name w:val="List Table 2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neCell"/>
    <w:tblStylePr w:type="nwCell"/>
    <w:tblStylePr w:type="seCell"/>
    <w:tblStylePr w:type="swCell"/>
  </w:style>
  <w:style w:type="table" w:customStyle="1" w:styleId="123">
    <w:name w:val="List Table 2 - Accent 1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neCell"/>
    <w:tblStylePr w:type="nwCell"/>
    <w:tblStylePr w:type="seCell"/>
    <w:tblStylePr w:type="swCell"/>
  </w:style>
  <w:style w:type="table" w:customStyle="1" w:styleId="124">
    <w:name w:val="List Table 2 - Accent 2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neCell"/>
    <w:tblStylePr w:type="nwCell"/>
    <w:tblStylePr w:type="seCell"/>
    <w:tblStylePr w:type="swCell"/>
  </w:style>
  <w:style w:type="table" w:customStyle="1" w:styleId="125">
    <w:name w:val="List Table 2 - Accent 3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neCell"/>
    <w:tblStylePr w:type="nwCell"/>
    <w:tblStylePr w:type="seCell"/>
    <w:tblStylePr w:type="swCell"/>
  </w:style>
  <w:style w:type="table" w:customStyle="1" w:styleId="126">
    <w:name w:val="List Table 2 - Accent 4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EFBE" w:themeFill="accent4" w:themeFillTint="40"/>
      </w:tcPr>
    </w:tblStylePr>
    <w:tblStylePr w:type="neCell"/>
    <w:tblStylePr w:type="nwCell"/>
    <w:tblStylePr w:type="seCell"/>
    <w:tblStylePr w:type="swCell"/>
  </w:style>
  <w:style w:type="table" w:customStyle="1" w:styleId="127">
    <w:name w:val="List Table 2 - Accent 5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0DBF0" w:themeFill="accent5" w:themeFillTint="40"/>
      </w:tcPr>
    </w:tblStylePr>
    <w:tblStylePr w:type="neCell"/>
    <w:tblStylePr w:type="nwCell"/>
    <w:tblStylePr w:type="seCell"/>
    <w:tblStylePr w:type="swCell"/>
  </w:style>
  <w:style w:type="table" w:customStyle="1" w:styleId="128">
    <w:name w:val="List Table 2 - Accent 6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neCell"/>
    <w:tblStylePr w:type="nwCell"/>
    <w:tblStylePr w:type="seCell"/>
    <w:tblStylePr w:type="swCell"/>
  </w:style>
  <w:style w:type="table" w:customStyle="1" w:styleId="129">
    <w:name w:val="List Table 3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1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3 - Accent 2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3 - Accent 3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3 - Accent 4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3 - Accent 5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3 - Accent 6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neCell"/>
    <w:tblStylePr w:type="nwCell"/>
    <w:tblStylePr w:type="seCell"/>
    <w:tblStylePr w:type="swCell"/>
  </w:style>
  <w:style w:type="table" w:customStyle="1" w:styleId="137">
    <w:name w:val="List Table 4 - Accent 1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4 - Accent 2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4 - Accent 3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4 - Accent 4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EFBE" w:themeFill="accent4" w:themeFillTint="40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4 - Accent 5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0DBF0" w:themeFill="accent5" w:themeFillTint="40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4 - Accent 6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auto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1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5B9BD5" w:themeFill="accent1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5 Dark - Accent 2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auto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6">
    <w:name w:val="List Table 5 Dark - Accent 3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7">
    <w:name w:val="List Table 5 Dark - Accent 4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auto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8">
    <w:name w:val="List Table 5 Dark - Accent 5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auto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8EA9DB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9">
    <w:name w:val="List Table 5 Dark - Accent 6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auto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1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auto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6 Colorful - Accent 2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6 Colorful - Accent 3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6 Colorful - Accent 4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6 Colorful - Accent 5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6 Colorful - Accent 6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1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9">
    <w:name w:val="List Table 7 Colorful - Accent 2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0">
    <w:name w:val="List Table 7 Colorful - Accent 3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1">
    <w:name w:val="List Table 7 Colorful - Accent 4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2">
    <w:name w:val="List Table 7 Colorful - Accent 5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3">
    <w:name w:val="List Table 7 Colorful - Accent 6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overflowPunct w:val="0"/>
        <w:autoSpaceDE w:val="0"/>
        <w:autoSpaceDN w:val="0"/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auto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auto" w:fill="auto"/>
      </w:tcPr>
    </w:tblStylePr>
    <w:tblStylePr w:type="band1Vert">
      <w:tcPr>
        <w:shd w:val="clear" w:color="auto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4">
    <w:name w:val="Lined - Accent"/>
    <w:basedOn w:val="32"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65">
    <w:name w:val="Lined - Accent 1"/>
    <w:basedOn w:val="32"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</w:style>
  <w:style w:type="table" w:customStyle="1" w:styleId="166">
    <w:name w:val="Lined - Accent 2"/>
    <w:basedOn w:val="32"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</w:style>
  <w:style w:type="table" w:customStyle="1" w:styleId="167">
    <w:name w:val="Lined - Accent 3"/>
    <w:basedOn w:val="32"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</w:style>
  <w:style w:type="table" w:customStyle="1" w:styleId="168">
    <w:name w:val="Lined - Accent 4"/>
    <w:basedOn w:val="32"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</w:style>
  <w:style w:type="table" w:customStyle="1" w:styleId="169">
    <w:name w:val="Lined - Accent 5"/>
    <w:basedOn w:val="32"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Lined - Accent 6"/>
    <w:basedOn w:val="32"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"/>
    <w:basedOn w:val="32"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72">
    <w:name w:val="Bordered &amp; Lined - Accent 1"/>
    <w:basedOn w:val="32"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</w:style>
  <w:style w:type="table" w:customStyle="1" w:styleId="173">
    <w:name w:val="Bordered &amp; Lined - Accent 2"/>
    <w:basedOn w:val="32"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</w:style>
  <w:style w:type="table" w:customStyle="1" w:styleId="174">
    <w:name w:val="Bordered &amp; Lined - Accent 3"/>
    <w:basedOn w:val="32"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</w:style>
  <w:style w:type="table" w:customStyle="1" w:styleId="175">
    <w:name w:val="Bordered &amp; Lined - Accent 4"/>
    <w:basedOn w:val="32"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</w:style>
  <w:style w:type="table" w:customStyle="1" w:styleId="176">
    <w:name w:val="Bordered &amp; Lined - Accent 5"/>
    <w:basedOn w:val="32"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7">
    <w:name w:val="Bordered &amp; Lined - Accent 6"/>
    <w:basedOn w:val="32"/>
    <w:uiPriority w:val="99"/>
    <w:pPr>
      <w:overflowPunct w:val="0"/>
      <w:autoSpaceDE w:val="0"/>
      <w:autoSpaceDN w:val="0"/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8">
    <w:name w:val="Bordered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1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0">
    <w:name w:val="Bordered - Accent 2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1">
    <w:name w:val="Bordered - Accent 3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2">
    <w:name w:val="Bordered - Accent 4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3">
    <w:name w:val="Bordered - Accent 5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4">
    <w:name w:val="Bordered - Accent 6"/>
    <w:basedOn w:val="32"/>
    <w:uiPriority w:val="99"/>
    <w:pPr>
      <w:overflowPunct w:val="0"/>
      <w:autoSpaceDE w:val="0"/>
      <w:autoSpaceDN w:val="0"/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5">
    <w:name w:val="Footnote Text Char"/>
    <w:link w:val="24"/>
    <w:uiPriority w:val="99"/>
    <w:rPr>
      <w:sz w:val="18"/>
    </w:rPr>
  </w:style>
  <w:style w:type="paragraph" w:customStyle="1" w:styleId="186">
    <w:name w:val="TOC Heading"/>
    <w:unhideWhenUsed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verflowPunct w:val="0"/>
      <w:autoSpaceDE w:val="0"/>
      <w:autoSpaceDN w:val="0"/>
      <w:spacing w:before="0" w:beforeAutospacing="0" w:after="0" w:afterAutospacing="0" w:line="240" w:lineRule="auto"/>
      <w:ind w:left="0" w:right="0" w:firstLine="0"/>
      <w:jc w:val="left"/>
    </w:pPr>
    <w:rPr>
      <w:rFonts w:hint="default" w:ascii="Times New Roman" w:hAnsi="Times New Roman" w:eastAsia="宋体" w:cs="Times New Roman"/>
      <w:color w:val="auto"/>
      <w:spacing w:val="0"/>
      <w:position w:val="0"/>
      <w:sz w:val="21"/>
      <w:szCs w:val="22"/>
      <w:lang w:val="en-US" w:eastAsia="en-US" w:bidi="en-US"/>
    </w:rPr>
  </w:style>
  <w:style w:type="paragraph" w:customStyle="1" w:styleId="187">
    <w:name w:val="_Style 3"/>
    <w:basedOn w:val="1"/>
    <w:qFormat/>
    <w:uiPriority w:val="0"/>
    <w:pPr>
      <w:snapToGrid w:val="0"/>
      <w:spacing w:line="560" w:lineRule="exact"/>
      <w:ind w:firstLine="420"/>
    </w:pPr>
    <w:rPr>
      <w:rFonts w:eastAsia="仿宋_GB2312"/>
      <w:sz w:val="20"/>
      <w:szCs w:val="20"/>
    </w:rPr>
  </w:style>
  <w:style w:type="character" w:customStyle="1" w:styleId="188">
    <w:name w:val="标题 2 字符"/>
    <w:basedOn w:val="34"/>
    <w:link w:val="3"/>
    <w:qFormat/>
    <w:uiPriority w:val="0"/>
    <w:rPr>
      <w:rFonts w:ascii="Calibri Light" w:hAnsi="Calibri Light" w:eastAsia="宋体" w:cs="Calibri Light"/>
      <w:b/>
      <w:bCs/>
      <w:kern w:val="2"/>
      <w:sz w:val="32"/>
      <w:szCs w:val="32"/>
    </w:rPr>
  </w:style>
  <w:style w:type="paragraph" w:customStyle="1" w:styleId="189">
    <w:name w:val="段落首句"/>
    <w:basedOn w:val="1"/>
    <w:link w:val="190"/>
    <w:qFormat/>
    <w:uiPriority w:val="1"/>
    <w:pPr>
      <w:spacing w:line="560" w:lineRule="exact"/>
      <w:ind w:firstLine="643" w:firstLineChars="200"/>
    </w:pPr>
    <w:rPr>
      <w:rFonts w:ascii="仿宋_GB2312" w:hAnsi="Calibri" w:eastAsia="仿宋_GB2312" w:cs="Times New Roman"/>
      <w:b/>
      <w:bCs/>
      <w:sz w:val="32"/>
      <w:szCs w:val="22"/>
    </w:rPr>
  </w:style>
  <w:style w:type="character" w:customStyle="1" w:styleId="190">
    <w:name w:val="段落首句 字符"/>
    <w:basedOn w:val="34"/>
    <w:link w:val="189"/>
    <w:qFormat/>
    <w:uiPriority w:val="1"/>
    <w:rPr>
      <w:rFonts w:ascii="仿宋_GB2312" w:hAnsi="Calibri" w:eastAsia="仿宋_GB2312"/>
      <w:b/>
      <w:bCs/>
      <w:kern w:val="2"/>
      <w:sz w:val="32"/>
      <w:szCs w:val="22"/>
    </w:rPr>
  </w:style>
  <w:style w:type="paragraph" w:customStyle="1" w:styleId="191">
    <w:name w:val="修订1"/>
    <w:hidden/>
    <w:unhideWhenUsed/>
    <w:qFormat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0"/>
      <w:jc w:val="left"/>
    </w:pPr>
    <w:rPr>
      <w:rFonts w:hint="default" w:ascii="Calibri" w:hAnsi="Calibri" w:eastAsia="宋体" w:cs="Calibri"/>
      <w:color w:val="auto"/>
      <w:spacing w:val="0"/>
      <w:kern w:val="2"/>
      <w:position w:val="0"/>
      <w:sz w:val="21"/>
      <w:szCs w:val="24"/>
      <w:lang w:val="en-US" w:eastAsia="zh-CN" w:bidi="ar-SA"/>
    </w:rPr>
  </w:style>
  <w:style w:type="character" w:customStyle="1" w:styleId="192">
    <w:name w:val="批注文字 字符"/>
    <w:basedOn w:val="34"/>
    <w:link w:val="14"/>
    <w:qFormat/>
    <w:uiPriority w:val="0"/>
    <w:rPr>
      <w:rFonts w:ascii="Calibri" w:hAnsi="Calibri" w:eastAsia="宋体" w:cs="Calibri"/>
      <w:kern w:val="2"/>
      <w:sz w:val="21"/>
      <w:szCs w:val="24"/>
    </w:rPr>
  </w:style>
  <w:style w:type="character" w:customStyle="1" w:styleId="193">
    <w:name w:val="批注主题 字符"/>
    <w:basedOn w:val="192"/>
    <w:link w:val="31"/>
    <w:qFormat/>
    <w:uiPriority w:val="0"/>
    <w:rPr>
      <w:rFonts w:ascii="Calibri" w:hAnsi="Calibri" w:eastAsia="宋体" w:cs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693</Words>
  <Characters>709</Characters>
  <TotalTime>0</TotalTime>
  <ScaleCrop>false</ScaleCrop>
  <LinksUpToDate>false</LinksUpToDate>
  <CharactersWithSpaces>709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2026-04-23T01:37:00Z</dcterms:created>
  <dc:creator>d</dc:creator>
  <cp:lastModifiedBy>か葉葉&amp; </cp:lastModifiedBy>
  <dcterms:modified xsi:type="dcterms:W3CDTF">2026-04-30T01:57:26Z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eyJoZGlkIjoiZDRlMjcxYzhhZjkyY2RhODhmMTk2NGI1NzdmYWFhYTkiLCJ1c2VySWQiOiI4OTE0MDE2NDYifQ==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02E155DBE2C740DB869531B2DE506375_12</vt:lpwstr>
  </property>
</Properties>
</file>