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hint="eastAsia" w:ascii="方正小标宋简体" w:hAnsi="仿宋_GB2312" w:eastAsia="方正小标宋简体" w:cs="仿宋_GB2312"/>
          <w:kern w:val="0"/>
          <w:sz w:val="44"/>
          <w:szCs w:val="44"/>
          <w:highlight w:val="none"/>
        </w:rPr>
      </w:pPr>
      <w:bookmarkStart w:id="0" w:name="_GoBack"/>
      <w:bookmarkEnd w:id="0"/>
      <w:r>
        <w:rPr>
          <w:rFonts w:hint="eastAsia" w:ascii="方正小标宋简体" w:hAnsi="仿宋_GB2312" w:eastAsia="方正小标宋简体" w:cs="仿宋_GB2312"/>
          <w:kern w:val="0"/>
          <w:sz w:val="44"/>
          <w:szCs w:val="44"/>
          <w:highlight w:val="none"/>
        </w:rPr>
        <w:t>深圳市企业环境信息依法披露工作指引</w:t>
      </w:r>
    </w:p>
    <w:p>
      <w:pPr>
        <w:spacing w:after="156" w:afterLines="50" w:line="560" w:lineRule="exact"/>
        <w:jc w:val="both"/>
        <w:outlineLvl w:val="0"/>
        <w:rPr>
          <w:rFonts w:hint="eastAsia" w:ascii="黑体" w:hAnsi="黑体" w:eastAsia="黑体" w:cs="黑体"/>
          <w:sz w:val="32"/>
          <w:szCs w:val="32"/>
          <w:highlight w:val="none"/>
        </w:rPr>
      </w:pPr>
    </w:p>
    <w:p>
      <w:pPr>
        <w:spacing w:after="156" w:afterLines="50" w:line="560" w:lineRule="exact"/>
        <w:jc w:val="center"/>
        <w:outlineLvl w:val="0"/>
        <w:rPr>
          <w:rFonts w:hint="eastAsia" w:ascii="黑体" w:hAnsi="黑体" w:eastAsia="黑体" w:cs="黑体"/>
          <w:sz w:val="32"/>
          <w:szCs w:val="32"/>
          <w:highlight w:val="none"/>
        </w:rPr>
      </w:pPr>
      <w:r>
        <w:rPr>
          <w:rFonts w:hint="eastAsia" w:ascii="黑体" w:hAnsi="黑体" w:eastAsia="黑体" w:cs="黑体"/>
          <w:sz w:val="32"/>
          <w:szCs w:val="32"/>
          <w:highlight w:val="none"/>
        </w:rPr>
        <w:t>第一章  总 则</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黑体" w:hAnsi="黑体" w:eastAsia="黑体" w:cs="黑体"/>
          <w:kern w:val="0"/>
          <w:sz w:val="32"/>
          <w:szCs w:val="32"/>
          <w:highlight w:val="none"/>
        </w:rPr>
        <w:t>第一条【目的宗旨】</w:t>
      </w:r>
      <w:r>
        <w:rPr>
          <w:rFonts w:hint="eastAsia" w:ascii="仿宋_GB2312" w:hAnsi="仿宋_GB2312" w:eastAsia="仿宋_GB2312" w:cs="仿宋_GB2312"/>
          <w:kern w:val="0"/>
          <w:sz w:val="32"/>
          <w:szCs w:val="32"/>
          <w:highlight w:val="none"/>
        </w:rPr>
        <w:t>为贯彻落实《环境信息依法披露制度改革方案》、《企业环境信息依法披露管理办法》（下称《管理办法》）及《企业环境信息依法披露格式准则》等文件要求，切实助力本市企业规范环境信息披露流程、提升披露工作效能，持续夯实环境信息披露质量基础，特制定本指引。</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黑体" w:hAnsi="黑体" w:eastAsia="黑体" w:cs="黑体"/>
          <w:kern w:val="0"/>
          <w:sz w:val="32"/>
          <w:szCs w:val="32"/>
          <w:highlight w:val="none"/>
        </w:rPr>
        <w:t>第二条【适用范围】</w:t>
      </w:r>
      <w:r>
        <w:rPr>
          <w:rFonts w:hint="eastAsia" w:ascii="仿宋_GB2312" w:hAnsi="仿宋_GB2312" w:eastAsia="仿宋_GB2312" w:cs="仿宋_GB2312"/>
          <w:kern w:val="0"/>
          <w:sz w:val="32"/>
          <w:szCs w:val="32"/>
          <w:highlight w:val="none"/>
        </w:rPr>
        <w:t>本指引适用于本市纳入</w:t>
      </w:r>
      <w:r>
        <w:rPr>
          <w:rFonts w:hint="eastAsia" w:ascii="仿宋_GB2312" w:hAnsi="仿宋_GB2312" w:eastAsia="仿宋_GB2312" w:cs="仿宋_GB2312"/>
          <w:sz w:val="32"/>
          <w:szCs w:val="32"/>
          <w:highlight w:val="none"/>
        </w:rPr>
        <w:t>环境信息依法披露名单</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和自愿披露环境信息的企业（</w:t>
      </w:r>
      <w:r>
        <w:rPr>
          <w:rFonts w:hint="eastAsia" w:ascii="仿宋_GB2312" w:hAnsi="仿宋_GB2312" w:eastAsia="仿宋_GB2312" w:cs="仿宋_GB2312"/>
          <w:kern w:val="0"/>
          <w:sz w:val="32"/>
          <w:szCs w:val="32"/>
          <w:highlight w:val="none"/>
        </w:rPr>
        <w:t>下称披露企业</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w:t>
      </w:r>
    </w:p>
    <w:p>
      <w:pPr>
        <w:pStyle w:val="11"/>
        <w:keepNext w:val="0"/>
        <w:keepLines w:val="0"/>
        <w:pageBreakBefore w:val="0"/>
        <w:shd w:val="clear" w:color="auto" w:fill="FFFFFF"/>
        <w:kinsoku/>
        <w:wordWrap/>
        <w:overflowPunct/>
        <w:topLinePunct w:val="0"/>
        <w:autoSpaceDE/>
        <w:autoSpaceDN/>
        <w:bidi w:val="0"/>
        <w:adjustRightInd/>
        <w:snapToGrid w:val="0"/>
        <w:spacing w:before="0" w:beforeAutospacing="0" w:after="0" w:afterAutospacing="0" w:line="560" w:lineRule="exact"/>
        <w:ind w:firstLine="620" w:firstLineChars="200"/>
        <w:textAlignment w:val="auto"/>
        <w:rPr>
          <w:rFonts w:hint="eastAsia" w:ascii="仿宋_GB2312" w:hAnsi="仿宋_GB2312" w:eastAsia="仿宋_GB2312" w:cs="仿宋_GB2312"/>
          <w:sz w:val="32"/>
          <w:szCs w:val="32"/>
          <w:highlight w:val="none"/>
        </w:rPr>
      </w:pPr>
      <w:r>
        <w:rPr>
          <w:rStyle w:val="16"/>
          <w:rFonts w:ascii="黑体" w:eastAsia="黑体" w:cs="黑体"/>
          <w:b w:val="0"/>
          <w:color w:val="000000"/>
          <w:sz w:val="31"/>
          <w:szCs w:val="31"/>
          <w:highlight w:val="none"/>
          <w:shd w:val="clear" w:color="auto" w:fill="FFFFFF"/>
        </w:rPr>
        <w:t>第</w:t>
      </w:r>
      <w:r>
        <w:rPr>
          <w:rStyle w:val="16"/>
          <w:rFonts w:hint="eastAsia" w:ascii="黑体" w:eastAsia="黑体" w:cs="黑体"/>
          <w:b w:val="0"/>
          <w:color w:val="000000"/>
          <w:sz w:val="31"/>
          <w:szCs w:val="31"/>
          <w:highlight w:val="none"/>
          <w:shd w:val="clear" w:color="auto" w:fill="FFFFFF"/>
        </w:rPr>
        <w:t>三</w:t>
      </w:r>
      <w:r>
        <w:rPr>
          <w:rStyle w:val="16"/>
          <w:rFonts w:ascii="黑体" w:eastAsia="黑体" w:cs="黑体"/>
          <w:b w:val="0"/>
          <w:color w:val="000000"/>
          <w:sz w:val="31"/>
          <w:szCs w:val="31"/>
          <w:highlight w:val="none"/>
          <w:shd w:val="clear" w:color="auto" w:fill="FFFFFF"/>
        </w:rPr>
        <w:t>条</w:t>
      </w:r>
      <w:r>
        <w:rPr>
          <w:rFonts w:hint="eastAsia" w:ascii="黑体" w:hAnsi="黑体" w:eastAsia="黑体" w:cs="黑体"/>
          <w:sz w:val="32"/>
          <w:szCs w:val="32"/>
          <w:highlight w:val="none"/>
        </w:rPr>
        <w:t>【主体责任】</w:t>
      </w:r>
      <w:r>
        <w:rPr>
          <w:rFonts w:hint="eastAsia" w:ascii="仿宋_GB2312" w:hAnsi="仿宋_GB2312" w:eastAsia="仿宋_GB2312" w:cs="仿宋_GB2312"/>
          <w:sz w:val="32"/>
          <w:szCs w:val="32"/>
          <w:highlight w:val="none"/>
        </w:rPr>
        <w:t>披露企业是环境信息依法披露的责任主体，应当建立健全环境信息依法披露管理制度，规范工作规程，明确工作职责，建立准确的环境信息管理台账，妥善保存相关原始记录，科学统计归集相关环境信息，依法、及时、真实、准确、完整地披露环境信息。</w:t>
      </w:r>
    </w:p>
    <w:p>
      <w:pPr>
        <w:keepNext w:val="0"/>
        <w:keepLines w:val="0"/>
        <w:pageBreakBefore w:val="0"/>
        <w:kinsoku/>
        <w:wordWrap/>
        <w:overflowPunct/>
        <w:topLinePunct w:val="0"/>
        <w:autoSpaceDE/>
        <w:autoSpaceDN/>
        <w:bidi w:val="0"/>
        <w:adjustRightInd/>
        <w:snapToGrid w:val="0"/>
        <w:spacing w:line="560" w:lineRule="exact"/>
        <w:ind w:firstLine="64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披露企业须主动接受生态环境部门对其环境信息披露活动的监督管理。本指引所称生态环境部门，包括市生态环境局及其属地管理局。</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highlight w:val="none"/>
        </w:rPr>
      </w:pPr>
      <w:r>
        <w:rPr>
          <w:rFonts w:hint="eastAsia" w:ascii="黑体" w:hAnsi="黑体" w:eastAsia="黑体" w:cs="黑体"/>
          <w:kern w:val="0"/>
          <w:sz w:val="32"/>
          <w:szCs w:val="32"/>
          <w:highlight w:val="none"/>
        </w:rPr>
        <w:t>第四条【监督管理】</w:t>
      </w:r>
      <w:r>
        <w:rPr>
          <w:rFonts w:hint="eastAsia" w:ascii="仿宋_GB2312" w:hAnsi="仿宋_GB2312" w:eastAsia="仿宋_GB2312" w:cs="仿宋_GB2312"/>
          <w:kern w:val="0"/>
          <w:sz w:val="32"/>
          <w:szCs w:val="32"/>
          <w:highlight w:val="none"/>
        </w:rPr>
        <w:t>市生态环境局执法监督处</w:t>
      </w:r>
      <w:r>
        <w:rPr>
          <w:rFonts w:ascii="仿宋_GB2312" w:hAnsi="仿宋_GB2312" w:eastAsia="仿宋_GB2312" w:cs="仿宋_GB2312"/>
          <w:kern w:val="0"/>
          <w:sz w:val="32"/>
          <w:szCs w:val="32"/>
          <w:highlight w:val="none"/>
        </w:rPr>
        <w:t>负责组织、指导、监督和考核全市企业环境信息依法披露工作；</w:t>
      </w:r>
      <w:r>
        <w:rPr>
          <w:rFonts w:hint="eastAsia" w:ascii="仿宋_GB2312" w:hAnsi="仿宋_GB2312" w:eastAsia="仿宋_GB2312" w:cs="仿宋_GB2312"/>
          <w:kern w:val="0"/>
          <w:sz w:val="32"/>
          <w:szCs w:val="32"/>
          <w:highlight w:val="none"/>
        </w:rPr>
        <w:t>各</w:t>
      </w:r>
      <w:r>
        <w:rPr>
          <w:rFonts w:ascii="仿宋_GB2312" w:hAnsi="仿宋_GB2312" w:eastAsia="仿宋_GB2312" w:cs="仿宋_GB2312"/>
          <w:kern w:val="0"/>
          <w:sz w:val="32"/>
          <w:szCs w:val="32"/>
          <w:highlight w:val="none"/>
        </w:rPr>
        <w:t>管理局负责辖区</w:t>
      </w:r>
      <w:r>
        <w:rPr>
          <w:rFonts w:hint="eastAsia" w:ascii="仿宋_GB2312" w:hAnsi="仿宋_GB2312" w:eastAsia="仿宋_GB2312" w:cs="仿宋_GB2312"/>
          <w:kern w:val="0"/>
          <w:sz w:val="32"/>
          <w:szCs w:val="32"/>
          <w:highlight w:val="none"/>
        </w:rPr>
        <w:t>内</w:t>
      </w:r>
      <w:r>
        <w:rPr>
          <w:rFonts w:ascii="仿宋_GB2312" w:hAnsi="仿宋_GB2312" w:eastAsia="仿宋_GB2312" w:cs="仿宋_GB2312"/>
          <w:kern w:val="0"/>
          <w:sz w:val="32"/>
          <w:szCs w:val="32"/>
          <w:highlight w:val="none"/>
        </w:rPr>
        <w:t>企业环境信息依法披露工作的推进落实、监督指导和执法检查；市生态环境局</w:t>
      </w:r>
      <w:r>
        <w:rPr>
          <w:rFonts w:hint="eastAsia" w:ascii="仿宋_GB2312" w:hAnsi="仿宋_GB2312" w:eastAsia="仿宋_GB2312" w:cs="仿宋_GB2312"/>
          <w:kern w:val="0"/>
          <w:sz w:val="32"/>
          <w:szCs w:val="32"/>
          <w:highlight w:val="none"/>
        </w:rPr>
        <w:t>其他各</w:t>
      </w:r>
      <w:r>
        <w:rPr>
          <w:rFonts w:ascii="仿宋_GB2312" w:hAnsi="仿宋_GB2312" w:eastAsia="仿宋_GB2312" w:cs="仿宋_GB2312"/>
          <w:kern w:val="0"/>
          <w:sz w:val="32"/>
          <w:szCs w:val="32"/>
          <w:highlight w:val="none"/>
        </w:rPr>
        <w:t>相关处室负责协助</w:t>
      </w:r>
      <w:r>
        <w:rPr>
          <w:rStyle w:val="25"/>
          <w:rFonts w:hint="eastAsia" w:ascii="仿宋_GB2312" w:hAnsi="仿宋_GB2312" w:eastAsia="仿宋_GB2312" w:cs="仿宋_GB2312"/>
          <w:bCs/>
          <w:color w:val="000000" w:themeColor="text1"/>
          <w:kern w:val="0"/>
          <w:szCs w:val="24"/>
          <w:highlight w:val="none"/>
          <w14:textFill>
            <w14:solidFill>
              <w14:schemeClr w14:val="tx1"/>
            </w14:solidFill>
          </w14:textFill>
        </w:rPr>
        <w:t>环境信息依法披露企业名单（下称企业名单）</w:t>
      </w:r>
      <w:r>
        <w:rPr>
          <w:rFonts w:ascii="仿宋_GB2312" w:hAnsi="仿宋_GB2312" w:eastAsia="仿宋_GB2312" w:cs="仿宋_GB2312"/>
          <w:kern w:val="0"/>
          <w:sz w:val="32"/>
          <w:szCs w:val="32"/>
          <w:highlight w:val="none"/>
        </w:rPr>
        <w:t>制定和按要求提供企业需披露的相关信息，共同做好企业环境信息依法披露工作。</w:t>
      </w:r>
    </w:p>
    <w:p>
      <w:pPr>
        <w:keepNext w:val="0"/>
        <w:keepLines w:val="0"/>
        <w:pageBreakBefore w:val="0"/>
        <w:widowControl w:val="0"/>
        <w:kinsoku/>
        <w:wordWrap/>
        <w:overflowPunct/>
        <w:topLinePunct w:val="0"/>
        <w:autoSpaceDE/>
        <w:autoSpaceDN/>
        <w:bidi w:val="0"/>
        <w:adjustRightInd/>
        <w:snapToGrid/>
        <w:spacing w:before="157" w:beforeLines="50" w:after="156" w:afterLines="50" w:line="560" w:lineRule="exact"/>
        <w:jc w:val="center"/>
        <w:textAlignment w:val="auto"/>
        <w:outlineLvl w:val="0"/>
        <w:rPr>
          <w:rFonts w:hint="eastAsia" w:ascii="黑体" w:hAnsi="黑体" w:eastAsia="黑体" w:cs="黑体"/>
          <w:sz w:val="32"/>
          <w:szCs w:val="32"/>
          <w:highlight w:val="none"/>
        </w:rPr>
      </w:pPr>
      <w:r>
        <w:rPr>
          <w:rFonts w:hint="eastAsia" w:ascii="黑体" w:hAnsi="黑体" w:eastAsia="黑体" w:cs="黑体"/>
          <w:sz w:val="32"/>
          <w:szCs w:val="32"/>
          <w:highlight w:val="none"/>
        </w:rPr>
        <w:t>第二章  披露主体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25"/>
          <w:rFonts w:hint="eastAsia" w:ascii="仿宋_GB2312" w:hAnsi="仿宋_GB2312" w:eastAsia="仿宋_GB2312" w:cs="仿宋_GB2312"/>
          <w:b w:val="0"/>
          <w:bCs/>
          <w:color w:val="000000" w:themeColor="text1"/>
          <w:kern w:val="0"/>
          <w:szCs w:val="24"/>
          <w:highlight w:val="none"/>
          <w14:textFill>
            <w14:solidFill>
              <w14:schemeClr w14:val="tx1"/>
            </w14:solidFill>
          </w14:textFill>
        </w:rPr>
      </w:pPr>
      <w:r>
        <w:rPr>
          <w:rFonts w:hint="eastAsia" w:ascii="黑体" w:hAnsi="黑体" w:eastAsia="黑体" w:cs="黑体"/>
          <w:kern w:val="0"/>
          <w:sz w:val="32"/>
          <w:szCs w:val="32"/>
          <w:highlight w:val="none"/>
        </w:rPr>
        <w:t>第五条 【披露对象】</w:t>
      </w:r>
      <w:r>
        <w:rPr>
          <w:rStyle w:val="25"/>
          <w:rFonts w:hint="eastAsia" w:ascii="仿宋_GB2312" w:hAnsi="仿宋_GB2312" w:eastAsia="仿宋_GB2312" w:cs="仿宋_GB2312"/>
          <w:b w:val="0"/>
          <w:bCs/>
          <w:color w:val="000000" w:themeColor="text1"/>
          <w:kern w:val="0"/>
          <w:szCs w:val="24"/>
          <w:highlight w:val="none"/>
          <w14:textFill>
            <w14:solidFill>
              <w14:schemeClr w14:val="tx1"/>
            </w14:solidFill>
          </w14:textFill>
        </w:rPr>
        <w:t>下列企业需依法开展环境信息披露：</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outlineLvl w:val="1"/>
        <w:rPr>
          <w:rStyle w:val="25"/>
          <w:rFonts w:hint="eastAsia" w:ascii="仿宋_GB2312" w:hAnsi="仿宋_GB2312" w:eastAsia="仿宋_GB2312" w:cs="仿宋_GB2312"/>
          <w:color w:val="000000" w:themeColor="text1"/>
          <w:kern w:val="0"/>
          <w:szCs w:val="24"/>
          <w:highlight w:val="none"/>
          <w14:textFill>
            <w14:solidFill>
              <w14:schemeClr w14:val="tx1"/>
            </w14:solidFill>
          </w14:textFill>
        </w:rPr>
      </w:pPr>
      <w:r>
        <w:rPr>
          <w:rStyle w:val="25"/>
          <w:rFonts w:ascii="仿宋_GB2312" w:hAnsi="仿宋_GB2312" w:eastAsia="仿宋_GB2312" w:cs="仿宋_GB2312"/>
          <w:color w:val="000000" w:themeColor="text1"/>
          <w:kern w:val="0"/>
          <w:szCs w:val="24"/>
          <w:highlight w:val="none"/>
          <w14:textFill>
            <w14:solidFill>
              <w14:schemeClr w14:val="tx1"/>
            </w14:solidFill>
          </w14:textFill>
        </w:rPr>
        <w:t>（一）强制披露企业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25"/>
          <w:rFonts w:hint="eastAsia" w:ascii="仿宋_GB2312" w:hAnsi="仿宋_GB2312" w:eastAsia="仿宋_GB2312" w:cs="仿宋_GB2312"/>
          <w:b w:val="0"/>
          <w:bCs/>
          <w:color w:val="000000" w:themeColor="text1"/>
          <w:kern w:val="0"/>
          <w:szCs w:val="24"/>
          <w:highlight w:val="none"/>
          <w14:textFill>
            <w14:solidFill>
              <w14:schemeClr w14:val="tx1"/>
            </w14:solidFill>
          </w14:textFill>
        </w:rPr>
      </w:pPr>
      <w:r>
        <w:rPr>
          <w:rStyle w:val="25"/>
          <w:rFonts w:hint="eastAsia" w:ascii="仿宋_GB2312" w:hAnsi="仿宋_GB2312" w:eastAsia="仿宋_GB2312" w:cs="仿宋_GB2312"/>
          <w:b w:val="0"/>
          <w:bCs/>
          <w:color w:val="000000" w:themeColor="text1"/>
          <w:kern w:val="0"/>
          <w:szCs w:val="24"/>
          <w:highlight w:val="none"/>
          <w14:textFill>
            <w14:solidFill>
              <w14:schemeClr w14:val="tx1"/>
            </w14:solidFill>
          </w14:textFill>
        </w:rPr>
        <w:t>1.环境监管重点单位（以市生态环境局每年公布的名单为准）；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25"/>
          <w:rFonts w:hint="eastAsia" w:ascii="仿宋_GB2312" w:hAnsi="仿宋_GB2312" w:eastAsia="仿宋_GB2312" w:cs="仿宋_GB2312"/>
          <w:b w:val="0"/>
          <w:bCs/>
          <w:color w:val="000000" w:themeColor="text1"/>
          <w:kern w:val="0"/>
          <w:szCs w:val="24"/>
          <w:highlight w:val="none"/>
          <w14:textFill>
            <w14:solidFill>
              <w14:schemeClr w14:val="tx1"/>
            </w14:solidFill>
          </w14:textFill>
        </w:rPr>
      </w:pPr>
      <w:r>
        <w:rPr>
          <w:rStyle w:val="25"/>
          <w:rFonts w:hint="eastAsia" w:ascii="仿宋_GB2312" w:hAnsi="仿宋_GB2312" w:eastAsia="仿宋_GB2312" w:cs="仿宋_GB2312"/>
          <w:b w:val="0"/>
          <w:bCs/>
          <w:color w:val="000000" w:themeColor="text1"/>
          <w:kern w:val="0"/>
          <w:szCs w:val="24"/>
          <w:highlight w:val="none"/>
          <w14:textFill>
            <w14:solidFill>
              <w14:schemeClr w14:val="tx1"/>
            </w14:solidFill>
          </w14:textFill>
        </w:rPr>
        <w:t>2.实施强制性清洁生产审核的企业（以市生态环境局每年公布的名单为准）；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25"/>
          <w:rFonts w:hint="eastAsia" w:ascii="仿宋_GB2312" w:hAnsi="仿宋_GB2312" w:eastAsia="仿宋_GB2312" w:cs="仿宋_GB2312"/>
          <w:b w:val="0"/>
          <w:bCs/>
          <w:color w:val="000000" w:themeColor="text1"/>
          <w:kern w:val="0"/>
          <w:szCs w:val="24"/>
          <w:highlight w:val="none"/>
          <w14:textFill>
            <w14:solidFill>
              <w14:schemeClr w14:val="tx1"/>
            </w14:solidFill>
          </w14:textFill>
        </w:rPr>
      </w:pPr>
      <w:r>
        <w:rPr>
          <w:rStyle w:val="25"/>
          <w:rFonts w:hint="eastAsia" w:ascii="仿宋_GB2312" w:hAnsi="仿宋_GB2312" w:eastAsia="仿宋_GB2312" w:cs="仿宋_GB2312"/>
          <w:b w:val="0"/>
          <w:bCs/>
          <w:color w:val="000000" w:themeColor="text1"/>
          <w:kern w:val="0"/>
          <w:szCs w:val="24"/>
          <w:highlight w:val="none"/>
          <w14:textFill>
            <w14:solidFill>
              <w14:schemeClr w14:val="tx1"/>
            </w14:solidFill>
          </w14:textFill>
        </w:rPr>
        <w:t>3.符合《管理办法》第八条规定的上市公司及合并报表范围内的各级子公司（下称“上市公司”）；</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25"/>
          <w:rFonts w:hint="eastAsia" w:ascii="仿宋_GB2312" w:hAnsi="仿宋_GB2312" w:eastAsia="仿宋_GB2312" w:cs="仿宋_GB2312"/>
          <w:b w:val="0"/>
          <w:bCs/>
          <w:color w:val="000000" w:themeColor="text1"/>
          <w:kern w:val="0"/>
          <w:szCs w:val="24"/>
          <w:highlight w:val="none"/>
          <w14:textFill>
            <w14:solidFill>
              <w14:schemeClr w14:val="tx1"/>
            </w14:solidFill>
          </w14:textFill>
        </w:rPr>
      </w:pPr>
      <w:r>
        <w:rPr>
          <w:rStyle w:val="25"/>
          <w:rFonts w:hint="eastAsia" w:ascii="仿宋_GB2312" w:hAnsi="仿宋_GB2312" w:eastAsia="仿宋_GB2312" w:cs="仿宋_GB2312"/>
          <w:b w:val="0"/>
          <w:bCs/>
          <w:color w:val="000000" w:themeColor="text1"/>
          <w:kern w:val="0"/>
          <w:szCs w:val="24"/>
          <w:highlight w:val="none"/>
          <w14:textFill>
            <w14:solidFill>
              <w14:schemeClr w14:val="tx1"/>
            </w14:solidFill>
          </w14:textFill>
        </w:rPr>
        <w:t>4.符合《管理办法》第八条规定的发行企业债券、公司债券、非金融企业债务融资工具的企业（下称“发债企业”）；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25"/>
          <w:rFonts w:hint="eastAsia" w:ascii="仿宋_GB2312" w:hAnsi="仿宋_GB2312" w:eastAsia="仿宋_GB2312" w:cs="仿宋_GB2312"/>
          <w:b w:val="0"/>
          <w:bCs/>
          <w:color w:val="000000" w:themeColor="text1"/>
          <w:kern w:val="0"/>
          <w:szCs w:val="24"/>
          <w:highlight w:val="none"/>
          <w14:textFill>
            <w14:solidFill>
              <w14:schemeClr w14:val="tx1"/>
            </w14:solidFill>
          </w14:textFill>
        </w:rPr>
      </w:pPr>
      <w:r>
        <w:rPr>
          <w:rStyle w:val="25"/>
          <w:rFonts w:hint="eastAsia" w:ascii="仿宋_GB2312" w:hAnsi="仿宋_GB2312" w:eastAsia="仿宋_GB2312" w:cs="仿宋_GB2312"/>
          <w:b w:val="0"/>
          <w:bCs/>
          <w:color w:val="000000" w:themeColor="text1"/>
          <w:kern w:val="0"/>
          <w:szCs w:val="24"/>
          <w:highlight w:val="none"/>
          <w14:textFill>
            <w14:solidFill>
              <w14:schemeClr w14:val="tx1"/>
            </w14:solidFill>
          </w14:textFill>
        </w:rPr>
        <w:t>5.法律法规规定的其他应当依法披露环境信息的企业。</w:t>
      </w:r>
    </w:p>
    <w:p>
      <w:pPr>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Style w:val="25"/>
          <w:rFonts w:hint="eastAsia" w:ascii="仿宋_GB2312" w:hAnsi="仿宋_GB2312" w:eastAsia="仿宋_GB2312" w:cs="仿宋_GB2312"/>
          <w:bCs/>
          <w:color w:val="000000" w:themeColor="text1"/>
          <w:kern w:val="0"/>
          <w:szCs w:val="24"/>
          <w:highlight w:val="none"/>
          <w14:textFill>
            <w14:solidFill>
              <w14:schemeClr w14:val="tx1"/>
            </w14:solidFill>
          </w14:textFill>
        </w:rPr>
      </w:pPr>
      <w:r>
        <w:rPr>
          <w:rStyle w:val="25"/>
          <w:rFonts w:ascii="仿宋_GB2312" w:hAnsi="仿宋_GB2312" w:eastAsia="仿宋_GB2312" w:cs="仿宋_GB2312"/>
          <w:bCs/>
          <w:color w:val="000000" w:themeColor="text1"/>
          <w:kern w:val="0"/>
          <w:szCs w:val="24"/>
          <w:highlight w:val="none"/>
          <w14:textFill>
            <w14:solidFill>
              <w14:schemeClr w14:val="tx1"/>
            </w14:solidFill>
          </w14:textFill>
        </w:rPr>
        <w:t>具体以市生态环境局公布的</w:t>
      </w:r>
      <w:r>
        <w:rPr>
          <w:rStyle w:val="25"/>
          <w:rFonts w:hint="eastAsia" w:ascii="仿宋_GB2312" w:hAnsi="仿宋_GB2312" w:eastAsia="仿宋_GB2312" w:cs="仿宋_GB2312"/>
          <w:bCs/>
          <w:color w:val="000000" w:themeColor="text1"/>
          <w:kern w:val="0"/>
          <w:szCs w:val="24"/>
          <w:highlight w:val="none"/>
          <w14:textFill>
            <w14:solidFill>
              <w14:schemeClr w14:val="tx1"/>
            </w14:solidFill>
          </w14:textFill>
        </w:rPr>
        <w:t>企业名单</w:t>
      </w:r>
      <w:r>
        <w:rPr>
          <w:rStyle w:val="25"/>
          <w:rFonts w:ascii="仿宋_GB2312" w:hAnsi="仿宋_GB2312" w:eastAsia="仿宋_GB2312" w:cs="仿宋_GB2312"/>
          <w:bCs/>
          <w:color w:val="000000" w:themeColor="text1"/>
          <w:kern w:val="0"/>
          <w:szCs w:val="24"/>
          <w:highlight w:val="none"/>
          <w14:textFill>
            <w14:solidFill>
              <w14:schemeClr w14:val="tx1"/>
            </w14:solidFill>
          </w14:textFill>
        </w:rPr>
        <w:t>为准，市生态环境局每年3月</w:t>
      </w:r>
      <w:r>
        <w:rPr>
          <w:rStyle w:val="25"/>
          <w:rFonts w:hint="eastAsia" w:ascii="仿宋_GB2312" w:hAnsi="仿宋_GB2312" w:eastAsia="仿宋_GB2312" w:cs="仿宋_GB2312"/>
          <w:bCs/>
          <w:color w:val="000000" w:themeColor="text1"/>
          <w:kern w:val="0"/>
          <w:szCs w:val="24"/>
          <w:highlight w:val="none"/>
          <w14:textFill>
            <w14:solidFill>
              <w14:schemeClr w14:val="tx1"/>
            </w14:solidFill>
          </w14:textFill>
        </w:rPr>
        <w:t>底前确定本年度企业名单，并向社会公布</w:t>
      </w:r>
      <w:r>
        <w:rPr>
          <w:rStyle w:val="25"/>
          <w:rFonts w:ascii="仿宋_GB2312" w:hAnsi="仿宋_GB2312" w:eastAsia="仿宋_GB2312" w:cs="仿宋_GB2312"/>
          <w:bCs/>
          <w:color w:val="000000" w:themeColor="text1"/>
          <w:kern w:val="0"/>
          <w:szCs w:val="24"/>
          <w:highlight w:val="none"/>
          <w14:textFill>
            <w14:solidFill>
              <w14:schemeClr w14:val="tx1"/>
            </w14:solidFill>
          </w14:textFill>
        </w:rPr>
        <w:t>，</w:t>
      </w:r>
      <w:r>
        <w:rPr>
          <w:rStyle w:val="25"/>
          <w:rFonts w:hint="eastAsia" w:ascii="仿宋_GB2312" w:hAnsi="仿宋_GB2312" w:eastAsia="仿宋_GB2312" w:cs="仿宋_GB2312"/>
          <w:bCs/>
          <w:color w:val="000000" w:themeColor="text1"/>
          <w:kern w:val="0"/>
          <w:szCs w:val="24"/>
          <w:highlight w:val="none"/>
          <w14:textFill>
            <w14:solidFill>
              <w14:schemeClr w14:val="tx1"/>
            </w14:solidFill>
          </w14:textFill>
        </w:rPr>
        <w:t>相关</w:t>
      </w:r>
      <w:r>
        <w:rPr>
          <w:rStyle w:val="25"/>
          <w:rFonts w:ascii="仿宋_GB2312" w:hAnsi="仿宋_GB2312" w:eastAsia="仿宋_GB2312" w:cs="仿宋_GB2312"/>
          <w:bCs/>
          <w:color w:val="000000" w:themeColor="text1"/>
          <w:kern w:val="0"/>
          <w:szCs w:val="24"/>
          <w:highlight w:val="none"/>
          <w14:textFill>
            <w14:solidFill>
              <w14:schemeClr w14:val="tx1"/>
            </w14:solidFill>
          </w14:textFill>
        </w:rPr>
        <w:t>企业可</w:t>
      </w:r>
      <w:r>
        <w:rPr>
          <w:rStyle w:val="25"/>
          <w:rFonts w:hint="eastAsia" w:ascii="仿宋_GB2312" w:hAnsi="仿宋_GB2312" w:eastAsia="仿宋_GB2312" w:cs="仿宋_GB2312"/>
          <w:bCs/>
          <w:color w:val="000000" w:themeColor="text1"/>
          <w:kern w:val="0"/>
          <w:szCs w:val="24"/>
          <w:highlight w:val="none"/>
          <w14:textFill>
            <w14:solidFill>
              <w14:schemeClr w14:val="tx1"/>
            </w14:solidFill>
          </w14:textFill>
        </w:rPr>
        <w:t>在</w:t>
      </w:r>
      <w:r>
        <w:rPr>
          <w:rStyle w:val="25"/>
          <w:rFonts w:ascii="仿宋_GB2312" w:hAnsi="仿宋_GB2312" w:eastAsia="仿宋_GB2312" w:cs="仿宋_GB2312"/>
          <w:bCs/>
          <w:color w:val="000000" w:themeColor="text1"/>
          <w:kern w:val="0"/>
          <w:szCs w:val="24"/>
          <w:highlight w:val="none"/>
          <w14:textFill>
            <w14:solidFill>
              <w14:schemeClr w14:val="tx1"/>
            </w14:solidFill>
          </w14:textFill>
        </w:rPr>
        <w:t>市生态环境局官网查询</w:t>
      </w:r>
      <w:r>
        <w:rPr>
          <w:rStyle w:val="25"/>
          <w:rFonts w:hint="eastAsia" w:ascii="仿宋_GB2312" w:hAnsi="仿宋_GB2312" w:eastAsia="仿宋_GB2312" w:cs="仿宋_GB2312"/>
          <w:bCs/>
          <w:color w:val="000000" w:themeColor="text1"/>
          <w:kern w:val="0"/>
          <w:szCs w:val="24"/>
          <w:highlight w:val="none"/>
          <w14:textFill>
            <w14:solidFill>
              <w14:schemeClr w14:val="tx1"/>
            </w14:solidFill>
          </w14:textFill>
        </w:rPr>
        <w:t>本年度</w:t>
      </w:r>
      <w:r>
        <w:rPr>
          <w:rStyle w:val="25"/>
          <w:rFonts w:ascii="仿宋_GB2312" w:hAnsi="仿宋_GB2312" w:eastAsia="仿宋_GB2312" w:cs="仿宋_GB2312"/>
          <w:bCs/>
          <w:color w:val="000000" w:themeColor="text1"/>
          <w:kern w:val="0"/>
          <w:szCs w:val="24"/>
          <w:highlight w:val="none"/>
          <w14:textFill>
            <w14:solidFill>
              <w14:schemeClr w14:val="tx1"/>
            </w14:solidFill>
          </w14:textFill>
        </w:rPr>
        <w:t>企业名单。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25"/>
          <w:rFonts w:hint="eastAsia" w:ascii="仿宋_GB2312" w:hAnsi="仿宋_GB2312" w:eastAsia="仿宋_GB2312" w:cs="仿宋_GB2312"/>
          <w:b w:val="0"/>
          <w:bCs/>
          <w:color w:val="000000" w:themeColor="text1"/>
          <w:kern w:val="0"/>
          <w:szCs w:val="24"/>
          <w:highlight w:val="none"/>
          <w14:textFill>
            <w14:solidFill>
              <w14:schemeClr w14:val="tx1"/>
            </w14:solidFill>
          </w14:textFill>
        </w:rPr>
      </w:pPr>
      <w:r>
        <w:rPr>
          <w:rStyle w:val="25"/>
          <w:rFonts w:hint="eastAsia" w:ascii="仿宋_GB2312" w:hAnsi="仿宋_GB2312" w:eastAsia="仿宋_GB2312" w:cs="仿宋_GB2312"/>
          <w:b w:val="0"/>
          <w:bCs/>
          <w:color w:val="000000" w:themeColor="text1"/>
          <w:kern w:val="0"/>
          <w:szCs w:val="24"/>
          <w:highlight w:val="none"/>
          <w14:textFill>
            <w14:solidFill>
              <w14:schemeClr w14:val="tx1"/>
            </w14:solidFill>
          </w14:textFill>
        </w:rPr>
        <w:t>（二）自愿披露企业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Style w:val="25"/>
          <w:rFonts w:hint="eastAsia" w:ascii="仿宋_GB2312" w:hAnsi="仿宋_GB2312" w:eastAsia="仿宋_GB2312" w:cs="仿宋_GB2312"/>
          <w:b w:val="0"/>
          <w:bCs/>
          <w:color w:val="000000" w:themeColor="text1"/>
          <w:kern w:val="0"/>
          <w:szCs w:val="24"/>
          <w:highlight w:val="none"/>
          <w14:textFill>
            <w14:solidFill>
              <w14:schemeClr w14:val="tx1"/>
            </w14:solidFill>
          </w14:textFill>
        </w:rPr>
      </w:pPr>
      <w:r>
        <w:rPr>
          <w:rStyle w:val="25"/>
          <w:rFonts w:hint="eastAsia" w:ascii="仿宋_GB2312" w:hAnsi="仿宋_GB2312" w:eastAsia="仿宋_GB2312" w:cs="仿宋_GB2312"/>
          <w:b w:val="0"/>
          <w:bCs/>
          <w:color w:val="000000" w:themeColor="text1"/>
          <w:kern w:val="0"/>
          <w:szCs w:val="24"/>
          <w:highlight w:val="none"/>
          <w14:textFill>
            <w14:solidFill>
              <w14:schemeClr w14:val="tx1"/>
            </w14:solidFill>
          </w14:textFill>
        </w:rPr>
        <w:t>自愿披露环境信息的企业，通过填写企业信息表（附件1）并签署企业环境信息自愿披露承诺书（附件2）向属地管理局提出披露申请。</w:t>
      </w:r>
    </w:p>
    <w:p>
      <w:pPr>
        <w:spacing w:line="560" w:lineRule="exact"/>
        <w:ind w:firstLine="640" w:firstLineChars="200"/>
        <w:rPr>
          <w:rFonts w:hint="eastAsia" w:ascii="黑体" w:hAnsi="黑体" w:eastAsia="黑体" w:cs="黑体"/>
          <w:kern w:val="0"/>
          <w:sz w:val="32"/>
          <w:szCs w:val="32"/>
          <w:highlight w:val="none"/>
        </w:rPr>
      </w:pPr>
    </w:p>
    <w:p>
      <w:pPr>
        <w:spacing w:line="560" w:lineRule="exact"/>
        <w:ind w:firstLine="640" w:firstLineChars="200"/>
        <w:rPr>
          <w:rFonts w:hint="eastAsia" w:ascii="黑体" w:hAnsi="黑体" w:eastAsia="黑体" w:cs="黑体"/>
          <w:kern w:val="0"/>
          <w:sz w:val="32"/>
          <w:szCs w:val="32"/>
          <w:highlight w:val="none"/>
        </w:rPr>
      </w:pPr>
      <w:r>
        <w:rPr>
          <w:rFonts w:hint="eastAsia" w:ascii="黑体" w:hAnsi="黑体" w:eastAsia="黑体" w:cs="黑体"/>
          <w:kern w:val="0"/>
          <w:sz w:val="32"/>
          <w:szCs w:val="32"/>
          <w:highlight w:val="none"/>
        </w:rPr>
        <w:t>第六条【披露时限】</w:t>
      </w:r>
    </w:p>
    <w:p>
      <w:pPr>
        <w:snapToGrid w:val="0"/>
        <w:spacing w:line="560" w:lineRule="exact"/>
        <w:ind w:firstLine="640" w:firstLineChars="200"/>
        <w:outlineLvl w:val="1"/>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（一）强制披露企业</w:t>
      </w:r>
    </w:p>
    <w:p>
      <w:pPr>
        <w:snapToGrid w:val="0"/>
        <w:spacing w:line="560" w:lineRule="exact"/>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1.当年度被移出环境监管重点单位名录，但仍在当年度公布的企业名单的相关环境监管重点单位，当年度仍应继续履行披露义务，至下一年度</w:t>
      </w:r>
      <w:r>
        <w:rPr>
          <w:rStyle w:val="25"/>
          <w:rFonts w:hint="eastAsia" w:ascii="仿宋_GB2312" w:hAnsi="仿宋_GB2312" w:eastAsia="仿宋_GB2312" w:cs="仿宋_GB2312"/>
          <w:bCs/>
          <w:color w:val="000000" w:themeColor="text1"/>
          <w:kern w:val="0"/>
          <w:szCs w:val="24"/>
          <w:highlight w:val="none"/>
          <w14:textFill>
            <w14:solidFill>
              <w14:schemeClr w14:val="tx1"/>
            </w14:solidFill>
          </w14:textFill>
        </w:rPr>
        <w:t>企业</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名单更新时为止；</w:t>
      </w:r>
    </w:p>
    <w:p>
      <w:pPr>
        <w:snapToGrid w:val="0"/>
        <w:spacing w:line="560" w:lineRule="exact"/>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2.实施强制性清洁生产审核的企业应当自列入强制性清洁生产审核名单后，纳入企业名单，并延续至该企业完成强制性清洁生产审核验收后的第3年；</w:t>
      </w:r>
    </w:p>
    <w:p>
      <w:pPr>
        <w:snapToGrid w:val="0"/>
        <w:spacing w:line="560" w:lineRule="exact"/>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3.上市公司、发债企业应当连续3年纳入企业名单，期间再次发生《管理办法》第八条规定情形的，应当自3年期限届满后，再连续3年纳入企业名单；</w:t>
      </w:r>
    </w:p>
    <w:p>
      <w:pPr>
        <w:snapToGrid w:val="0"/>
        <w:spacing w:line="560" w:lineRule="exact"/>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4.对同时符合两种及以上情形的企业，按最长披露期限执行；</w:t>
      </w:r>
    </w:p>
    <w:p>
      <w:pPr>
        <w:snapToGrid w:val="0"/>
        <w:spacing w:line="560" w:lineRule="exact"/>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5.下一年度企业名单公布前，</w:t>
      </w:r>
      <w:r>
        <w:rPr>
          <w:rFonts w:hint="eastAsia" w:ascii="仿宋_GB2312" w:hAnsi="仿宋_GB2312" w:eastAsia="仿宋_GB2312" w:cs="仿宋_GB2312"/>
          <w:color w:val="000000" w:themeColor="text1"/>
          <w:kern w:val="0"/>
          <w:sz w:val="32"/>
          <w:szCs w:val="32"/>
          <w:highlight w:val="none"/>
          <w:shd w:val="clear" w:color="auto" w:fill="FFFFFF"/>
          <w14:textFill>
            <w14:solidFill>
              <w14:schemeClr w14:val="tx1"/>
            </w14:solidFill>
          </w14:textFill>
        </w:rPr>
        <w:t>上一年度名单企业仍需继续执行披露义务</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w:t>
      </w:r>
    </w:p>
    <w:p>
      <w:pPr>
        <w:snapToGrid w:val="0"/>
        <w:spacing w:line="560" w:lineRule="exact"/>
        <w:ind w:firstLine="640" w:firstLineChars="200"/>
        <w:outlineLvl w:val="1"/>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（二）自愿披露企业</w:t>
      </w:r>
    </w:p>
    <w:p>
      <w:pPr>
        <w:snapToGrid w:val="0"/>
        <w:spacing w:line="560" w:lineRule="exact"/>
        <w:ind w:firstLine="640" w:firstLineChars="20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sz w:val="32"/>
          <w:szCs w:val="32"/>
          <w:highlight w:val="none"/>
        </w:rPr>
        <w:t>自愿披露信息企业以自愿为原则，没有时间方面的限制，以企业申请时间为准。</w:t>
      </w:r>
    </w:p>
    <w:p>
      <w:pPr>
        <w:spacing w:line="560" w:lineRule="exact"/>
        <w:jc w:val="center"/>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表1 强制披露对象汇总表</w:t>
      </w:r>
    </w:p>
    <w:tbl>
      <w:tblPr>
        <w:tblStyle w:val="14"/>
        <w:tblW w:w="88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6"/>
        <w:gridCol w:w="3552"/>
        <w:gridCol w:w="3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48" w:type="dxa"/>
            <w:gridSpan w:val="2"/>
            <w:vAlign w:val="center"/>
          </w:tcPr>
          <w:p>
            <w:pPr>
              <w:jc w:val="center"/>
              <w:rPr>
                <w:rFonts w:hint="eastAsia" w:ascii="仿宋_GB2312" w:eastAsia="仿宋_GB2312"/>
                <w:b/>
                <w:bCs/>
                <w:color w:val="000000" w:themeColor="text1"/>
                <w:sz w:val="24"/>
                <w:szCs w:val="24"/>
                <w:highlight w:val="none"/>
                <w14:textFill>
                  <w14:solidFill>
                    <w14:schemeClr w14:val="tx1"/>
                  </w14:solidFill>
                </w14:textFill>
              </w:rPr>
            </w:pPr>
            <w:r>
              <w:rPr>
                <w:rFonts w:hint="eastAsia" w:ascii="仿宋_GB2312" w:eastAsia="仿宋_GB2312"/>
                <w:b/>
                <w:bCs/>
                <w:color w:val="000000" w:themeColor="text1"/>
                <w:sz w:val="24"/>
                <w:szCs w:val="24"/>
                <w:highlight w:val="none"/>
                <w14:textFill>
                  <w14:solidFill>
                    <w14:schemeClr w14:val="tx1"/>
                  </w14:solidFill>
                </w14:textFill>
              </w:rPr>
              <w:t>披露对象</w:t>
            </w:r>
          </w:p>
        </w:tc>
        <w:tc>
          <w:tcPr>
            <w:tcW w:w="3416" w:type="dxa"/>
            <w:vAlign w:val="center"/>
          </w:tcPr>
          <w:p>
            <w:pPr>
              <w:jc w:val="center"/>
              <w:rPr>
                <w:rFonts w:hint="eastAsia" w:ascii="仿宋_GB2312" w:eastAsia="仿宋_GB2312"/>
                <w:b/>
                <w:bCs/>
                <w:color w:val="000000" w:themeColor="text1"/>
                <w:sz w:val="24"/>
                <w:szCs w:val="24"/>
                <w:highlight w:val="none"/>
                <w14:textFill>
                  <w14:solidFill>
                    <w14:schemeClr w14:val="tx1"/>
                  </w14:solidFill>
                </w14:textFill>
              </w:rPr>
            </w:pPr>
            <w:r>
              <w:rPr>
                <w:rFonts w:hint="eastAsia" w:ascii="仿宋_GB2312" w:eastAsia="仿宋_GB2312"/>
                <w:b/>
                <w:bCs/>
                <w:color w:val="000000" w:themeColor="text1"/>
                <w:sz w:val="24"/>
                <w:szCs w:val="24"/>
                <w:highlight w:val="none"/>
                <w14:textFill>
                  <w14:solidFill>
                    <w14:schemeClr w14:val="tx1"/>
                  </w14:solidFill>
                </w14:textFill>
              </w:rPr>
              <w:t>披露时限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5448" w:type="dxa"/>
            <w:gridSpan w:val="2"/>
            <w:vAlign w:val="center"/>
          </w:tcPr>
          <w:p>
            <w:pPr>
              <w:jc w:val="left"/>
              <w:rPr>
                <w:rFonts w:hint="eastAsia" w:ascii="仿宋_GB2312" w:eastAsia="仿宋_GB2312"/>
                <w:color w:val="000000" w:themeColor="text1"/>
                <w:sz w:val="24"/>
                <w:szCs w:val="24"/>
                <w:highlight w:val="none"/>
                <w14:textFill>
                  <w14:solidFill>
                    <w14:schemeClr w14:val="tx1"/>
                  </w14:solidFill>
                </w14:textFill>
              </w:rPr>
            </w:pPr>
            <w:r>
              <w:rPr>
                <w:rFonts w:hint="eastAsia" w:ascii="仿宋_GB2312" w:eastAsia="仿宋_GB2312"/>
                <w:color w:val="000000" w:themeColor="text1"/>
                <w:sz w:val="24"/>
                <w:szCs w:val="24"/>
                <w:highlight w:val="none"/>
                <w14:textFill>
                  <w14:solidFill>
                    <w14:schemeClr w14:val="tx1"/>
                  </w14:solidFill>
                </w14:textFill>
              </w:rPr>
              <w:t>（一）</w:t>
            </w:r>
            <w:r>
              <w:rPr>
                <w:rFonts w:hint="eastAsia" w:ascii="仿宋_GB2312" w:hAnsi="仿宋_GB2312" w:eastAsia="仿宋_GB2312" w:cs="仿宋_GB2312"/>
                <w:color w:val="000000" w:themeColor="text1"/>
                <w:kern w:val="0"/>
                <w:sz w:val="24"/>
                <w:szCs w:val="24"/>
                <w:highlight w:val="none"/>
                <w14:textFill>
                  <w14:solidFill>
                    <w14:schemeClr w14:val="tx1"/>
                  </w14:solidFill>
                </w14:textFill>
              </w:rPr>
              <w:t>环境监管重点单位</w:t>
            </w:r>
          </w:p>
        </w:tc>
        <w:tc>
          <w:tcPr>
            <w:tcW w:w="3416" w:type="dxa"/>
            <w:vAlign w:val="center"/>
          </w:tcPr>
          <w:p>
            <w:pPr>
              <w:jc w:val="left"/>
              <w:rPr>
                <w:rFonts w:hint="eastAsia" w:ascii="仿宋_GB2312" w:eastAsia="仿宋_GB2312"/>
                <w:color w:val="000000" w:themeColor="text1"/>
                <w:sz w:val="24"/>
                <w:szCs w:val="24"/>
                <w:highlight w:val="none"/>
                <w14:textFill>
                  <w14:solidFill>
                    <w14:schemeClr w14:val="tx1"/>
                  </w14:solidFill>
                </w14:textFill>
              </w:rPr>
            </w:pPr>
            <w:r>
              <w:rPr>
                <w:rFonts w:hint="eastAsia" w:ascii="仿宋_GB2312" w:hAnsi="微软雅黑" w:eastAsia="仿宋_GB2312"/>
                <w:color w:val="000000" w:themeColor="text1"/>
                <w:sz w:val="24"/>
                <w:szCs w:val="24"/>
                <w:highlight w:val="none"/>
                <w14:textFill>
                  <w14:solidFill>
                    <w14:schemeClr w14:val="tx1"/>
                  </w14:solidFill>
                </w14:textFill>
              </w:rPr>
              <w:t>列入环境监管重点单位名录之日起，纳入披露名单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5448" w:type="dxa"/>
            <w:gridSpan w:val="2"/>
            <w:vAlign w:val="center"/>
          </w:tcPr>
          <w:p>
            <w:pPr>
              <w:jc w:val="left"/>
              <w:rPr>
                <w:rFonts w:hint="eastAsia" w:ascii="仿宋_GB2312" w:eastAsia="仿宋_GB2312"/>
                <w:color w:val="000000" w:themeColor="text1"/>
                <w:sz w:val="24"/>
                <w:szCs w:val="24"/>
                <w:highlight w:val="none"/>
                <w14:textFill>
                  <w14:solidFill>
                    <w14:schemeClr w14:val="tx1"/>
                  </w14:solidFill>
                </w14:textFill>
              </w:rPr>
            </w:pPr>
            <w:r>
              <w:rPr>
                <w:rFonts w:hint="eastAsia" w:ascii="仿宋_GB2312" w:hAnsi="微软雅黑" w:eastAsia="仿宋_GB2312"/>
                <w:color w:val="000000" w:themeColor="text1"/>
                <w:sz w:val="24"/>
                <w:szCs w:val="24"/>
                <w:highlight w:val="none"/>
                <w14:textFill>
                  <w14:solidFill>
                    <w14:schemeClr w14:val="tx1"/>
                  </w14:solidFill>
                </w14:textFill>
              </w:rPr>
              <w:t>（二）实施强制性清洁生产审核的企业</w:t>
            </w:r>
          </w:p>
        </w:tc>
        <w:tc>
          <w:tcPr>
            <w:tcW w:w="3416" w:type="dxa"/>
            <w:vAlign w:val="center"/>
          </w:tcPr>
          <w:p>
            <w:pPr>
              <w:jc w:val="left"/>
              <w:rPr>
                <w:rFonts w:hint="eastAsia" w:ascii="仿宋_GB2312" w:hAnsi="微软雅黑" w:eastAsia="仿宋_GB2312"/>
                <w:color w:val="000000" w:themeColor="text1"/>
                <w:sz w:val="24"/>
                <w:szCs w:val="24"/>
                <w:highlight w:val="none"/>
                <w14:textFill>
                  <w14:solidFill>
                    <w14:schemeClr w14:val="tx1"/>
                  </w14:solidFill>
                </w14:textFill>
              </w:rPr>
            </w:pPr>
            <w:r>
              <w:rPr>
                <w:rFonts w:hint="eastAsia" w:ascii="仿宋_GB2312" w:hAnsi="微软雅黑" w:eastAsia="仿宋_GB2312"/>
                <w:color w:val="000000" w:themeColor="text1"/>
                <w:sz w:val="24"/>
                <w:szCs w:val="24"/>
                <w:highlight w:val="none"/>
                <w14:textFill>
                  <w14:solidFill>
                    <w14:schemeClr w14:val="tx1"/>
                  </w14:solidFill>
                </w14:textFill>
              </w:rPr>
              <w:t>列入强制性清洁生产审核名单后纳入披露名单，延续至完成验收后的第3年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896" w:type="dxa"/>
            <w:vAlign w:val="center"/>
          </w:tcPr>
          <w:p>
            <w:pPr>
              <w:jc w:val="left"/>
              <w:rPr>
                <w:rFonts w:hint="eastAsia" w:ascii="仿宋_GB2312" w:eastAsia="仿宋_GB2312"/>
                <w:color w:val="000000" w:themeColor="text1"/>
                <w:sz w:val="24"/>
                <w:szCs w:val="24"/>
                <w:highlight w:val="none"/>
                <w14:textFill>
                  <w14:solidFill>
                    <w14:schemeClr w14:val="tx1"/>
                  </w14:solidFill>
                </w14:textFill>
              </w:rPr>
            </w:pPr>
            <w:r>
              <w:rPr>
                <w:rFonts w:hint="eastAsia" w:ascii="仿宋_GB2312" w:hAnsi="微软雅黑" w:eastAsia="仿宋_GB2312"/>
                <w:color w:val="000000" w:themeColor="text1"/>
                <w:sz w:val="24"/>
                <w:szCs w:val="24"/>
                <w:highlight w:val="none"/>
                <w14:textFill>
                  <w14:solidFill>
                    <w14:schemeClr w14:val="tx1"/>
                  </w14:solidFill>
                </w14:textFill>
              </w:rPr>
              <w:t>（三）上市公司及合并报表范围内的各级子公司</w:t>
            </w:r>
          </w:p>
        </w:tc>
        <w:tc>
          <w:tcPr>
            <w:tcW w:w="3552" w:type="dxa"/>
            <w:vMerge w:val="restart"/>
            <w:vAlign w:val="center"/>
          </w:tcPr>
          <w:p>
            <w:pPr>
              <w:jc w:val="left"/>
              <w:rPr>
                <w:rFonts w:hint="eastAsia" w:ascii="仿宋_GB2312" w:hAnsi="微软雅黑" w:eastAsia="仿宋_GB2312"/>
                <w:color w:val="000000" w:themeColor="text1"/>
                <w:sz w:val="24"/>
                <w:szCs w:val="24"/>
                <w:highlight w:val="none"/>
                <w14:textFill>
                  <w14:solidFill>
                    <w14:schemeClr w14:val="tx1"/>
                  </w14:solidFill>
                </w14:textFill>
              </w:rPr>
            </w:pPr>
            <w:r>
              <w:rPr>
                <w:rFonts w:hint="eastAsia" w:ascii="仿宋_GB2312" w:hAnsi="微软雅黑" w:eastAsia="仿宋_GB2312"/>
                <w:color w:val="000000" w:themeColor="text1"/>
                <w:sz w:val="24"/>
                <w:szCs w:val="24"/>
                <w:highlight w:val="none"/>
                <w14:textFill>
                  <w14:solidFill>
                    <w14:schemeClr w14:val="tx1"/>
                  </w14:solidFill>
                </w14:textFill>
              </w:rPr>
              <w:t>因生态环境违法行为：</w:t>
            </w:r>
          </w:p>
          <w:p>
            <w:pPr>
              <w:pStyle w:val="20"/>
              <w:ind w:firstLine="0" w:firstLineChars="0"/>
              <w:jc w:val="left"/>
              <w:rPr>
                <w:rFonts w:hint="eastAsia" w:ascii="仿宋_GB2312" w:hAnsi="微软雅黑"/>
                <w:color w:val="000000" w:themeColor="text1"/>
                <w:sz w:val="24"/>
                <w:szCs w:val="24"/>
                <w:highlight w:val="none"/>
                <w14:textFill>
                  <w14:solidFill>
                    <w14:schemeClr w14:val="tx1"/>
                  </w14:solidFill>
                </w14:textFill>
              </w:rPr>
            </w:pPr>
            <w:r>
              <w:rPr>
                <w:rFonts w:ascii="仿宋_GB2312" w:hAnsi="微软雅黑"/>
                <w:color w:val="000000" w:themeColor="text1"/>
                <w:sz w:val="24"/>
                <w:szCs w:val="24"/>
                <w:highlight w:val="none"/>
                <w:lang w:val="en"/>
                <w14:textFill>
                  <w14:solidFill>
                    <w14:schemeClr w14:val="tx1"/>
                  </w14:solidFill>
                </w14:textFill>
              </w:rPr>
              <w:t>1.</w:t>
            </w:r>
            <w:r>
              <w:rPr>
                <w:rFonts w:hint="eastAsia" w:ascii="仿宋_GB2312" w:hAnsi="微软雅黑"/>
                <w:color w:val="000000" w:themeColor="text1"/>
                <w:sz w:val="24"/>
                <w:szCs w:val="24"/>
                <w:highlight w:val="none"/>
                <w14:textFill>
                  <w14:solidFill>
                    <w14:schemeClr w14:val="tx1"/>
                  </w14:solidFill>
                </w14:textFill>
              </w:rPr>
              <w:t>被依法追究刑事责任；</w:t>
            </w:r>
          </w:p>
          <w:p>
            <w:pPr>
              <w:pStyle w:val="20"/>
              <w:ind w:firstLine="0" w:firstLineChars="0"/>
              <w:jc w:val="left"/>
              <w:rPr>
                <w:rFonts w:hint="eastAsia" w:ascii="仿宋_GB2312" w:hAnsi="微软雅黑"/>
                <w:color w:val="000000" w:themeColor="text1"/>
                <w:sz w:val="24"/>
                <w:szCs w:val="24"/>
                <w:highlight w:val="none"/>
                <w14:textFill>
                  <w14:solidFill>
                    <w14:schemeClr w14:val="tx1"/>
                  </w14:solidFill>
                </w14:textFill>
              </w:rPr>
            </w:pPr>
            <w:r>
              <w:rPr>
                <w:rFonts w:hint="eastAsia" w:ascii="仿宋_GB2312" w:hAnsi="微软雅黑"/>
                <w:color w:val="000000" w:themeColor="text1"/>
                <w:sz w:val="24"/>
                <w:szCs w:val="24"/>
                <w:highlight w:val="none"/>
                <w14:textFill>
                  <w14:solidFill>
                    <w14:schemeClr w14:val="tx1"/>
                  </w14:solidFill>
                </w14:textFill>
              </w:rPr>
              <w:t>2.被依法处以十万元以上罚款；</w:t>
            </w:r>
          </w:p>
          <w:p>
            <w:pPr>
              <w:pStyle w:val="20"/>
              <w:ind w:firstLine="0" w:firstLineChars="0"/>
              <w:jc w:val="left"/>
              <w:rPr>
                <w:rFonts w:hint="eastAsia" w:ascii="仿宋_GB2312" w:hAnsi="微软雅黑"/>
                <w:color w:val="000000" w:themeColor="text1"/>
                <w:sz w:val="24"/>
                <w:szCs w:val="24"/>
                <w:highlight w:val="none"/>
                <w14:textFill>
                  <w14:solidFill>
                    <w14:schemeClr w14:val="tx1"/>
                  </w14:solidFill>
                </w14:textFill>
              </w:rPr>
            </w:pPr>
            <w:r>
              <w:rPr>
                <w:rFonts w:hint="eastAsia" w:ascii="仿宋_GB2312" w:hAnsi="微软雅黑"/>
                <w:color w:val="000000" w:themeColor="text1"/>
                <w:sz w:val="24"/>
                <w:szCs w:val="24"/>
                <w:highlight w:val="none"/>
                <w14:textFill>
                  <w14:solidFill>
                    <w14:schemeClr w14:val="tx1"/>
                  </w14:solidFill>
                </w14:textFill>
              </w:rPr>
              <w:t>3.被依法实施按日连续处罚；</w:t>
            </w:r>
          </w:p>
          <w:p>
            <w:pPr>
              <w:pStyle w:val="20"/>
              <w:ind w:firstLine="0" w:firstLineChars="0"/>
              <w:jc w:val="left"/>
              <w:rPr>
                <w:rFonts w:hint="eastAsia" w:ascii="仿宋_GB2312" w:hAnsi="微软雅黑"/>
                <w:color w:val="000000" w:themeColor="text1"/>
                <w:sz w:val="24"/>
                <w:szCs w:val="24"/>
                <w:highlight w:val="none"/>
                <w14:textFill>
                  <w14:solidFill>
                    <w14:schemeClr w14:val="tx1"/>
                  </w14:solidFill>
                </w14:textFill>
              </w:rPr>
            </w:pPr>
            <w:r>
              <w:rPr>
                <w:rFonts w:hint="eastAsia" w:ascii="仿宋_GB2312" w:hAnsi="微软雅黑"/>
                <w:color w:val="000000" w:themeColor="text1"/>
                <w:sz w:val="24"/>
                <w:szCs w:val="24"/>
                <w:highlight w:val="none"/>
                <w14:textFill>
                  <w14:solidFill>
                    <w14:schemeClr w14:val="tx1"/>
                  </w14:solidFill>
                </w14:textFill>
              </w:rPr>
              <w:t>4.被依法实施限制生产、停产整治；</w:t>
            </w:r>
          </w:p>
          <w:p>
            <w:pPr>
              <w:pStyle w:val="20"/>
              <w:ind w:firstLine="0" w:firstLineChars="0"/>
              <w:jc w:val="left"/>
              <w:rPr>
                <w:rFonts w:hint="eastAsia" w:ascii="仿宋_GB2312" w:hAnsi="微软雅黑"/>
                <w:color w:val="000000" w:themeColor="text1"/>
                <w:sz w:val="24"/>
                <w:szCs w:val="24"/>
                <w:highlight w:val="none"/>
                <w14:textFill>
                  <w14:solidFill>
                    <w14:schemeClr w14:val="tx1"/>
                  </w14:solidFill>
                </w14:textFill>
              </w:rPr>
            </w:pPr>
            <w:r>
              <w:rPr>
                <w:rFonts w:hint="eastAsia" w:ascii="仿宋_GB2312" w:hAnsi="微软雅黑"/>
                <w:color w:val="000000" w:themeColor="text1"/>
                <w:sz w:val="24"/>
                <w:szCs w:val="24"/>
                <w:highlight w:val="none"/>
                <w14:textFill>
                  <w14:solidFill>
                    <w14:schemeClr w14:val="tx1"/>
                  </w14:solidFill>
                </w14:textFill>
              </w:rPr>
              <w:t>5.被依法吊销生态环境相关许可证件；</w:t>
            </w:r>
          </w:p>
          <w:p>
            <w:pPr>
              <w:pStyle w:val="20"/>
              <w:ind w:firstLine="0" w:firstLineChars="0"/>
              <w:jc w:val="left"/>
              <w:rPr>
                <w:rFonts w:hint="eastAsia" w:ascii="仿宋_GB2312"/>
                <w:color w:val="000000" w:themeColor="text1"/>
                <w:sz w:val="24"/>
                <w:szCs w:val="24"/>
                <w:highlight w:val="none"/>
                <w14:textFill>
                  <w14:solidFill>
                    <w14:schemeClr w14:val="tx1"/>
                  </w14:solidFill>
                </w14:textFill>
              </w:rPr>
            </w:pPr>
            <w:r>
              <w:rPr>
                <w:rFonts w:hint="eastAsia" w:ascii="仿宋_GB2312" w:hAnsi="微软雅黑"/>
                <w:color w:val="000000" w:themeColor="text1"/>
                <w:sz w:val="24"/>
                <w:szCs w:val="24"/>
                <w:highlight w:val="none"/>
                <w14:textFill>
                  <w14:solidFill>
                    <w14:schemeClr w14:val="tx1"/>
                  </w14:solidFill>
                </w14:textFill>
              </w:rPr>
              <w:t>6.法定代表人、主要负责人、直接负责的主管人员或者其他直接责任人员被依法处以行政拘留。</w:t>
            </w:r>
          </w:p>
        </w:tc>
        <w:tc>
          <w:tcPr>
            <w:tcW w:w="3416" w:type="dxa"/>
            <w:vMerge w:val="restart"/>
            <w:vAlign w:val="center"/>
          </w:tcPr>
          <w:p>
            <w:pPr>
              <w:jc w:val="left"/>
              <w:rPr>
                <w:rFonts w:hint="eastAsia" w:ascii="仿宋_GB2312" w:hAnsi="微软雅黑" w:eastAsia="仿宋_GB2312"/>
                <w:color w:val="000000" w:themeColor="text1"/>
                <w:sz w:val="24"/>
                <w:szCs w:val="24"/>
                <w:highlight w:val="none"/>
                <w14:textFill>
                  <w14:solidFill>
                    <w14:schemeClr w14:val="tx1"/>
                  </w14:solidFill>
                </w14:textFill>
              </w:rPr>
            </w:pPr>
            <w:r>
              <w:rPr>
                <w:rFonts w:hint="eastAsia" w:ascii="仿宋_GB2312" w:hAnsi="微软雅黑" w:eastAsia="仿宋_GB2312"/>
                <w:color w:val="000000" w:themeColor="text1"/>
                <w:sz w:val="24"/>
                <w:szCs w:val="24"/>
                <w:highlight w:val="none"/>
                <w14:textFill>
                  <w14:solidFill>
                    <w14:schemeClr w14:val="tx1"/>
                  </w14:solidFill>
                </w14:textFill>
              </w:rPr>
              <w:t>连续3年纳入披露名单，如期间再次符合纳入条件，待3年期满后，再连续3年纳入名单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9" w:hRule="atLeast"/>
        </w:trPr>
        <w:tc>
          <w:tcPr>
            <w:tcW w:w="1896" w:type="dxa"/>
            <w:vAlign w:val="center"/>
          </w:tcPr>
          <w:p>
            <w:pPr>
              <w:jc w:val="left"/>
              <w:rPr>
                <w:rFonts w:hint="eastAsia" w:ascii="仿宋_GB2312" w:eastAsia="仿宋_GB2312"/>
                <w:color w:val="000000" w:themeColor="text1"/>
                <w:sz w:val="24"/>
                <w:szCs w:val="24"/>
                <w:highlight w:val="none"/>
                <w14:textFill>
                  <w14:solidFill>
                    <w14:schemeClr w14:val="tx1"/>
                  </w14:solidFill>
                </w14:textFill>
              </w:rPr>
            </w:pPr>
            <w:r>
              <w:rPr>
                <w:rFonts w:hint="eastAsia" w:ascii="仿宋_GB2312" w:hAnsi="微软雅黑" w:eastAsia="仿宋_GB2312"/>
                <w:color w:val="000000" w:themeColor="text1"/>
                <w:sz w:val="24"/>
                <w:szCs w:val="24"/>
                <w:highlight w:val="none"/>
                <w14:textFill>
                  <w14:solidFill>
                    <w14:schemeClr w14:val="tx1"/>
                  </w14:solidFill>
                </w14:textFill>
              </w:rPr>
              <w:t>（四）发行企业债券、公司债券、非金融企业债务融资工具的企业</w:t>
            </w:r>
          </w:p>
        </w:tc>
        <w:tc>
          <w:tcPr>
            <w:tcW w:w="3552" w:type="dxa"/>
            <w:vMerge w:val="continue"/>
            <w:vAlign w:val="center"/>
          </w:tcPr>
          <w:p>
            <w:pPr>
              <w:jc w:val="left"/>
              <w:rPr>
                <w:rFonts w:hint="eastAsia" w:ascii="仿宋_GB2312" w:eastAsia="仿宋_GB2312"/>
                <w:color w:val="000000" w:themeColor="text1"/>
                <w:sz w:val="24"/>
                <w:szCs w:val="24"/>
                <w:highlight w:val="none"/>
                <w14:textFill>
                  <w14:solidFill>
                    <w14:schemeClr w14:val="tx1"/>
                  </w14:solidFill>
                </w14:textFill>
              </w:rPr>
            </w:pPr>
          </w:p>
        </w:tc>
        <w:tc>
          <w:tcPr>
            <w:tcW w:w="3416" w:type="dxa"/>
            <w:vMerge w:val="continue"/>
            <w:vAlign w:val="center"/>
          </w:tcPr>
          <w:p>
            <w:pPr>
              <w:jc w:val="left"/>
              <w:rPr>
                <w:rFonts w:hint="eastAsia" w:ascii="仿宋_GB2312" w:eastAsia="仿宋_GB2312"/>
                <w:color w:val="000000" w:themeColor="text1"/>
                <w:sz w:val="24"/>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48" w:type="dxa"/>
            <w:gridSpan w:val="2"/>
            <w:vAlign w:val="center"/>
          </w:tcPr>
          <w:p>
            <w:pPr>
              <w:jc w:val="left"/>
              <w:rPr>
                <w:rFonts w:hint="eastAsia" w:ascii="仿宋_GB2312" w:eastAsia="仿宋_GB2312"/>
                <w:color w:val="000000" w:themeColor="text1"/>
                <w:sz w:val="24"/>
                <w:szCs w:val="24"/>
                <w:highlight w:val="none"/>
                <w14:textFill>
                  <w14:solidFill>
                    <w14:schemeClr w14:val="tx1"/>
                  </w14:solidFill>
                </w14:textFill>
              </w:rPr>
            </w:pPr>
            <w:r>
              <w:rPr>
                <w:rFonts w:hint="eastAsia" w:ascii="仿宋_GB2312" w:hAnsi="微软雅黑" w:eastAsia="仿宋_GB2312"/>
                <w:color w:val="000000" w:themeColor="text1"/>
                <w:sz w:val="24"/>
                <w:szCs w:val="24"/>
                <w:highlight w:val="none"/>
                <w14:textFill>
                  <w14:solidFill>
                    <w14:schemeClr w14:val="tx1"/>
                  </w14:solidFill>
                </w14:textFill>
              </w:rPr>
              <w:t>（五）法律法规规定的其他企业</w:t>
            </w:r>
          </w:p>
        </w:tc>
        <w:tc>
          <w:tcPr>
            <w:tcW w:w="3416" w:type="dxa"/>
            <w:vAlign w:val="center"/>
          </w:tcPr>
          <w:p>
            <w:pPr>
              <w:jc w:val="left"/>
              <w:rPr>
                <w:rFonts w:hint="eastAsia" w:ascii="仿宋_GB2312" w:hAnsi="微软雅黑" w:eastAsia="仿宋_GB2312"/>
                <w:color w:val="000000" w:themeColor="text1"/>
                <w:sz w:val="24"/>
                <w:szCs w:val="24"/>
                <w:highlight w:val="none"/>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textAlignment w:val="auto"/>
        <w:outlineLvl w:val="0"/>
        <w:rPr>
          <w:rFonts w:hint="eastAsia" w:ascii="黑体" w:hAnsi="黑体" w:eastAsia="黑体" w:cs="黑体"/>
          <w:kern w:val="0"/>
          <w:sz w:val="32"/>
          <w:szCs w:val="32"/>
          <w:highlight w:val="none"/>
        </w:rPr>
      </w:pPr>
      <w:r>
        <w:rPr>
          <w:rFonts w:hint="eastAsia" w:ascii="黑体" w:hAnsi="黑体" w:eastAsia="黑体" w:cs="黑体"/>
          <w:sz w:val="32"/>
          <w:szCs w:val="32"/>
          <w:highlight w:val="none"/>
        </w:rPr>
        <w:t>第三章 披露程序与内容</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FF"/>
          <w:kern w:val="0"/>
          <w:sz w:val="32"/>
          <w:szCs w:val="32"/>
          <w:highlight w:val="none"/>
        </w:rPr>
      </w:pPr>
      <w:r>
        <w:rPr>
          <w:rFonts w:hint="eastAsia" w:ascii="黑体" w:hAnsi="黑体" w:eastAsia="黑体" w:cs="黑体"/>
          <w:kern w:val="0"/>
          <w:sz w:val="32"/>
          <w:szCs w:val="32"/>
          <w:highlight w:val="none"/>
        </w:rPr>
        <w:t>第七条【强制披露程序】</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强制披露</w:t>
      </w:r>
      <w:r>
        <w:rPr>
          <w:rFonts w:hint="eastAsia" w:ascii="仿宋_GB2312" w:hAnsi="仿宋_GB2312" w:eastAsia="仿宋_GB2312" w:cs="仿宋_GB2312"/>
          <w:kern w:val="0"/>
          <w:sz w:val="32"/>
          <w:szCs w:val="32"/>
          <w:highlight w:val="none"/>
        </w:rPr>
        <w:t>企业纳入名单后，应按</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照《深圳市企业环境信息依法披露实施手册》（附件3）</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以下简称《实施手册》</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，通过</w:t>
      </w:r>
      <w:r>
        <w:rPr>
          <w:rFonts w:hint="eastAsia" w:ascii="仿宋_GB2312" w:hAnsi="仿宋_GB2312" w:eastAsia="仿宋_GB2312" w:cs="仿宋_GB2312"/>
          <w:kern w:val="0"/>
          <w:sz w:val="32"/>
          <w:szCs w:val="32"/>
          <w:highlight w:val="none"/>
        </w:rPr>
        <w:t>广东省生态环境厅</w:t>
      </w:r>
      <w:r>
        <w:rPr>
          <w:rFonts w:ascii="仿宋" w:hAnsi="仿宋" w:eastAsia="仿宋" w:cs="仿宋"/>
          <w:color w:val="000000"/>
          <w:sz w:val="31"/>
          <w:szCs w:val="31"/>
          <w:highlight w:val="none"/>
          <w:shd w:val="clear" w:color="auto" w:fill="FFFFFF"/>
        </w:rPr>
        <w:t>企业环境信息依法披露系统</w:t>
      </w:r>
      <w:r>
        <w:rPr>
          <w:rFonts w:hint="eastAsia" w:ascii="仿宋" w:hAnsi="仿宋" w:eastAsia="仿宋" w:cs="仿宋"/>
          <w:color w:val="000000"/>
          <w:sz w:val="31"/>
          <w:szCs w:val="31"/>
          <w:highlight w:val="none"/>
          <w:shd w:val="clear" w:color="auto" w:fill="FFFFFF"/>
        </w:rPr>
        <w:t>（</w:t>
      </w:r>
      <w:r>
        <w:rPr>
          <w:rFonts w:hint="eastAsia" w:ascii="仿宋_GB2312" w:hAnsi="仿宋_GB2312" w:eastAsia="仿宋_GB2312" w:cs="仿宋_GB2312"/>
          <w:sz w:val="32"/>
          <w:szCs w:val="32"/>
          <w:highlight w:val="none"/>
        </w:rPr>
        <w:t>网址：</w:t>
      </w:r>
      <w:r>
        <w:rPr>
          <w:rFonts w:hint="eastAsia" w:ascii="仿宋_GB2312" w:hAnsi="仿宋_GB2312" w:eastAsia="仿宋_GB2312" w:cs="仿宋_GB2312"/>
          <w:kern w:val="0"/>
          <w:sz w:val="32"/>
          <w:szCs w:val="32"/>
          <w:highlight w:val="none"/>
        </w:rPr>
        <w:t>https://www-app.gdeei.cn/stfw/index</w:t>
      </w:r>
      <w:r>
        <w:rPr>
          <w:rFonts w:hint="eastAsia" w:ascii="仿宋" w:hAnsi="仿宋" w:eastAsia="仿宋" w:cs="仿宋"/>
          <w:color w:val="000000"/>
          <w:sz w:val="31"/>
          <w:szCs w:val="31"/>
          <w:highlight w:val="none"/>
          <w:shd w:val="clear" w:color="auto" w:fill="FFFFFF"/>
        </w:rPr>
        <w:t>）</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披露环境信息，具体步骤包括：</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（一）登录该系统完成账号注册；</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kern w:val="0"/>
          <w:sz w:val="32"/>
          <w:szCs w:val="32"/>
          <w:highlight w:val="none"/>
        </w:rPr>
        <w:t>（二）每年1月1日至3月15日期间，新增年度报告，披露上一年度1月1日至12月31日的环境信息，</w:t>
      </w:r>
      <w:r>
        <w:rPr>
          <w:rFonts w:hint="eastAsia" w:ascii="仿宋_GB2312" w:hAnsi="仿宋_GB2312" w:eastAsia="仿宋_GB2312" w:cs="仿宋_GB2312"/>
          <w:color w:val="000000" w:themeColor="text1"/>
          <w:sz w:val="32"/>
          <w:szCs w:val="32"/>
          <w:highlight w:val="none"/>
          <w14:textFill>
            <w14:solidFill>
              <w14:schemeClr w14:val="tx1"/>
            </w14:solidFill>
          </w14:textFill>
        </w:rPr>
        <w:t>填报步骤可参考</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《实施手册》（附件</w:t>
      </w:r>
      <w:r>
        <w:rPr>
          <w:rFonts w:ascii="仿宋_GB2312" w:hAnsi="仿宋_GB2312" w:eastAsia="仿宋_GB2312" w:cs="仿宋_GB2312"/>
          <w:color w:val="000000" w:themeColor="text1"/>
          <w:kern w:val="0"/>
          <w:sz w:val="32"/>
          <w:szCs w:val="32"/>
          <w:highlight w:val="none"/>
          <w:lang w:val="en"/>
          <w14:textFill>
            <w14:solidFill>
              <w14:schemeClr w14:val="tx1"/>
            </w14:solidFill>
          </w14:textFill>
        </w:rPr>
        <w:t>3</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）中年度报告填报指南部分。</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highlight w:val="none"/>
        </w:rPr>
      </w:pPr>
      <w:r>
        <w:rPr>
          <w:rFonts w:hint="eastAsia" w:ascii="仿宋_GB2312" w:hAnsi="仿宋_GB2312" w:eastAsia="仿宋_GB2312" w:cs="仿宋_GB2312"/>
          <w:kern w:val="0"/>
          <w:sz w:val="32"/>
          <w:szCs w:val="32"/>
          <w:highlight w:val="none"/>
        </w:rPr>
        <w:t>（三）在生产经营过程中，若有收到含有本指引第九条相关环境信息的法律文书，须在收到法律文书后的五个工作日内，新增临时报告，披露相关环境信息，</w:t>
      </w:r>
      <w:r>
        <w:rPr>
          <w:rFonts w:hint="eastAsia" w:ascii="仿宋_GB2312" w:hAnsi="仿宋_GB2312" w:eastAsia="仿宋_GB2312" w:cs="仿宋_GB2312"/>
          <w:color w:val="000000" w:themeColor="text1"/>
          <w:sz w:val="32"/>
          <w:szCs w:val="32"/>
          <w:highlight w:val="none"/>
          <w14:textFill>
            <w14:solidFill>
              <w14:schemeClr w14:val="tx1"/>
            </w14:solidFill>
          </w14:textFill>
        </w:rPr>
        <w:t>填报步骤可参考</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《实施手册》（附件3）中临时报告填报指南部分。</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黑体" w:hAnsi="黑体" w:eastAsia="黑体" w:cs="黑体"/>
          <w:kern w:val="0"/>
          <w:sz w:val="32"/>
          <w:szCs w:val="32"/>
          <w:highlight w:val="none"/>
        </w:rPr>
        <w:t>第八条【年度报告内容】</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年度报告披露</w:t>
      </w:r>
      <w:r>
        <w:rPr>
          <w:rFonts w:hint="eastAsia" w:ascii="仿宋_GB2312" w:hAnsi="仿宋_GB2312" w:eastAsia="仿宋_GB2312" w:cs="仿宋_GB2312"/>
          <w:kern w:val="0"/>
          <w:sz w:val="32"/>
          <w:szCs w:val="32"/>
          <w:highlight w:val="none"/>
        </w:rPr>
        <w:t>内容包括通用信息和特有信息两类，具体如下：</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（一）通用信息共8项：</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1.企业基本信息，包括企业生产和生态环境保护等方面的基础信息；</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2.企业环境管理信息，包括生态环境行政许可（如环评审批、排污许可证</w:t>
      </w:r>
      <w:r>
        <w:rPr>
          <w:rFonts w:hint="eastAsia" w:ascii="仿宋_GB2312" w:hAnsi="仿宋_GB2312" w:eastAsia="仿宋_GB2312" w:cs="仿宋_GB2312"/>
          <w:sz w:val="32"/>
          <w:szCs w:val="32"/>
          <w:highlight w:val="none"/>
          <w:lang w:eastAsia="zh-CN"/>
        </w:rPr>
        <w:t>，详见附件</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）、环境保护税、环境污染责任保险及环保信用评价等；</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3.污染物产生、治理与排放信息，包括污染防治设施、污染物及有毒有害物质排放，工业固体废物和危险废物产生、贮存、流向、利用、处置及自行监测等；</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4.纳入碳排放交易权的企业应填写碳排放信息，包括排放量、排放设施等方面的信息，须与碳排放核查报告保持一致，未纳入的企业在该栏目填写“未纳入”；</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5.生态环境应急信息，包括突发环境事件应急预案、污染天气应急响应等；</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6.生态环境违法信息，需通过市生态环境局信用信息双公示平台（网址：https://ep.meeb.sz.gov.cn/ups/login）查询获取，且披露内容须与平台信息保持一致；</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7.本年度临时环境信息依法披露情况须根据当年度已披露的临时报告如实填写；</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8.法律法规规定的其他环境信息。</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（二）实施强制性清洁生产审核的企业在披露年度报告时，除通用信息外，还应披露以下两项特有信息：</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1.实施强制性清洁生产审核的原因；</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2.强制性清洁生产审核的实施情况、评估与验收结果，所披露内容须与审核绩效表格内容保持一致。</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（三）上市公司和发债企业在披露年度环境信息时，除通用信息外，还应披露以下两项特有信息：</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上市公司通过发行股票、债券、存托凭证、中期票据、短期融资券、超短期融资券、资产证券化、银行贷款等形式进行融资的，须披露年度融资形式、金额、投向等信息，以及融资所投项目的应对气候变化、生态环境保护等相关信息；</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发债企业通过发行股票、债券、存托凭证、可交换债、中期票据、短期融资券、超短期融资券、资产证券化、银行贷款等形式融资的，须披露年度融资形式、金额、投向等信息，以及融资所投项目的应对气候变化、生态环境保护等相关信息。</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华文仿宋" w:hAnsi="华文仿宋" w:eastAsia="华文仿宋" w:cs="华文仿宋"/>
          <w:b/>
          <w:bCs/>
          <w:sz w:val="28"/>
          <w:szCs w:val="28"/>
          <w:highlight w:val="none"/>
        </w:rPr>
      </w:pPr>
      <w:r>
        <w:rPr>
          <w:rFonts w:hint="eastAsia" w:ascii="仿宋_GB2312" w:hAnsi="仿宋_GB2312" w:eastAsia="仿宋_GB2312" w:cs="仿宋_GB2312"/>
          <w:sz w:val="32"/>
          <w:szCs w:val="32"/>
          <w:highlight w:val="none"/>
        </w:rPr>
        <w:t>上述内容须和证券交易所公示、企业年报、财报等信息保持一致。</w:t>
      </w:r>
    </w:p>
    <w:p>
      <w:pPr>
        <w:spacing w:line="560" w:lineRule="exact"/>
        <w:jc w:val="center"/>
        <w:rPr>
          <w:rFonts w:hint="eastAsia" w:ascii="华文仿宋" w:hAnsi="华文仿宋" w:eastAsia="华文仿宋" w:cs="华文仿宋"/>
          <w:b/>
          <w:bCs/>
          <w:sz w:val="28"/>
          <w:szCs w:val="28"/>
          <w:highlight w:val="none"/>
        </w:rPr>
      </w:pPr>
      <w:r>
        <w:rPr>
          <w:rFonts w:hint="eastAsia" w:ascii="华文仿宋" w:hAnsi="华文仿宋" w:eastAsia="华文仿宋" w:cs="华文仿宋"/>
          <w:b/>
          <w:bCs/>
          <w:sz w:val="28"/>
          <w:szCs w:val="28"/>
          <w:highlight w:val="none"/>
        </w:rPr>
        <w:t>表2 年报披露内容汇总表</w:t>
      </w:r>
    </w:p>
    <w:tbl>
      <w:tblPr>
        <w:tblStyle w:val="14"/>
        <w:tblW w:w="8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2"/>
        <w:gridCol w:w="3586"/>
        <w:gridCol w:w="33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892" w:type="dxa"/>
            <w:vMerge w:val="restart"/>
            <w:vAlign w:val="center"/>
          </w:tcPr>
          <w:p>
            <w:pPr>
              <w:jc w:val="center"/>
              <w:rPr>
                <w:rFonts w:hint="eastAsia" w:ascii="仿宋_GB2312" w:eastAsia="仿宋_GB2312"/>
                <w:b/>
                <w:bCs/>
                <w:sz w:val="24"/>
                <w:szCs w:val="24"/>
                <w:highlight w:val="none"/>
              </w:rPr>
            </w:pPr>
            <w:r>
              <w:rPr>
                <w:rFonts w:hint="eastAsia" w:ascii="仿宋_GB2312" w:eastAsia="仿宋_GB2312"/>
                <w:b/>
                <w:bCs/>
                <w:sz w:val="24"/>
                <w:szCs w:val="24"/>
                <w:highlight w:val="none"/>
              </w:rPr>
              <w:t>企业类型</w:t>
            </w:r>
          </w:p>
        </w:tc>
        <w:tc>
          <w:tcPr>
            <w:tcW w:w="6887" w:type="dxa"/>
            <w:gridSpan w:val="2"/>
            <w:vAlign w:val="center"/>
          </w:tcPr>
          <w:p>
            <w:pPr>
              <w:jc w:val="center"/>
              <w:rPr>
                <w:rFonts w:hint="eastAsia" w:ascii="仿宋_GB2312" w:eastAsia="仿宋_GB2312"/>
                <w:b/>
                <w:bCs/>
                <w:sz w:val="24"/>
                <w:szCs w:val="24"/>
                <w:highlight w:val="none"/>
              </w:rPr>
            </w:pPr>
            <w:r>
              <w:rPr>
                <w:rFonts w:hint="eastAsia" w:ascii="仿宋_GB2312" w:eastAsia="仿宋_GB2312"/>
                <w:b/>
                <w:bCs/>
                <w:sz w:val="24"/>
                <w:szCs w:val="24"/>
                <w:highlight w:val="none"/>
              </w:rPr>
              <w:t>披露内容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1892" w:type="dxa"/>
            <w:vMerge w:val="continue"/>
            <w:vAlign w:val="center"/>
          </w:tcPr>
          <w:p>
            <w:pPr>
              <w:jc w:val="center"/>
              <w:rPr>
                <w:rFonts w:hint="eastAsia" w:ascii="仿宋_GB2312" w:eastAsia="仿宋_GB2312"/>
                <w:b/>
                <w:bCs/>
                <w:sz w:val="24"/>
                <w:szCs w:val="24"/>
                <w:highlight w:val="none"/>
              </w:rPr>
            </w:pPr>
          </w:p>
        </w:tc>
        <w:tc>
          <w:tcPr>
            <w:tcW w:w="3586" w:type="dxa"/>
            <w:vAlign w:val="center"/>
          </w:tcPr>
          <w:p>
            <w:pPr>
              <w:jc w:val="center"/>
              <w:rPr>
                <w:rFonts w:hint="eastAsia" w:ascii="仿宋_GB2312" w:eastAsia="仿宋_GB2312"/>
                <w:b/>
                <w:bCs/>
                <w:sz w:val="24"/>
                <w:szCs w:val="24"/>
                <w:highlight w:val="none"/>
              </w:rPr>
            </w:pPr>
            <w:r>
              <w:rPr>
                <w:rFonts w:hint="eastAsia" w:ascii="仿宋_GB2312" w:eastAsia="仿宋_GB2312"/>
                <w:b/>
                <w:bCs/>
                <w:color w:val="000000" w:themeColor="text1"/>
                <w:sz w:val="24"/>
                <w:szCs w:val="24"/>
                <w:highlight w:val="none"/>
                <w14:textFill>
                  <w14:solidFill>
                    <w14:schemeClr w14:val="tx1"/>
                  </w14:solidFill>
                </w14:textFill>
              </w:rPr>
              <w:t>通用信息（8项）</w:t>
            </w:r>
          </w:p>
        </w:tc>
        <w:tc>
          <w:tcPr>
            <w:tcW w:w="3301" w:type="dxa"/>
            <w:vAlign w:val="center"/>
          </w:tcPr>
          <w:p>
            <w:pPr>
              <w:jc w:val="center"/>
              <w:rPr>
                <w:rFonts w:hint="eastAsia" w:ascii="仿宋_GB2312" w:eastAsia="仿宋_GB2312"/>
                <w:b/>
                <w:bCs/>
                <w:sz w:val="24"/>
                <w:szCs w:val="24"/>
                <w:highlight w:val="none"/>
              </w:rPr>
            </w:pPr>
            <w:r>
              <w:rPr>
                <w:rFonts w:hint="eastAsia" w:ascii="仿宋_GB2312" w:eastAsia="仿宋_GB2312"/>
                <w:b/>
                <w:bCs/>
                <w:sz w:val="24"/>
                <w:szCs w:val="24"/>
                <w:highlight w:val="none"/>
              </w:rPr>
              <w:t>特有信息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892" w:type="dxa"/>
            <w:vAlign w:val="center"/>
          </w:tcPr>
          <w:p>
            <w:pPr>
              <w:jc w:val="left"/>
              <w:rPr>
                <w:rFonts w:hint="eastAsia" w:ascii="仿宋_GB2312" w:eastAsia="仿宋_GB2312"/>
                <w:sz w:val="24"/>
                <w:szCs w:val="24"/>
                <w:highlight w:val="none"/>
              </w:rPr>
            </w:pPr>
            <w:r>
              <w:rPr>
                <w:rFonts w:hint="eastAsia" w:ascii="仿宋_GB2312" w:eastAsia="仿宋_GB2312"/>
                <w:sz w:val="24"/>
                <w:szCs w:val="24"/>
                <w:highlight w:val="none"/>
              </w:rPr>
              <w:t>（一）</w:t>
            </w:r>
            <w:r>
              <w:rPr>
                <w:rFonts w:hint="eastAsia" w:ascii="仿宋_GB2312" w:hAnsi="仿宋_GB2312" w:eastAsia="仿宋_GB2312" w:cs="仿宋_GB2312"/>
                <w:kern w:val="0"/>
                <w:sz w:val="24"/>
                <w:szCs w:val="24"/>
                <w:highlight w:val="none"/>
              </w:rPr>
              <w:t>环境监管重点单位</w:t>
            </w:r>
          </w:p>
        </w:tc>
        <w:tc>
          <w:tcPr>
            <w:tcW w:w="3586" w:type="dxa"/>
            <w:vMerge w:val="restart"/>
            <w:vAlign w:val="center"/>
          </w:tcPr>
          <w:p>
            <w:pPr>
              <w:jc w:val="left"/>
              <w:rPr>
                <w:rFonts w:hint="eastAsia" w:ascii="仿宋_GB2312" w:eastAsia="仿宋_GB2312"/>
                <w:sz w:val="24"/>
                <w:szCs w:val="24"/>
                <w:highlight w:val="none"/>
              </w:rPr>
            </w:pPr>
            <w:r>
              <w:rPr>
                <w:rFonts w:hint="eastAsia" w:ascii="仿宋_GB2312" w:eastAsia="仿宋_GB2312"/>
                <w:sz w:val="24"/>
                <w:szCs w:val="24"/>
                <w:highlight w:val="none"/>
              </w:rPr>
              <w:t>1.企业基本信息</w:t>
            </w:r>
          </w:p>
          <w:p>
            <w:pPr>
              <w:jc w:val="left"/>
              <w:rPr>
                <w:rFonts w:hint="eastAsia" w:ascii="仿宋_GB2312" w:eastAsia="仿宋_GB2312"/>
                <w:sz w:val="24"/>
                <w:szCs w:val="24"/>
                <w:highlight w:val="none"/>
              </w:rPr>
            </w:pPr>
            <w:r>
              <w:rPr>
                <w:rFonts w:hint="eastAsia" w:ascii="仿宋_GB2312" w:eastAsia="仿宋_GB2312"/>
                <w:sz w:val="24"/>
                <w:szCs w:val="24"/>
                <w:highlight w:val="none"/>
              </w:rPr>
              <w:t>2.企业环境管理信息</w:t>
            </w:r>
          </w:p>
          <w:p>
            <w:pPr>
              <w:jc w:val="left"/>
              <w:rPr>
                <w:rFonts w:hint="eastAsia" w:ascii="仿宋_GB2312" w:eastAsia="仿宋_GB2312"/>
                <w:sz w:val="24"/>
                <w:szCs w:val="24"/>
                <w:highlight w:val="none"/>
              </w:rPr>
            </w:pPr>
            <w:r>
              <w:rPr>
                <w:rFonts w:hint="eastAsia" w:ascii="仿宋_GB2312" w:eastAsia="仿宋_GB2312"/>
                <w:sz w:val="24"/>
                <w:szCs w:val="24"/>
                <w:highlight w:val="none"/>
              </w:rPr>
              <w:t>3.污染物产生、治理与排放信息</w:t>
            </w:r>
          </w:p>
          <w:p>
            <w:pPr>
              <w:jc w:val="left"/>
              <w:rPr>
                <w:rFonts w:hint="eastAsia" w:ascii="仿宋_GB2312" w:eastAsia="仿宋_GB2312"/>
                <w:sz w:val="24"/>
                <w:szCs w:val="24"/>
                <w:highlight w:val="none"/>
              </w:rPr>
            </w:pPr>
            <w:r>
              <w:rPr>
                <w:rFonts w:hint="eastAsia" w:ascii="仿宋_GB2312" w:eastAsia="仿宋_GB2312"/>
                <w:sz w:val="24"/>
                <w:szCs w:val="24"/>
                <w:highlight w:val="none"/>
              </w:rPr>
              <w:t>4.碳排放信息</w:t>
            </w:r>
          </w:p>
          <w:p>
            <w:pPr>
              <w:jc w:val="left"/>
              <w:rPr>
                <w:rFonts w:hint="eastAsia" w:ascii="仿宋_GB2312" w:eastAsia="仿宋_GB2312"/>
                <w:sz w:val="24"/>
                <w:szCs w:val="24"/>
                <w:highlight w:val="none"/>
              </w:rPr>
            </w:pPr>
            <w:r>
              <w:rPr>
                <w:rFonts w:hint="eastAsia" w:ascii="仿宋_GB2312" w:eastAsia="仿宋_GB2312"/>
                <w:sz w:val="24"/>
                <w:szCs w:val="24"/>
                <w:highlight w:val="none"/>
              </w:rPr>
              <w:t>5.生态环境应急信息</w:t>
            </w:r>
          </w:p>
          <w:p>
            <w:pPr>
              <w:jc w:val="left"/>
              <w:rPr>
                <w:rFonts w:hint="eastAsia" w:ascii="仿宋_GB2312" w:eastAsia="仿宋_GB2312"/>
                <w:sz w:val="24"/>
                <w:szCs w:val="24"/>
                <w:highlight w:val="none"/>
              </w:rPr>
            </w:pPr>
            <w:r>
              <w:rPr>
                <w:rFonts w:hint="eastAsia" w:ascii="仿宋_GB2312" w:eastAsia="仿宋_GB2312"/>
                <w:sz w:val="24"/>
                <w:szCs w:val="24"/>
                <w:highlight w:val="none"/>
              </w:rPr>
              <w:t>6.生态环境违法信息</w:t>
            </w:r>
          </w:p>
          <w:p>
            <w:pPr>
              <w:jc w:val="left"/>
              <w:rPr>
                <w:rFonts w:hint="eastAsia" w:ascii="仿宋_GB2312" w:eastAsia="仿宋_GB2312"/>
                <w:sz w:val="24"/>
                <w:szCs w:val="24"/>
                <w:highlight w:val="none"/>
              </w:rPr>
            </w:pPr>
            <w:r>
              <w:rPr>
                <w:rFonts w:hint="eastAsia" w:ascii="仿宋_GB2312" w:eastAsia="仿宋_GB2312"/>
                <w:sz w:val="24"/>
                <w:szCs w:val="24"/>
                <w:highlight w:val="none"/>
              </w:rPr>
              <w:t>7.本年度临时环境信息依法披露情况</w:t>
            </w:r>
          </w:p>
          <w:p>
            <w:pPr>
              <w:jc w:val="left"/>
              <w:rPr>
                <w:rFonts w:hint="eastAsia" w:ascii="仿宋_GB2312" w:eastAsia="仿宋_GB2312"/>
                <w:sz w:val="24"/>
                <w:szCs w:val="24"/>
                <w:highlight w:val="none"/>
              </w:rPr>
            </w:pPr>
            <w:r>
              <w:rPr>
                <w:rFonts w:hint="eastAsia" w:ascii="仿宋_GB2312" w:eastAsia="仿宋_GB2312"/>
                <w:sz w:val="24"/>
                <w:szCs w:val="24"/>
                <w:highlight w:val="none"/>
              </w:rPr>
              <w:t>8.法律法规规定的其他环境信息</w:t>
            </w:r>
          </w:p>
        </w:tc>
        <w:tc>
          <w:tcPr>
            <w:tcW w:w="3301" w:type="dxa"/>
            <w:vAlign w:val="center"/>
          </w:tcPr>
          <w:p>
            <w:pPr>
              <w:jc w:val="center"/>
              <w:rPr>
                <w:rFonts w:hint="eastAsia" w:ascii="仿宋_GB2312" w:eastAsia="仿宋_GB2312"/>
                <w:sz w:val="24"/>
                <w:szCs w:val="24"/>
                <w:highlight w:val="none"/>
              </w:rPr>
            </w:pPr>
            <w:r>
              <w:rPr>
                <w:rFonts w:hint="eastAsia" w:ascii="仿宋_GB2312" w:eastAsia="仿宋_GB2312"/>
                <w:sz w:val="24"/>
                <w:szCs w:val="24"/>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 w:hRule="atLeast"/>
        </w:trPr>
        <w:tc>
          <w:tcPr>
            <w:tcW w:w="1892" w:type="dxa"/>
            <w:vAlign w:val="center"/>
          </w:tcPr>
          <w:p>
            <w:pPr>
              <w:jc w:val="left"/>
              <w:rPr>
                <w:rFonts w:hint="eastAsia" w:ascii="仿宋_GB2312" w:eastAsia="仿宋_GB2312"/>
                <w:sz w:val="24"/>
                <w:szCs w:val="24"/>
                <w:highlight w:val="none"/>
              </w:rPr>
            </w:pPr>
            <w:r>
              <w:rPr>
                <w:rFonts w:hint="eastAsia" w:ascii="仿宋_GB2312" w:hAnsi="微软雅黑" w:eastAsia="仿宋_GB2312" w:cs="宋体"/>
                <w:color w:val="000000"/>
                <w:kern w:val="0"/>
                <w:sz w:val="24"/>
                <w:szCs w:val="24"/>
                <w:highlight w:val="none"/>
              </w:rPr>
              <w:t>（二）实施强制性清洁生产审核的企业</w:t>
            </w:r>
          </w:p>
        </w:tc>
        <w:tc>
          <w:tcPr>
            <w:tcW w:w="3586" w:type="dxa"/>
            <w:vMerge w:val="continue"/>
            <w:vAlign w:val="center"/>
          </w:tcPr>
          <w:p>
            <w:pPr>
              <w:jc w:val="left"/>
              <w:rPr>
                <w:rFonts w:hint="eastAsia" w:ascii="仿宋_GB2312" w:eastAsia="仿宋_GB2312"/>
                <w:sz w:val="24"/>
                <w:szCs w:val="24"/>
                <w:highlight w:val="none"/>
              </w:rPr>
            </w:pPr>
          </w:p>
        </w:tc>
        <w:tc>
          <w:tcPr>
            <w:tcW w:w="3301" w:type="dxa"/>
            <w:vAlign w:val="center"/>
          </w:tcPr>
          <w:p>
            <w:pPr>
              <w:jc w:val="left"/>
              <w:rPr>
                <w:rFonts w:hint="eastAsia" w:ascii="仿宋_GB2312" w:eastAsia="仿宋_GB2312"/>
                <w:sz w:val="24"/>
                <w:szCs w:val="24"/>
                <w:highlight w:val="none"/>
              </w:rPr>
            </w:pPr>
            <w:r>
              <w:rPr>
                <w:rFonts w:hint="eastAsia" w:ascii="仿宋_GB2312" w:eastAsia="仿宋_GB2312"/>
                <w:sz w:val="24"/>
                <w:szCs w:val="24"/>
                <w:highlight w:val="none"/>
              </w:rPr>
              <w:t>1.实施强制性清洁生产审核的原因</w:t>
            </w:r>
          </w:p>
          <w:p>
            <w:pPr>
              <w:jc w:val="left"/>
              <w:rPr>
                <w:rFonts w:hint="eastAsia" w:ascii="仿宋_GB2312" w:eastAsia="仿宋_GB2312"/>
                <w:sz w:val="24"/>
                <w:szCs w:val="24"/>
                <w:highlight w:val="none"/>
              </w:rPr>
            </w:pPr>
            <w:r>
              <w:rPr>
                <w:rFonts w:hint="eastAsia" w:ascii="仿宋_GB2312" w:eastAsia="仿宋_GB2312"/>
                <w:sz w:val="24"/>
                <w:szCs w:val="24"/>
                <w:highlight w:val="none"/>
              </w:rPr>
              <w:t>2.强制性清洁生产审核的实施情况、评估与验收结果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trPr>
        <w:tc>
          <w:tcPr>
            <w:tcW w:w="1892" w:type="dxa"/>
            <w:vAlign w:val="center"/>
          </w:tcPr>
          <w:p>
            <w:pPr>
              <w:jc w:val="left"/>
              <w:rPr>
                <w:rFonts w:hint="eastAsia" w:ascii="仿宋_GB2312" w:eastAsia="仿宋_GB2312"/>
                <w:sz w:val="24"/>
                <w:szCs w:val="24"/>
                <w:highlight w:val="none"/>
              </w:rPr>
            </w:pPr>
            <w:r>
              <w:rPr>
                <w:rFonts w:hint="eastAsia" w:ascii="仿宋_GB2312" w:hAnsi="微软雅黑" w:eastAsia="仿宋_GB2312" w:cs="宋体"/>
                <w:color w:val="000000"/>
                <w:kern w:val="0"/>
                <w:sz w:val="24"/>
                <w:szCs w:val="24"/>
                <w:highlight w:val="none"/>
              </w:rPr>
              <w:t>（三）符合规定的上市公司、发债企业</w:t>
            </w:r>
          </w:p>
        </w:tc>
        <w:tc>
          <w:tcPr>
            <w:tcW w:w="3586" w:type="dxa"/>
            <w:vMerge w:val="continue"/>
            <w:vAlign w:val="center"/>
          </w:tcPr>
          <w:p>
            <w:pPr>
              <w:jc w:val="left"/>
              <w:rPr>
                <w:rFonts w:hint="eastAsia" w:ascii="仿宋_GB2312" w:eastAsia="仿宋_GB2312"/>
                <w:sz w:val="24"/>
                <w:szCs w:val="24"/>
                <w:highlight w:val="none"/>
              </w:rPr>
            </w:pPr>
          </w:p>
        </w:tc>
        <w:tc>
          <w:tcPr>
            <w:tcW w:w="3301" w:type="dxa"/>
            <w:vAlign w:val="center"/>
          </w:tcPr>
          <w:p>
            <w:pPr>
              <w:jc w:val="left"/>
              <w:rPr>
                <w:rFonts w:hint="eastAsia" w:ascii="仿宋_GB2312" w:eastAsia="仿宋_GB2312"/>
                <w:sz w:val="24"/>
                <w:szCs w:val="24"/>
                <w:highlight w:val="none"/>
              </w:rPr>
            </w:pPr>
            <w:r>
              <w:rPr>
                <w:rFonts w:hint="eastAsia" w:ascii="仿宋_GB2312" w:eastAsia="仿宋_GB2312"/>
                <w:sz w:val="24"/>
                <w:szCs w:val="24"/>
                <w:highlight w:val="none"/>
              </w:rPr>
              <w:t>1.年度融资形式、金额、投向</w:t>
            </w:r>
          </w:p>
          <w:p>
            <w:pPr>
              <w:jc w:val="left"/>
              <w:rPr>
                <w:rFonts w:hint="eastAsia" w:ascii="仿宋_GB2312" w:eastAsia="仿宋_GB2312"/>
                <w:sz w:val="24"/>
                <w:szCs w:val="24"/>
                <w:highlight w:val="none"/>
              </w:rPr>
            </w:pPr>
            <w:r>
              <w:rPr>
                <w:rFonts w:hint="eastAsia" w:ascii="仿宋_GB2312" w:eastAsia="仿宋_GB2312"/>
                <w:sz w:val="24"/>
                <w:szCs w:val="24"/>
                <w:highlight w:val="none"/>
              </w:rPr>
              <w:t>2.融资所投项目的应对气候变化、生态环境保护等相关信息</w:t>
            </w:r>
          </w:p>
        </w:tc>
      </w:tr>
    </w:tbl>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黑体" w:hAnsi="黑体" w:eastAsia="黑体" w:cs="黑体"/>
          <w:kern w:val="0"/>
          <w:sz w:val="32"/>
          <w:szCs w:val="32"/>
          <w:highlight w:val="none"/>
        </w:rPr>
        <w:t>第九条【临时报告内容】</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临时报告披露</w:t>
      </w:r>
      <w:r>
        <w:rPr>
          <w:rFonts w:hint="eastAsia" w:ascii="仿宋_GB2312" w:hAnsi="仿宋_GB2312" w:eastAsia="仿宋_GB2312" w:cs="仿宋_GB2312"/>
          <w:kern w:val="0"/>
          <w:sz w:val="32"/>
          <w:szCs w:val="32"/>
          <w:highlight w:val="none"/>
        </w:rPr>
        <w:t>内容包括以下7项环境信息：</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（一）生态环境行政许可准予、变更、延续、撤销等信息，参考《生态环境部38项行政许可事项清单》（附件4）；</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（二）因生态环境违法行为受到行政处罚的信息，包括警告、通报批评、罚款、没收违法所得、没收非法财物、暂扣许可证件、等信息；</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（三）因生态环境违法行为，其法定代表人、主要负责人、直接负责的主管和其他直接责任人被依法处以行政拘留的信息；</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（四）因生态环境违法行为，企业或者其法定代表人、主要负责人、直接负责的主管和其他直接责任人被追究刑事责任的信息；</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（五）生态环境损害赔偿及协议信息；</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（六）企业发生突发环境事件的，应当依照有关法律法规规定披露相关信息；</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highlight w:val="none"/>
        </w:rPr>
      </w:pPr>
      <w:r>
        <w:rPr>
          <w:rFonts w:hint="eastAsia" w:ascii="仿宋_GB2312" w:hAnsi="仿宋_GB2312" w:eastAsia="仿宋_GB2312" w:cs="仿宋_GB2312"/>
          <w:kern w:val="0"/>
          <w:sz w:val="32"/>
          <w:szCs w:val="32"/>
          <w:highlight w:val="none"/>
        </w:rPr>
        <w:t>（七）根据实际情况对已披露的环境信息进行变更，需说明变更的事项和理由。</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Style w:val="25"/>
          <w:rFonts w:hint="eastAsia" w:ascii="方正黑体_GBK" w:hAnsi="方正黑体_GBK" w:eastAsia="方正黑体_GBK" w:cs="方正黑体_GBK"/>
          <w:b w:val="0"/>
          <w:color w:val="000000" w:themeColor="text1"/>
          <w:highlight w:val="none"/>
          <w14:textFill>
            <w14:solidFill>
              <w14:schemeClr w14:val="tx1"/>
            </w14:solidFill>
          </w14:textFill>
        </w:rPr>
      </w:pPr>
      <w:r>
        <w:rPr>
          <w:rFonts w:hint="eastAsia" w:ascii="黑体" w:hAnsi="黑体" w:eastAsia="黑体" w:cs="黑体"/>
          <w:kern w:val="0"/>
          <w:sz w:val="32"/>
          <w:szCs w:val="32"/>
          <w:highlight w:val="none"/>
        </w:rPr>
        <w:t>第十条【补充披露要求】</w:t>
      </w:r>
      <w:r>
        <w:rPr>
          <w:rFonts w:hint="eastAsia" w:ascii="仿宋_GB2312" w:hAnsi="仿宋_GB2312" w:eastAsia="仿宋_GB2312" w:cs="仿宋_GB2312"/>
          <w:kern w:val="0"/>
          <w:sz w:val="32"/>
          <w:szCs w:val="32"/>
          <w:highlight w:val="none"/>
        </w:rPr>
        <w:t>每年度新纳入企业名单的，若在本年度1月1日至企业名单公布前，存在本指引第九条相关环境信息的，</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应当在</w:t>
      </w:r>
      <w:r>
        <w:rPr>
          <w:rFonts w:hint="eastAsia" w:ascii="仿宋_GB2312" w:hAnsi="仿宋_GB2312" w:eastAsia="仿宋_GB2312" w:cs="仿宋_GB2312"/>
          <w:kern w:val="0"/>
          <w:sz w:val="32"/>
          <w:szCs w:val="32"/>
          <w:highlight w:val="none"/>
        </w:rPr>
        <w:t>企业名单公布后10个工作日内，以临时报告的形式披露该期间相关环境信息。</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Style w:val="25"/>
          <w:rFonts w:hint="eastAsia" w:ascii="方正黑体_GBK" w:hAnsi="方正黑体_GBK" w:eastAsia="方正黑体_GBK" w:cs="方正黑体_GBK"/>
          <w:bCs/>
          <w:color w:val="000000" w:themeColor="text1"/>
          <w:highlight w:val="none"/>
          <w14:textFill>
            <w14:solidFill>
              <w14:schemeClr w14:val="tx1"/>
            </w14:solidFill>
          </w14:textFill>
        </w:rPr>
      </w:pPr>
      <w:r>
        <w:rPr>
          <w:rFonts w:hint="eastAsia" w:ascii="黑体" w:hAnsi="黑体" w:eastAsia="黑体" w:cs="黑体"/>
          <w:kern w:val="0"/>
          <w:sz w:val="32"/>
          <w:szCs w:val="32"/>
          <w:highlight w:val="none"/>
        </w:rPr>
        <w:t>第十一条【自愿披露程序】</w:t>
      </w:r>
      <w:r>
        <w:rPr>
          <w:rFonts w:hint="eastAsia" w:ascii="仿宋_GB2312" w:hAnsi="仿宋_GB2312" w:eastAsia="仿宋_GB2312" w:cs="仿宋_GB2312"/>
          <w:kern w:val="0"/>
          <w:sz w:val="32"/>
          <w:szCs w:val="32"/>
          <w:highlight w:val="none"/>
        </w:rPr>
        <w:t>自愿披露企业按以下步骤开展</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环境信息披露：</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（一）通过填写企业信息表和签署企业环境信息自愿披露承诺书向属地管理局申请开通账号；</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（二）按照《实施手册》（附件3）在广东省生态环境厅企业环境信息依法披露系统（网址：https://www-app.gdeei.cn/stfw/index）完成账号注册；</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highlight w:val="none"/>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ascii="仿宋_GB2312" w:hAnsi="仿宋_GB2312" w:eastAsia="仿宋_GB2312" w:cs="仿宋_GB2312"/>
          <w:color w:val="000000" w:themeColor="text1"/>
          <w:sz w:val="32"/>
          <w:szCs w:val="32"/>
          <w:highlight w:val="none"/>
          <w:lang w:val="en"/>
          <w14:textFill>
            <w14:solidFill>
              <w14:schemeClr w14:val="tx1"/>
            </w14:solidFill>
          </w14:textFill>
        </w:rPr>
        <w:t>三</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ascii="仿宋_GB2312" w:hAnsi="仿宋_GB2312" w:eastAsia="仿宋_GB2312" w:cs="仿宋_GB2312"/>
          <w:color w:val="000000" w:themeColor="text1"/>
          <w:sz w:val="32"/>
          <w:szCs w:val="32"/>
          <w:highlight w:val="none"/>
          <w:lang w:val="en"/>
          <w14:textFill>
            <w14:solidFill>
              <w14:schemeClr w14:val="tx1"/>
            </w14:solidFill>
          </w14:textFill>
        </w:rPr>
        <w:t>完成账号注册后，</w:t>
      </w:r>
      <w:r>
        <w:rPr>
          <w:rFonts w:hint="eastAsia" w:ascii="仿宋_GB2312" w:hAnsi="仿宋_GB2312" w:eastAsia="仿宋_GB2312" w:cs="仿宋_GB2312"/>
          <w:color w:val="000000" w:themeColor="text1"/>
          <w:sz w:val="32"/>
          <w:szCs w:val="32"/>
          <w:highlight w:val="none"/>
          <w14:textFill>
            <w14:solidFill>
              <w14:schemeClr w14:val="tx1"/>
            </w14:solidFill>
          </w14:textFill>
        </w:rPr>
        <w:t>在</w:t>
      </w:r>
      <w:r>
        <w:rPr>
          <w:rFonts w:hint="eastAsia" w:ascii="仿宋_GB2312" w:hAnsi="仿宋_GB2312" w:eastAsia="仿宋_GB2312" w:cs="仿宋_GB2312"/>
          <w:kern w:val="0"/>
          <w:sz w:val="32"/>
          <w:szCs w:val="32"/>
          <w:highlight w:val="none"/>
        </w:rPr>
        <w:t>生产经营过程中，</w:t>
      </w:r>
      <w:r>
        <w:rPr>
          <w:rFonts w:hint="eastAsia" w:ascii="仿宋_GB2312" w:hAnsi="仿宋_GB2312" w:eastAsia="仿宋_GB2312" w:cs="仿宋_GB2312"/>
          <w:color w:val="000000" w:themeColor="text1"/>
          <w:sz w:val="32"/>
          <w:szCs w:val="32"/>
          <w:highlight w:val="none"/>
          <w14:textFill>
            <w14:solidFill>
              <w14:schemeClr w14:val="tx1"/>
            </w14:solidFill>
          </w14:textFill>
        </w:rPr>
        <w:t>若</w:t>
      </w:r>
      <w:r>
        <w:rPr>
          <w:rFonts w:hint="eastAsia" w:ascii="仿宋_GB2312" w:hAnsi="仿宋_GB2312" w:eastAsia="仿宋_GB2312" w:cs="仿宋_GB2312"/>
          <w:kern w:val="0"/>
          <w:sz w:val="32"/>
          <w:szCs w:val="32"/>
          <w:highlight w:val="none"/>
        </w:rPr>
        <w:t>有收到含有本指引第九条相关环境信息的法律文书，需在收到法律文书后的五个工作日内，新增临时报告，披露相关环境信息，填报步骤</w:t>
      </w:r>
      <w:r>
        <w:rPr>
          <w:rFonts w:hint="eastAsia" w:ascii="仿宋_GB2312" w:hAnsi="仿宋_GB2312" w:eastAsia="仿宋_GB2312" w:cs="仿宋_GB2312"/>
          <w:color w:val="000000" w:themeColor="text1"/>
          <w:sz w:val="32"/>
          <w:szCs w:val="32"/>
          <w:highlight w:val="none"/>
          <w14:textFill>
            <w14:solidFill>
              <w14:schemeClr w14:val="tx1"/>
            </w14:solidFill>
          </w14:textFill>
        </w:rPr>
        <w:t>可参考</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《实施手册》（附件3）中临时报告填报指南部分；</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kern w:val="0"/>
          <w:sz w:val="32"/>
          <w:szCs w:val="32"/>
          <w:highlight w:val="none"/>
        </w:rPr>
        <w:t>（</w:t>
      </w:r>
      <w:r>
        <w:rPr>
          <w:rFonts w:ascii="仿宋_GB2312" w:hAnsi="仿宋_GB2312" w:eastAsia="仿宋_GB2312" w:cs="仿宋_GB2312"/>
          <w:kern w:val="0"/>
          <w:sz w:val="32"/>
          <w:szCs w:val="32"/>
          <w:highlight w:val="none"/>
          <w:lang w:val="en"/>
        </w:rPr>
        <w:t>四</w:t>
      </w:r>
      <w:r>
        <w:rPr>
          <w:rFonts w:hint="eastAsia" w:ascii="仿宋_GB2312" w:hAnsi="仿宋_GB2312" w:eastAsia="仿宋_GB2312" w:cs="仿宋_GB2312"/>
          <w:kern w:val="0"/>
          <w:sz w:val="32"/>
          <w:szCs w:val="32"/>
          <w:highlight w:val="none"/>
        </w:rPr>
        <w:t>）</w:t>
      </w:r>
      <w:r>
        <w:rPr>
          <w:rFonts w:ascii="仿宋_GB2312" w:hAnsi="仿宋_GB2312" w:eastAsia="仿宋_GB2312" w:cs="仿宋_GB2312"/>
          <w:kern w:val="0"/>
          <w:sz w:val="32"/>
          <w:szCs w:val="32"/>
          <w:highlight w:val="none"/>
          <w:lang w:val="en"/>
        </w:rPr>
        <w:t>自成为自愿披露企业后次年开始，</w:t>
      </w:r>
      <w:r>
        <w:rPr>
          <w:rFonts w:hint="eastAsia" w:ascii="仿宋_GB2312" w:hAnsi="仿宋_GB2312" w:eastAsia="仿宋_GB2312" w:cs="仿宋_GB2312"/>
          <w:kern w:val="0"/>
          <w:sz w:val="32"/>
          <w:szCs w:val="32"/>
          <w:highlight w:val="none"/>
        </w:rPr>
        <w:t>在</w:t>
      </w:r>
      <w:r>
        <w:rPr>
          <w:rFonts w:hint="eastAsia" w:ascii="仿宋_GB2312" w:hAnsi="仿宋_GB2312" w:eastAsia="仿宋_GB2312" w:cs="仿宋_GB2312"/>
          <w:color w:val="000000" w:themeColor="text1"/>
          <w:sz w:val="32"/>
          <w:szCs w:val="32"/>
          <w:highlight w:val="none"/>
          <w14:textFill>
            <w14:solidFill>
              <w14:schemeClr w14:val="tx1"/>
            </w14:solidFill>
          </w14:textFill>
        </w:rPr>
        <w:t>每年1月1日至3月15日期间，新增年度报告，披露上一年度1月1日至12月31日期间本指引第八条规定的相关环境信息（若无相关环境信息，则填写“无”），填报步骤可参考</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《实施手册》（附件3）中年度报告填报指南部分；</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highlight w:val="none"/>
        </w:rPr>
      </w:pPr>
      <w:r>
        <w:rPr>
          <w:rFonts w:hint="eastAsia" w:ascii="仿宋_GB2312" w:hAnsi="仿宋_GB2312" w:eastAsia="仿宋_GB2312" w:cs="仿宋_GB2312"/>
          <w:sz w:val="32"/>
          <w:szCs w:val="32"/>
          <w:highlight w:val="none"/>
        </w:rPr>
        <w:t>（五）有退出意愿的企业向属地管理局提交申请书，申请撤销账号和退出自愿披露名单。管理局受理申请并审核后将退出名单报执法处，执法处根据名单向省厅申请撤销账号。撤销成功后，由管理局通知企业。</w:t>
      </w: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eastAsia" w:ascii="黑体" w:hAnsi="黑体" w:eastAsia="黑体" w:cs="黑体"/>
          <w:kern w:val="0"/>
          <w:sz w:val="32"/>
          <w:szCs w:val="32"/>
          <w:highlight w:val="none"/>
        </w:rPr>
      </w:pPr>
      <w:r>
        <w:rPr>
          <w:rFonts w:hint="eastAsia" w:ascii="黑体" w:hAnsi="黑体" w:eastAsia="黑体" w:cs="黑体"/>
          <w:sz w:val="32"/>
          <w:szCs w:val="32"/>
          <w:highlight w:val="none"/>
        </w:rPr>
        <w:t>第四章  披露要求</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 w:hAnsi="仿宋" w:eastAsia="仿宋" w:cs="仿宋"/>
          <w:color w:val="000000"/>
          <w:sz w:val="31"/>
          <w:szCs w:val="31"/>
          <w:highlight w:val="none"/>
          <w:shd w:val="clear" w:color="auto" w:fill="FFFFFF"/>
        </w:rPr>
      </w:pPr>
      <w:r>
        <w:rPr>
          <w:rFonts w:hint="eastAsia" w:ascii="黑体" w:hAnsi="黑体" w:eastAsia="黑体" w:cs="黑体"/>
          <w:kern w:val="0"/>
          <w:sz w:val="32"/>
          <w:szCs w:val="32"/>
          <w:highlight w:val="none"/>
        </w:rPr>
        <w:t>第十二条【数据规范】</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企业披露的环境信息相关数据和表述，须符合环境监测、环境统计等领域的标准及技术规范，优先采用符合国家监测规范的污染物监测数据、排污许可证执行报告数据等。</w:t>
      </w:r>
    </w:p>
    <w:p>
      <w:pPr>
        <w:pStyle w:val="11"/>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黑体" w:hAnsi="黑体" w:eastAsia="黑体" w:cs="黑体"/>
          <w:sz w:val="32"/>
          <w:szCs w:val="32"/>
          <w:highlight w:val="none"/>
        </w:rPr>
        <w:t>第十三条【信息保密】</w:t>
      </w:r>
      <w:r>
        <w:rPr>
          <w:rFonts w:hint="eastAsia" w:ascii="仿宋" w:hAnsi="仿宋" w:eastAsia="仿宋" w:cs="仿宋"/>
          <w:color w:val="000000"/>
          <w:sz w:val="31"/>
          <w:szCs w:val="31"/>
          <w:highlight w:val="none"/>
          <w:shd w:val="clear" w:color="auto" w:fill="FFFFFF"/>
        </w:rPr>
        <w:t>企业披露</w:t>
      </w:r>
      <w:r>
        <w:rPr>
          <w:rFonts w:hint="eastAsia" w:ascii="仿宋_GB2312" w:hAnsi="仿宋_GB2312" w:eastAsia="仿宋_GB2312" w:cs="仿宋_GB2312"/>
          <w:color w:val="000000" w:themeColor="text1"/>
          <w:sz w:val="32"/>
          <w:szCs w:val="32"/>
          <w:highlight w:val="none"/>
          <w14:textFill>
            <w14:solidFill>
              <w14:schemeClr w14:val="tx1"/>
            </w14:solidFill>
          </w14:textFill>
        </w:rPr>
        <w:t>的环境信息</w:t>
      </w:r>
      <w:r>
        <w:rPr>
          <w:rFonts w:hint="eastAsia" w:ascii="仿宋" w:hAnsi="仿宋" w:eastAsia="仿宋" w:cs="仿宋"/>
          <w:color w:val="000000"/>
          <w:sz w:val="31"/>
          <w:szCs w:val="31"/>
          <w:highlight w:val="none"/>
          <w:shd w:val="clear" w:color="auto" w:fill="FFFFFF"/>
        </w:rPr>
        <w:t>涉及国家秘密、战略高新技术和重要领域核心</w:t>
      </w:r>
      <w:r>
        <w:rPr>
          <w:rFonts w:hint="eastAsia" w:ascii="仿宋_GB2312" w:hAnsi="仿宋_GB2312" w:eastAsia="仿宋_GB2312" w:cs="仿宋_GB2312"/>
          <w:color w:val="000000" w:themeColor="text1"/>
          <w:sz w:val="32"/>
          <w:szCs w:val="32"/>
          <w:highlight w:val="none"/>
          <w14:textFill>
            <w14:solidFill>
              <w14:schemeClr w14:val="tx1"/>
            </w14:solidFill>
          </w14:textFill>
        </w:rPr>
        <w:t>关键技术、商业秘密的，须依照有关法律法规规定执行；涉及重大环境信息披露的，应按国家有关规定请示报告。</w:t>
      </w:r>
    </w:p>
    <w:p>
      <w:pPr>
        <w:pStyle w:val="11"/>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firstLine="620" w:firstLineChars="200"/>
        <w:textAlignment w:val="auto"/>
        <w:rPr>
          <w:rFonts w:hint="eastAsia"/>
          <w:highlight w:val="none"/>
        </w:rPr>
      </w:pPr>
      <w:r>
        <w:rPr>
          <w:rStyle w:val="16"/>
          <w:rFonts w:hint="eastAsia" w:ascii="黑体" w:eastAsia="黑体" w:cs="黑体"/>
          <w:b w:val="0"/>
          <w:color w:val="000000"/>
          <w:sz w:val="31"/>
          <w:szCs w:val="31"/>
          <w:highlight w:val="none"/>
          <w:shd w:val="clear" w:color="auto" w:fill="FFFFFF"/>
        </w:rPr>
        <w:t>第十四条</w:t>
      </w:r>
      <w:r>
        <w:rPr>
          <w:rFonts w:hint="eastAsia" w:ascii="黑体" w:hAnsi="黑体" w:eastAsia="黑体" w:cs="黑体"/>
          <w:sz w:val="32"/>
          <w:szCs w:val="32"/>
          <w:highlight w:val="none"/>
        </w:rPr>
        <w:t>【披露质量】</w:t>
      </w:r>
      <w:r>
        <w:rPr>
          <w:rFonts w:hint="eastAsia" w:ascii="仿宋_GB2312" w:hAnsi="仿宋_GB2312" w:eastAsia="仿宋_GB2312" w:cs="仿宋_GB2312"/>
          <w:color w:val="000000" w:themeColor="text1"/>
          <w:sz w:val="32"/>
          <w:szCs w:val="32"/>
          <w:highlight w:val="none"/>
          <w14:textFill>
            <w14:solidFill>
              <w14:schemeClr w14:val="tx1"/>
            </w14:solidFill>
          </w14:textFill>
        </w:rPr>
        <w:t>企业披露的环境信息应简明清晰、通俗易懂，严禁存在虚假记载、误导性陈述或重大遗漏等情形。</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黑体" w:hAnsi="黑体" w:eastAsia="黑体" w:cs="黑体"/>
          <w:kern w:val="0"/>
          <w:sz w:val="32"/>
          <w:szCs w:val="32"/>
          <w:highlight w:val="none"/>
        </w:rPr>
        <w:t>第十五条【其他规定】</w:t>
      </w:r>
    </w:p>
    <w:p>
      <w:pPr>
        <w:keepNext w:val="0"/>
        <w:keepLines w:val="0"/>
        <w:pageBreakBefore w:val="0"/>
        <w:kinsoku/>
        <w:wordWrap/>
        <w:overflowPunct/>
        <w:topLinePunct w:val="0"/>
        <w:autoSpaceDE/>
        <w:autoSpaceDN/>
        <w:bidi w:val="0"/>
        <w:adjustRightInd/>
        <w:spacing w:line="560" w:lineRule="exact"/>
        <w:ind w:firstLine="640"/>
        <w:textAlignment w:val="auto"/>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一）披露企业在披露过程中遇到问题，可通过查阅《企业环境信息依法披露知识问答》（附件5），或向属地管理局、执法监督处反馈、咨询，及时解决问题；企业应积极配合生态环境部门检查工作；对报告存在的问题及时整改，整改落实情况报属地管理局。</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（二）强制披露企业须按要求参加生态环境部门组织的专项培训。</w:t>
      </w:r>
    </w:p>
    <w:p>
      <w:pPr>
        <w:keepNext w:val="0"/>
        <w:keepLines w:val="0"/>
        <w:pageBreakBefore w:val="0"/>
        <w:widowControl/>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三）鼓励非强制披露的上市公司、发债企业披露环境信息，积极履行社会责任；鼓励披露企业在产品说明书或公众易关注的位置披露环境信息；对于自愿披露企业，优先推荐纳入生态环境监督执法正面清单，并在市级优秀企业评比、信用评价等工作中给予正向激励。</w:t>
      </w:r>
    </w:p>
    <w:p>
      <w:pPr>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textAlignment w:val="auto"/>
        <w:outlineLvl w:val="0"/>
        <w:rPr>
          <w:rFonts w:hint="eastAsia" w:ascii="黑体" w:hAnsi="黑体" w:eastAsia="黑体" w:cs="黑体"/>
          <w:sz w:val="32"/>
          <w:szCs w:val="32"/>
          <w:highlight w:val="none"/>
        </w:rPr>
      </w:pPr>
      <w:r>
        <w:rPr>
          <w:rFonts w:hint="eastAsia" w:ascii="黑体" w:hAnsi="黑体" w:eastAsia="黑体" w:cs="黑体"/>
          <w:sz w:val="32"/>
          <w:szCs w:val="32"/>
          <w:highlight w:val="none"/>
        </w:rPr>
        <w:t>第五章  附 则</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黑体" w:hAnsi="黑体" w:eastAsia="黑体" w:cs="黑体"/>
          <w:kern w:val="0"/>
          <w:sz w:val="32"/>
          <w:szCs w:val="32"/>
          <w:highlight w:val="none"/>
        </w:rPr>
        <w:t>第十六条【参照执行】</w:t>
      </w:r>
      <w:r>
        <w:rPr>
          <w:rFonts w:hint="eastAsia" w:ascii="仿宋_GB2312" w:hAnsi="仿宋_GB2312" w:eastAsia="仿宋_GB2312" w:cs="仿宋_GB2312"/>
          <w:color w:val="000000" w:themeColor="text1"/>
          <w:sz w:val="32"/>
          <w:szCs w:val="32"/>
          <w:highlight w:val="none"/>
          <w14:textFill>
            <w14:solidFill>
              <w14:schemeClr w14:val="tx1"/>
            </w14:solidFill>
          </w14:textFill>
        </w:rPr>
        <w:t> 事业单位依法开展环境信息披露的，可参照本</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指引</w:t>
      </w:r>
      <w:r>
        <w:rPr>
          <w:rFonts w:hint="eastAsia" w:ascii="仿宋_GB2312" w:hAnsi="仿宋_GB2312" w:eastAsia="仿宋_GB2312" w:cs="仿宋_GB2312"/>
          <w:color w:val="000000" w:themeColor="text1"/>
          <w:sz w:val="32"/>
          <w:szCs w:val="32"/>
          <w:highlight w:val="none"/>
          <w14:textFill>
            <w14:solidFill>
              <w14:schemeClr w14:val="tx1"/>
            </w14:solidFill>
          </w14:textFill>
        </w:rPr>
        <w:t>执</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行。</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黑体" w:hAnsi="黑体" w:eastAsia="黑体" w:cs="黑体"/>
          <w:kern w:val="0"/>
          <w:sz w:val="32"/>
          <w:szCs w:val="32"/>
          <w:highlight w:val="none"/>
        </w:rPr>
        <w:t>第十七条【实施时间】</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本指引自印发之日起实施，有效期3年。</w:t>
      </w:r>
    </w:p>
    <w:p>
      <w:pPr>
        <w:spacing w:line="560" w:lineRule="exact"/>
        <w:ind w:firstLine="640" w:firstLineChars="200"/>
        <w:rPr>
          <w:rFonts w:hint="eastAsia" w:ascii="仿宋_GB2312" w:hAnsi="仿宋_GB2312" w:eastAsia="仿宋_GB2312" w:cs="仿宋_GB2312"/>
          <w:kern w:val="0"/>
          <w:sz w:val="32"/>
          <w:szCs w:val="32"/>
          <w:highlight w:val="none"/>
        </w:rPr>
      </w:pPr>
    </w:p>
    <w:p>
      <w:pPr>
        <w:spacing w:line="560" w:lineRule="exact"/>
        <w:ind w:firstLine="640" w:firstLineChars="200"/>
        <w:outlineLvl w:val="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附件：1.企业信息表</w:t>
      </w:r>
    </w:p>
    <w:p>
      <w:pPr>
        <w:spacing w:line="560" w:lineRule="exact"/>
        <w:ind w:firstLine="1600" w:firstLineChars="500"/>
        <w:outlineLvl w:val="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2.企业环境信息自愿披露承诺书</w:t>
      </w:r>
    </w:p>
    <w:p>
      <w:pPr>
        <w:spacing w:line="560" w:lineRule="exact"/>
        <w:ind w:firstLine="1600" w:firstLineChars="500"/>
        <w:outlineLvl w:val="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3.深圳市企业环境信息依法披露实施手册</w:t>
      </w:r>
    </w:p>
    <w:p>
      <w:pPr>
        <w:spacing w:line="560" w:lineRule="exact"/>
        <w:ind w:firstLine="1600" w:firstLineChars="500"/>
        <w:outlineLvl w:val="0"/>
        <w:rPr>
          <w:rFonts w:hint="eastAsia" w:ascii="仿宋_GB2312" w:hAnsi="仿宋_GB2312" w:eastAsia="仿宋_GB2312" w:cs="仿宋_GB2312"/>
          <w:color w:val="000000" w:themeColor="text1"/>
          <w:kern w:val="0"/>
          <w:sz w:val="32"/>
          <w:szCs w:val="32"/>
          <w:highlight w:val="none"/>
          <w14:textFill>
            <w14:solidFill>
              <w14:schemeClr w14:val="tx1"/>
            </w14:solidFill>
          </w14:textFill>
        </w:rPr>
      </w:pPr>
      <w:r>
        <w:rPr>
          <w:rFonts w:ascii="仿宋_GB2312" w:hAnsi="仿宋_GB2312" w:eastAsia="仿宋_GB2312" w:cs="仿宋_GB2312"/>
          <w:kern w:val="0"/>
          <w:sz w:val="32"/>
          <w:szCs w:val="32"/>
          <w:highlight w:val="none"/>
          <w:lang w:val="en"/>
        </w:rPr>
        <w:t>4</w:t>
      </w:r>
      <w:r>
        <w:rPr>
          <w:rFonts w:hint="eastAsia" w:ascii="仿宋_GB2312" w:hAnsi="仿宋_GB2312" w:eastAsia="仿宋_GB2312" w:cs="仿宋_GB2312"/>
          <w:kern w:val="0"/>
          <w:sz w:val="32"/>
          <w:szCs w:val="32"/>
          <w:highlight w:val="none"/>
        </w:rPr>
        <w:t>.生态环境部38</w:t>
      </w:r>
      <w:r>
        <w:rPr>
          <w:rFonts w:ascii="仿宋_GB2312" w:hAnsi="仿宋_GB2312" w:eastAsia="仿宋_GB2312" w:cs="仿宋_GB2312"/>
          <w:kern w:val="0"/>
          <w:sz w:val="32"/>
          <w:szCs w:val="32"/>
          <w:highlight w:val="none"/>
        </w:rPr>
        <w:t>项行政许可事项清单</w:t>
      </w:r>
    </w:p>
    <w:p>
      <w:pPr>
        <w:spacing w:line="560" w:lineRule="exact"/>
        <w:ind w:firstLine="640" w:firstLineChars="200"/>
        <w:outlineLvl w:val="0"/>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 xml:space="preserve"> </w:t>
      </w:r>
      <w:r>
        <w:rPr>
          <w:rFonts w:ascii="仿宋_GB2312" w:hAnsi="仿宋_GB2312" w:eastAsia="仿宋_GB2312" w:cs="仿宋_GB2312"/>
          <w:kern w:val="0"/>
          <w:sz w:val="32"/>
          <w:szCs w:val="32"/>
          <w:highlight w:val="none"/>
        </w:rPr>
        <w:t xml:space="preserve">    </w:t>
      </w:r>
      <w:r>
        <w:rPr>
          <w:rFonts w:ascii="仿宋_GB2312" w:hAnsi="仿宋_GB2312" w:eastAsia="仿宋_GB2312" w:cs="仿宋_GB2312"/>
          <w:color w:val="000000" w:themeColor="text1"/>
          <w:kern w:val="0"/>
          <w:sz w:val="32"/>
          <w:szCs w:val="32"/>
          <w:highlight w:val="none"/>
          <w14:textFill>
            <w14:solidFill>
              <w14:schemeClr w14:val="tx1"/>
            </w14:solidFill>
          </w14:textFill>
        </w:rPr>
        <w:t xml:space="preserve"> </w:t>
      </w:r>
      <w:r>
        <w:rPr>
          <w:rFonts w:ascii="仿宋_GB2312" w:hAnsi="仿宋_GB2312" w:eastAsia="仿宋_GB2312" w:cs="仿宋_GB2312"/>
          <w:color w:val="000000" w:themeColor="text1"/>
          <w:kern w:val="0"/>
          <w:sz w:val="32"/>
          <w:szCs w:val="32"/>
          <w:highlight w:val="none"/>
          <w:lang w:val="en"/>
          <w14:textFill>
            <w14:solidFill>
              <w14:schemeClr w14:val="tx1"/>
            </w14:solidFill>
          </w14:textFill>
        </w:rPr>
        <w:t>5</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.企业环境信息依法披露知识问答</w:t>
      </w:r>
    </w:p>
    <w:sectPr>
      <w:headerReference r:id="rId3" w:type="default"/>
      <w:footerReference r:id="rId4" w:type="default"/>
      <w:footerReference r:id="rId5" w:type="even"/>
      <w:pgSz w:w="11906" w:h="16838"/>
      <w:pgMar w:top="1678" w:right="1474" w:bottom="1985" w:left="1588"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楷体">
    <w:altName w:val="方正楷体_GBK"/>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等线 Light">
    <w:altName w:val="华文仿宋"/>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微软雅黑">
    <w:altName w:val="方正黑体_GBK"/>
    <w:panose1 w:val="020B0503020204020204"/>
    <w:charset w:val="86"/>
    <w:family w:val="swiss"/>
    <w:pitch w:val="default"/>
    <w:sig w:usb0="00000000" w:usb1="00000000" w:usb2="00000016" w:usb3="00000000" w:csb0="0004001F" w:csb1="00000000"/>
  </w:font>
  <w:font w:name="仿宋">
    <w:altName w:val="方正仿宋_GBK"/>
    <w:panose1 w:val="02010609060101010101"/>
    <w:charset w:val="86"/>
    <w:family w:val="modern"/>
    <w:pitch w:val="default"/>
    <w:sig w:usb0="00000000" w:usb1="00000000"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等线">
    <w:altName w:val="URW Bookman"/>
    <w:panose1 w:val="00000000000000000000"/>
    <w:charset w:val="00"/>
    <w:family w:val="auto"/>
    <w:pitch w:val="default"/>
    <w:sig w:usb0="00000000" w:usb1="00000000" w:usb2="00000000" w:usb3="00000000" w:csb0="00000000" w:csb1="00000000"/>
  </w:font>
  <w:font w:name="URW Bookman">
    <w:panose1 w:val="00000400000000000000"/>
    <w:charset w:val="00"/>
    <w:family w:val="auto"/>
    <w:pitch w:val="default"/>
    <w:sig w:usb0="00000287" w:usb1="00000800" w:usb2="00000000" w:usb3="00000000" w:csb0="6000009F"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方正仿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EndPr>
      <w:rPr>
        <w:rFonts w:ascii="宋体" w:hAnsi="宋体" w:eastAsia="宋体"/>
        <w:sz w:val="28"/>
        <w:szCs w:val="28"/>
      </w:rPr>
    </w:sdtEndPr>
    <w:sdtContent>
      <w:p>
        <w:pPr>
          <w:pStyle w:val="7"/>
          <w:ind w:right="180"/>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p>
    </w:sdtContent>
  </w:sdt>
  <w:p>
    <w:pPr>
      <w:pStyle w:val="7"/>
      <w:tabs>
        <w:tab w:val="left" w:pos="6826"/>
        <w:tab w:val="clear" w:pos="4153"/>
        <w:tab w:val="clear" w:pos="8306"/>
      </w:tabs>
      <w:ind w:firstLine="360" w:firstLineChars="200"/>
      <w:rPr>
        <w:rFonts w:hint="eastAsia"/>
      </w:rPr>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5115303"/>
    </w:sdtPr>
    <w:sdtEndPr>
      <w:rPr>
        <w:rFonts w:ascii="宋体" w:hAnsi="宋体" w:eastAsia="宋体"/>
        <w:sz w:val="28"/>
        <w:szCs w:val="28"/>
      </w:rPr>
    </w:sdtEndPr>
    <w:sdtContent>
      <w:p>
        <w:pPr>
          <w:pStyle w:val="7"/>
          <w:ind w:firstLine="180" w:firstLineChars="100"/>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p>
    </w:sdtContent>
  </w:sdt>
  <w:p>
    <w:pPr>
      <w:pStyle w:val="7"/>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right"/>
      <w:rPr>
        <w:rFonts w:hint="eastAsia"/>
      </w:rPr>
    </w:pPr>
  </w:p>
  <w:p>
    <w:pPr>
      <w:pStyle w:val="8"/>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true"/>
  <w:bordersDoNotSurroundFooter w:val="true"/>
  <w:documentProtection w:enforcement="0"/>
  <w:defaultTabStop w:val="420"/>
  <w:evenAndOddHeaders w:val="true"/>
  <w:drawingGridHorizontalSpacing w:val="105"/>
  <w:drawingGridVerticalSpacing w:val="156"/>
  <w:displayHorizontalDrawingGridEvery w:val="2"/>
  <w:displayVerticalDrawingGridEvery w:val="2"/>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RmYjgxMTc3ZTExOTk2ZjI4ZGZiNjE1ZGZkMjk2NGEifQ=="/>
  </w:docVars>
  <w:rsids>
    <w:rsidRoot w:val="00086E4F"/>
    <w:rsid w:val="000164E0"/>
    <w:rsid w:val="00024128"/>
    <w:rsid w:val="00053C27"/>
    <w:rsid w:val="00086E4F"/>
    <w:rsid w:val="00086F2E"/>
    <w:rsid w:val="000A475E"/>
    <w:rsid w:val="000C23F2"/>
    <w:rsid w:val="000C7C3E"/>
    <w:rsid w:val="001046A8"/>
    <w:rsid w:val="0013684F"/>
    <w:rsid w:val="00153329"/>
    <w:rsid w:val="00161131"/>
    <w:rsid w:val="001638FD"/>
    <w:rsid w:val="00164DE8"/>
    <w:rsid w:val="001742D9"/>
    <w:rsid w:val="001A56AB"/>
    <w:rsid w:val="001B1F7D"/>
    <w:rsid w:val="001F0FDB"/>
    <w:rsid w:val="001F6F68"/>
    <w:rsid w:val="002041A6"/>
    <w:rsid w:val="00212408"/>
    <w:rsid w:val="002457D4"/>
    <w:rsid w:val="0025084C"/>
    <w:rsid w:val="00252972"/>
    <w:rsid w:val="00284404"/>
    <w:rsid w:val="00293E52"/>
    <w:rsid w:val="00296C8B"/>
    <w:rsid w:val="002A30E3"/>
    <w:rsid w:val="002B6D06"/>
    <w:rsid w:val="002C4084"/>
    <w:rsid w:val="002F05FE"/>
    <w:rsid w:val="00304DF3"/>
    <w:rsid w:val="00307746"/>
    <w:rsid w:val="0032620A"/>
    <w:rsid w:val="003440C6"/>
    <w:rsid w:val="00347262"/>
    <w:rsid w:val="003562E4"/>
    <w:rsid w:val="0036413D"/>
    <w:rsid w:val="00392CAD"/>
    <w:rsid w:val="00393027"/>
    <w:rsid w:val="003E1760"/>
    <w:rsid w:val="004038D7"/>
    <w:rsid w:val="00404E9B"/>
    <w:rsid w:val="00422736"/>
    <w:rsid w:val="00431782"/>
    <w:rsid w:val="00431F2A"/>
    <w:rsid w:val="00444D59"/>
    <w:rsid w:val="0044552A"/>
    <w:rsid w:val="00447B0A"/>
    <w:rsid w:val="00451DDC"/>
    <w:rsid w:val="00457926"/>
    <w:rsid w:val="00463038"/>
    <w:rsid w:val="00472738"/>
    <w:rsid w:val="0047724E"/>
    <w:rsid w:val="004847A0"/>
    <w:rsid w:val="004B6A53"/>
    <w:rsid w:val="004C56EB"/>
    <w:rsid w:val="004C5A1D"/>
    <w:rsid w:val="004E0010"/>
    <w:rsid w:val="004E10F3"/>
    <w:rsid w:val="004E4DAF"/>
    <w:rsid w:val="00510EDD"/>
    <w:rsid w:val="005133FA"/>
    <w:rsid w:val="005279DF"/>
    <w:rsid w:val="00534CED"/>
    <w:rsid w:val="00574CAD"/>
    <w:rsid w:val="005922F9"/>
    <w:rsid w:val="005969F8"/>
    <w:rsid w:val="005F1E27"/>
    <w:rsid w:val="00603D45"/>
    <w:rsid w:val="006065C7"/>
    <w:rsid w:val="00654DFD"/>
    <w:rsid w:val="00677FF1"/>
    <w:rsid w:val="00680BFA"/>
    <w:rsid w:val="0069298B"/>
    <w:rsid w:val="006A11D9"/>
    <w:rsid w:val="006A1514"/>
    <w:rsid w:val="006E3D45"/>
    <w:rsid w:val="007025E6"/>
    <w:rsid w:val="00710413"/>
    <w:rsid w:val="0071225D"/>
    <w:rsid w:val="0071472A"/>
    <w:rsid w:val="00714943"/>
    <w:rsid w:val="00726273"/>
    <w:rsid w:val="00735131"/>
    <w:rsid w:val="00742261"/>
    <w:rsid w:val="00747CA4"/>
    <w:rsid w:val="0075638A"/>
    <w:rsid w:val="00756A8E"/>
    <w:rsid w:val="00757B56"/>
    <w:rsid w:val="00767957"/>
    <w:rsid w:val="00770AD6"/>
    <w:rsid w:val="00796617"/>
    <w:rsid w:val="007A6BA6"/>
    <w:rsid w:val="007D3C5E"/>
    <w:rsid w:val="007F2CEC"/>
    <w:rsid w:val="008167D3"/>
    <w:rsid w:val="00817A01"/>
    <w:rsid w:val="008270CF"/>
    <w:rsid w:val="00852067"/>
    <w:rsid w:val="00865652"/>
    <w:rsid w:val="0087368B"/>
    <w:rsid w:val="00877BF2"/>
    <w:rsid w:val="00891CEA"/>
    <w:rsid w:val="008A6F11"/>
    <w:rsid w:val="008C071F"/>
    <w:rsid w:val="008E0140"/>
    <w:rsid w:val="008E08A9"/>
    <w:rsid w:val="00902C3A"/>
    <w:rsid w:val="0090548F"/>
    <w:rsid w:val="009160A0"/>
    <w:rsid w:val="00924015"/>
    <w:rsid w:val="009324A1"/>
    <w:rsid w:val="0095354A"/>
    <w:rsid w:val="009618F0"/>
    <w:rsid w:val="00966B27"/>
    <w:rsid w:val="00973ABB"/>
    <w:rsid w:val="0099325B"/>
    <w:rsid w:val="009958E4"/>
    <w:rsid w:val="009E7005"/>
    <w:rsid w:val="009F68E0"/>
    <w:rsid w:val="00A02BD5"/>
    <w:rsid w:val="00A325A1"/>
    <w:rsid w:val="00A35592"/>
    <w:rsid w:val="00A50CF6"/>
    <w:rsid w:val="00A65828"/>
    <w:rsid w:val="00A73049"/>
    <w:rsid w:val="00A8503E"/>
    <w:rsid w:val="00A86812"/>
    <w:rsid w:val="00AB71E0"/>
    <w:rsid w:val="00AB7431"/>
    <w:rsid w:val="00AB7F77"/>
    <w:rsid w:val="00AC11FF"/>
    <w:rsid w:val="00AC3808"/>
    <w:rsid w:val="00AD519D"/>
    <w:rsid w:val="00AE5AEE"/>
    <w:rsid w:val="00AF178D"/>
    <w:rsid w:val="00B05601"/>
    <w:rsid w:val="00B17611"/>
    <w:rsid w:val="00B247AB"/>
    <w:rsid w:val="00B358B4"/>
    <w:rsid w:val="00B36C3B"/>
    <w:rsid w:val="00B56FEB"/>
    <w:rsid w:val="00B84CFB"/>
    <w:rsid w:val="00BC6871"/>
    <w:rsid w:val="00BD23A2"/>
    <w:rsid w:val="00BE5377"/>
    <w:rsid w:val="00C2701F"/>
    <w:rsid w:val="00C368C6"/>
    <w:rsid w:val="00C7033A"/>
    <w:rsid w:val="00C84372"/>
    <w:rsid w:val="00C97737"/>
    <w:rsid w:val="00CA3AA5"/>
    <w:rsid w:val="00CA6986"/>
    <w:rsid w:val="00CB76A1"/>
    <w:rsid w:val="00CC0B9B"/>
    <w:rsid w:val="00CE27A3"/>
    <w:rsid w:val="00CE3B15"/>
    <w:rsid w:val="00CF3D91"/>
    <w:rsid w:val="00D04DFD"/>
    <w:rsid w:val="00D137B1"/>
    <w:rsid w:val="00D154DC"/>
    <w:rsid w:val="00D32820"/>
    <w:rsid w:val="00D40332"/>
    <w:rsid w:val="00D46C84"/>
    <w:rsid w:val="00D6390B"/>
    <w:rsid w:val="00D751A3"/>
    <w:rsid w:val="00D81A5B"/>
    <w:rsid w:val="00D95214"/>
    <w:rsid w:val="00DB1AD0"/>
    <w:rsid w:val="00DB5B23"/>
    <w:rsid w:val="00DD01E8"/>
    <w:rsid w:val="00DD0243"/>
    <w:rsid w:val="00DD0E34"/>
    <w:rsid w:val="00DF3B0D"/>
    <w:rsid w:val="00E03F4C"/>
    <w:rsid w:val="00E33EC6"/>
    <w:rsid w:val="00E8659E"/>
    <w:rsid w:val="00E93890"/>
    <w:rsid w:val="00EA1CB5"/>
    <w:rsid w:val="00EB08E1"/>
    <w:rsid w:val="00ED3270"/>
    <w:rsid w:val="00EE054D"/>
    <w:rsid w:val="00EE355D"/>
    <w:rsid w:val="00F1135B"/>
    <w:rsid w:val="00F170C2"/>
    <w:rsid w:val="00F25F91"/>
    <w:rsid w:val="00F32627"/>
    <w:rsid w:val="00F35C55"/>
    <w:rsid w:val="00F41179"/>
    <w:rsid w:val="00F5699B"/>
    <w:rsid w:val="00F7613D"/>
    <w:rsid w:val="00F90D41"/>
    <w:rsid w:val="00FB1233"/>
    <w:rsid w:val="00FD5634"/>
    <w:rsid w:val="00FF5DAE"/>
    <w:rsid w:val="045F376F"/>
    <w:rsid w:val="074E7D0A"/>
    <w:rsid w:val="08CD2523"/>
    <w:rsid w:val="09C93FE3"/>
    <w:rsid w:val="0B7712E8"/>
    <w:rsid w:val="0BE91DB6"/>
    <w:rsid w:val="0CE518BD"/>
    <w:rsid w:val="0D8A3535"/>
    <w:rsid w:val="0E6B1C28"/>
    <w:rsid w:val="0F671B2C"/>
    <w:rsid w:val="12257ED3"/>
    <w:rsid w:val="12261759"/>
    <w:rsid w:val="13C769C8"/>
    <w:rsid w:val="13E56D45"/>
    <w:rsid w:val="177BE373"/>
    <w:rsid w:val="177EE0D5"/>
    <w:rsid w:val="17DF52CE"/>
    <w:rsid w:val="187C4D93"/>
    <w:rsid w:val="18EF843B"/>
    <w:rsid w:val="1BFD1B45"/>
    <w:rsid w:val="1BFF6B89"/>
    <w:rsid w:val="1C196DEF"/>
    <w:rsid w:val="1CD468F5"/>
    <w:rsid w:val="1D0F37C8"/>
    <w:rsid w:val="1DDC91D2"/>
    <w:rsid w:val="1DF61385"/>
    <w:rsid w:val="1ECF7261"/>
    <w:rsid w:val="1EEE7042"/>
    <w:rsid w:val="1EFD3F77"/>
    <w:rsid w:val="1FA57D86"/>
    <w:rsid w:val="1FAF5661"/>
    <w:rsid w:val="1FFD6F5B"/>
    <w:rsid w:val="20073A9D"/>
    <w:rsid w:val="22190680"/>
    <w:rsid w:val="23A9C781"/>
    <w:rsid w:val="245C47B5"/>
    <w:rsid w:val="25633CE3"/>
    <w:rsid w:val="27803296"/>
    <w:rsid w:val="29082877"/>
    <w:rsid w:val="297350E2"/>
    <w:rsid w:val="29F87F6A"/>
    <w:rsid w:val="2A963D40"/>
    <w:rsid w:val="2B244BFA"/>
    <w:rsid w:val="2B262911"/>
    <w:rsid w:val="2B7E14DB"/>
    <w:rsid w:val="2BE9F8A0"/>
    <w:rsid w:val="2C4F6CB5"/>
    <w:rsid w:val="2DC81391"/>
    <w:rsid w:val="2DCB21CD"/>
    <w:rsid w:val="2EC6434A"/>
    <w:rsid w:val="2EF20A87"/>
    <w:rsid w:val="2F7F6FD6"/>
    <w:rsid w:val="2FD32989"/>
    <w:rsid w:val="2FFB1278"/>
    <w:rsid w:val="2FFBF9A1"/>
    <w:rsid w:val="30A002BB"/>
    <w:rsid w:val="32242AD2"/>
    <w:rsid w:val="33F68B71"/>
    <w:rsid w:val="34FEE594"/>
    <w:rsid w:val="35BB217D"/>
    <w:rsid w:val="35FA6930"/>
    <w:rsid w:val="35FC2D48"/>
    <w:rsid w:val="36142C37"/>
    <w:rsid w:val="37605BDE"/>
    <w:rsid w:val="3776EE32"/>
    <w:rsid w:val="37B5A4AE"/>
    <w:rsid w:val="37DC0826"/>
    <w:rsid w:val="37FF3A92"/>
    <w:rsid w:val="38045A76"/>
    <w:rsid w:val="383FAF12"/>
    <w:rsid w:val="39FD12E3"/>
    <w:rsid w:val="39FD3908"/>
    <w:rsid w:val="3A4F1155"/>
    <w:rsid w:val="3AFF0AA8"/>
    <w:rsid w:val="3BC356B0"/>
    <w:rsid w:val="3BE60788"/>
    <w:rsid w:val="3D67188A"/>
    <w:rsid w:val="3D7A395E"/>
    <w:rsid w:val="3DAA114E"/>
    <w:rsid w:val="3DAF7AC7"/>
    <w:rsid w:val="3DDDBB34"/>
    <w:rsid w:val="3DE7737C"/>
    <w:rsid w:val="3E6DB101"/>
    <w:rsid w:val="3E7BF49A"/>
    <w:rsid w:val="3EFF994B"/>
    <w:rsid w:val="3F1ED1DC"/>
    <w:rsid w:val="3F473D81"/>
    <w:rsid w:val="3F7ED5D4"/>
    <w:rsid w:val="3FC5132B"/>
    <w:rsid w:val="3FEB5D8D"/>
    <w:rsid w:val="3FF9BD85"/>
    <w:rsid w:val="3FFF1BB4"/>
    <w:rsid w:val="41342D53"/>
    <w:rsid w:val="43686B13"/>
    <w:rsid w:val="4794A078"/>
    <w:rsid w:val="47DF52EB"/>
    <w:rsid w:val="48012915"/>
    <w:rsid w:val="48C43A71"/>
    <w:rsid w:val="4B1652E5"/>
    <w:rsid w:val="4BD6EF73"/>
    <w:rsid w:val="4C51283A"/>
    <w:rsid w:val="4CFDC621"/>
    <w:rsid w:val="4DBFEA0B"/>
    <w:rsid w:val="4F6BF03A"/>
    <w:rsid w:val="4FBEC4CF"/>
    <w:rsid w:val="4FDF7DE6"/>
    <w:rsid w:val="4FEE2496"/>
    <w:rsid w:val="501D3008"/>
    <w:rsid w:val="51871CD0"/>
    <w:rsid w:val="51FED7AB"/>
    <w:rsid w:val="52410A1E"/>
    <w:rsid w:val="52F57C29"/>
    <w:rsid w:val="537F1B15"/>
    <w:rsid w:val="55152B37"/>
    <w:rsid w:val="55252EE1"/>
    <w:rsid w:val="563F2196"/>
    <w:rsid w:val="56DFB501"/>
    <w:rsid w:val="56DFD195"/>
    <w:rsid w:val="57B7D91A"/>
    <w:rsid w:val="57F350BC"/>
    <w:rsid w:val="59DD74A4"/>
    <w:rsid w:val="5A600685"/>
    <w:rsid w:val="5A76A943"/>
    <w:rsid w:val="5A77C273"/>
    <w:rsid w:val="5B8F6EDB"/>
    <w:rsid w:val="5B94A615"/>
    <w:rsid w:val="5BD462C2"/>
    <w:rsid w:val="5BEBE5B3"/>
    <w:rsid w:val="5BFC7A2E"/>
    <w:rsid w:val="5CD7EF98"/>
    <w:rsid w:val="5CDD0680"/>
    <w:rsid w:val="5CDE496A"/>
    <w:rsid w:val="5CE77539"/>
    <w:rsid w:val="5CFBE78E"/>
    <w:rsid w:val="5D53C085"/>
    <w:rsid w:val="5DB376E2"/>
    <w:rsid w:val="5DBECEC9"/>
    <w:rsid w:val="5DF721D8"/>
    <w:rsid w:val="5DFF817C"/>
    <w:rsid w:val="5E723E03"/>
    <w:rsid w:val="5E9E9140"/>
    <w:rsid w:val="5EBDF035"/>
    <w:rsid w:val="5EFA7CCD"/>
    <w:rsid w:val="5EFDEC7D"/>
    <w:rsid w:val="5F16C98B"/>
    <w:rsid w:val="5F3FC3E1"/>
    <w:rsid w:val="5F7EDE9D"/>
    <w:rsid w:val="5F7F4625"/>
    <w:rsid w:val="5F9A372D"/>
    <w:rsid w:val="5FADC68F"/>
    <w:rsid w:val="5FB2C3BE"/>
    <w:rsid w:val="5FBA5DD0"/>
    <w:rsid w:val="5FDF5381"/>
    <w:rsid w:val="5FE71968"/>
    <w:rsid w:val="5FFB6580"/>
    <w:rsid w:val="5FFBB97A"/>
    <w:rsid w:val="5FFE1A9A"/>
    <w:rsid w:val="5FFFA2A5"/>
    <w:rsid w:val="5FFFFBEE"/>
    <w:rsid w:val="60D50DA7"/>
    <w:rsid w:val="613DDEB5"/>
    <w:rsid w:val="616C4737"/>
    <w:rsid w:val="625A07CF"/>
    <w:rsid w:val="64DF7D57"/>
    <w:rsid w:val="651947B7"/>
    <w:rsid w:val="656E4625"/>
    <w:rsid w:val="6719705B"/>
    <w:rsid w:val="67670B98"/>
    <w:rsid w:val="677B44EF"/>
    <w:rsid w:val="677BBB36"/>
    <w:rsid w:val="697FF3C1"/>
    <w:rsid w:val="6A3E96A0"/>
    <w:rsid w:val="6AFD34F6"/>
    <w:rsid w:val="6AFE40D5"/>
    <w:rsid w:val="6AFF2D05"/>
    <w:rsid w:val="6B7F4DB0"/>
    <w:rsid w:val="6BDD591A"/>
    <w:rsid w:val="6CB73EB4"/>
    <w:rsid w:val="6CDF8AD2"/>
    <w:rsid w:val="6D6F5552"/>
    <w:rsid w:val="6DB94781"/>
    <w:rsid w:val="6DE02BAE"/>
    <w:rsid w:val="6DE5F2E4"/>
    <w:rsid w:val="6DEF3AFE"/>
    <w:rsid w:val="6DF3366F"/>
    <w:rsid w:val="6E926950"/>
    <w:rsid w:val="6E9D9611"/>
    <w:rsid w:val="6EF9F6F4"/>
    <w:rsid w:val="6F759E44"/>
    <w:rsid w:val="6F7F140F"/>
    <w:rsid w:val="6F8313D1"/>
    <w:rsid w:val="6FAB8AB4"/>
    <w:rsid w:val="6FB5870D"/>
    <w:rsid w:val="6FBB27F8"/>
    <w:rsid w:val="6FBF9AE1"/>
    <w:rsid w:val="6FDEADF5"/>
    <w:rsid w:val="6FE14A62"/>
    <w:rsid w:val="6FE758BE"/>
    <w:rsid w:val="6FFF3B00"/>
    <w:rsid w:val="6FFF5108"/>
    <w:rsid w:val="703B5123"/>
    <w:rsid w:val="70FF645A"/>
    <w:rsid w:val="717F0753"/>
    <w:rsid w:val="71B969CE"/>
    <w:rsid w:val="71BFCD44"/>
    <w:rsid w:val="742C33B5"/>
    <w:rsid w:val="746EC9F1"/>
    <w:rsid w:val="74FC6F92"/>
    <w:rsid w:val="7568E099"/>
    <w:rsid w:val="757DE146"/>
    <w:rsid w:val="75BE95F7"/>
    <w:rsid w:val="75DE097E"/>
    <w:rsid w:val="761E51D4"/>
    <w:rsid w:val="767DE63C"/>
    <w:rsid w:val="76BD46B1"/>
    <w:rsid w:val="76FF8DD6"/>
    <w:rsid w:val="771D0F75"/>
    <w:rsid w:val="77BB4902"/>
    <w:rsid w:val="77BFC37F"/>
    <w:rsid w:val="77D55D21"/>
    <w:rsid w:val="77DFA7AF"/>
    <w:rsid w:val="77F19E56"/>
    <w:rsid w:val="77F595E8"/>
    <w:rsid w:val="77FBB858"/>
    <w:rsid w:val="77FDDD8F"/>
    <w:rsid w:val="77FF9310"/>
    <w:rsid w:val="77FFEA8D"/>
    <w:rsid w:val="790B20A3"/>
    <w:rsid w:val="7977B5DE"/>
    <w:rsid w:val="7979E56B"/>
    <w:rsid w:val="797B8A78"/>
    <w:rsid w:val="79AF8366"/>
    <w:rsid w:val="79BF38EA"/>
    <w:rsid w:val="79E5D83F"/>
    <w:rsid w:val="79FF4FD6"/>
    <w:rsid w:val="7AA37E55"/>
    <w:rsid w:val="7AE9EBE7"/>
    <w:rsid w:val="7AFA16EA"/>
    <w:rsid w:val="7AFD13FD"/>
    <w:rsid w:val="7B6A64C3"/>
    <w:rsid w:val="7B6FAE5E"/>
    <w:rsid w:val="7B77562A"/>
    <w:rsid w:val="7B7E9BF5"/>
    <w:rsid w:val="7B7FC867"/>
    <w:rsid w:val="7BB91ECD"/>
    <w:rsid w:val="7BC65045"/>
    <w:rsid w:val="7BEF9FDF"/>
    <w:rsid w:val="7BFB78FA"/>
    <w:rsid w:val="7BFF4916"/>
    <w:rsid w:val="7C3A6995"/>
    <w:rsid w:val="7C6DA84A"/>
    <w:rsid w:val="7C9E7224"/>
    <w:rsid w:val="7D6C21E4"/>
    <w:rsid w:val="7D6F4B17"/>
    <w:rsid w:val="7D7FA175"/>
    <w:rsid w:val="7DB37ADD"/>
    <w:rsid w:val="7DBBFC6E"/>
    <w:rsid w:val="7DBDAC1B"/>
    <w:rsid w:val="7DD032F0"/>
    <w:rsid w:val="7DDA67D9"/>
    <w:rsid w:val="7DF7F2EB"/>
    <w:rsid w:val="7DFFF409"/>
    <w:rsid w:val="7E3163C9"/>
    <w:rsid w:val="7E3F26D7"/>
    <w:rsid w:val="7E3FDEC0"/>
    <w:rsid w:val="7EDD01A0"/>
    <w:rsid w:val="7EDF29C1"/>
    <w:rsid w:val="7EDF2F72"/>
    <w:rsid w:val="7EDF5D48"/>
    <w:rsid w:val="7EFC9C11"/>
    <w:rsid w:val="7F0F63E1"/>
    <w:rsid w:val="7F3D6CB7"/>
    <w:rsid w:val="7F57F12B"/>
    <w:rsid w:val="7F678369"/>
    <w:rsid w:val="7F7D58EC"/>
    <w:rsid w:val="7F7D59AE"/>
    <w:rsid w:val="7F7F392E"/>
    <w:rsid w:val="7F8B9762"/>
    <w:rsid w:val="7F999C2B"/>
    <w:rsid w:val="7F9B428A"/>
    <w:rsid w:val="7F9E6873"/>
    <w:rsid w:val="7FAE74E3"/>
    <w:rsid w:val="7FBE7F16"/>
    <w:rsid w:val="7FBEDA0E"/>
    <w:rsid w:val="7FCB632D"/>
    <w:rsid w:val="7FDF200D"/>
    <w:rsid w:val="7FE734B5"/>
    <w:rsid w:val="7FEC8064"/>
    <w:rsid w:val="7FEEDAD3"/>
    <w:rsid w:val="7FF662DF"/>
    <w:rsid w:val="7FF781CD"/>
    <w:rsid w:val="7FFA4473"/>
    <w:rsid w:val="7FFDD25C"/>
    <w:rsid w:val="7FFDD7E5"/>
    <w:rsid w:val="7FFDEAEB"/>
    <w:rsid w:val="7FFF99D1"/>
    <w:rsid w:val="7FFFF70B"/>
    <w:rsid w:val="8758AB25"/>
    <w:rsid w:val="87BBFCE5"/>
    <w:rsid w:val="8DAF9BBB"/>
    <w:rsid w:val="8FAC35F3"/>
    <w:rsid w:val="8FC076DD"/>
    <w:rsid w:val="952F9EFB"/>
    <w:rsid w:val="96FC9E67"/>
    <w:rsid w:val="97FB8694"/>
    <w:rsid w:val="99BFF6EA"/>
    <w:rsid w:val="9BB5E29B"/>
    <w:rsid w:val="9CD7E6A2"/>
    <w:rsid w:val="9CF7FA2E"/>
    <w:rsid w:val="9D4B5CFF"/>
    <w:rsid w:val="9F458365"/>
    <w:rsid w:val="9FB2DCD7"/>
    <w:rsid w:val="9FD94E36"/>
    <w:rsid w:val="A38C0AD0"/>
    <w:rsid w:val="A77ED56E"/>
    <w:rsid w:val="AAFD5F1D"/>
    <w:rsid w:val="AD7E6D53"/>
    <w:rsid w:val="ADFBA739"/>
    <w:rsid w:val="AF5D75FD"/>
    <w:rsid w:val="AF6A80B7"/>
    <w:rsid w:val="AF7E07A4"/>
    <w:rsid w:val="AF87A4E9"/>
    <w:rsid w:val="AFB9B02C"/>
    <w:rsid w:val="AFDA9ABE"/>
    <w:rsid w:val="AFFB3CC6"/>
    <w:rsid w:val="AFFF322C"/>
    <w:rsid w:val="AFFFF694"/>
    <w:rsid w:val="B3CB84B4"/>
    <w:rsid w:val="B5D9F41B"/>
    <w:rsid w:val="B5FF5277"/>
    <w:rsid w:val="B66FAA69"/>
    <w:rsid w:val="B6EF6F88"/>
    <w:rsid w:val="B6F55417"/>
    <w:rsid w:val="B6FF0604"/>
    <w:rsid w:val="B76F0513"/>
    <w:rsid w:val="B8FB1927"/>
    <w:rsid w:val="B9CF9ADC"/>
    <w:rsid w:val="B9F121AA"/>
    <w:rsid w:val="BA7B23C6"/>
    <w:rsid w:val="BBFDF332"/>
    <w:rsid w:val="BBFF35EA"/>
    <w:rsid w:val="BD3FB136"/>
    <w:rsid w:val="BD5E50AF"/>
    <w:rsid w:val="BD7F7ED4"/>
    <w:rsid w:val="BDEEAE41"/>
    <w:rsid w:val="BEB734B6"/>
    <w:rsid w:val="BEE7887A"/>
    <w:rsid w:val="BEF37037"/>
    <w:rsid w:val="BEFD77AA"/>
    <w:rsid w:val="BF3B6BC7"/>
    <w:rsid w:val="BF757508"/>
    <w:rsid w:val="BFB4717C"/>
    <w:rsid w:val="BFC3A734"/>
    <w:rsid w:val="BFDCD297"/>
    <w:rsid w:val="BFDFC110"/>
    <w:rsid w:val="BFEDE8C0"/>
    <w:rsid w:val="BFEFDB4B"/>
    <w:rsid w:val="BFF7C7B5"/>
    <w:rsid w:val="BFFA86A0"/>
    <w:rsid w:val="BFFD243C"/>
    <w:rsid w:val="BFFD95DC"/>
    <w:rsid w:val="BFFF15DA"/>
    <w:rsid w:val="BFFFC2D6"/>
    <w:rsid w:val="C7BD9583"/>
    <w:rsid w:val="CABB307E"/>
    <w:rsid w:val="CF383B06"/>
    <w:rsid w:val="CFFF3B11"/>
    <w:rsid w:val="D2CF3D56"/>
    <w:rsid w:val="D2FD6499"/>
    <w:rsid w:val="D4FFD120"/>
    <w:rsid w:val="D5D68ABF"/>
    <w:rsid w:val="D6BFA966"/>
    <w:rsid w:val="D75F8649"/>
    <w:rsid w:val="D765B229"/>
    <w:rsid w:val="D7B91FBA"/>
    <w:rsid w:val="D7F72945"/>
    <w:rsid w:val="D7FAC49E"/>
    <w:rsid w:val="D7FC8769"/>
    <w:rsid w:val="D8F502F1"/>
    <w:rsid w:val="D8FA73A8"/>
    <w:rsid w:val="D9D77885"/>
    <w:rsid w:val="DAFB3FD3"/>
    <w:rsid w:val="DBDF9DE8"/>
    <w:rsid w:val="DC674303"/>
    <w:rsid w:val="DCFB92A3"/>
    <w:rsid w:val="DD971F6A"/>
    <w:rsid w:val="DDBF5DC4"/>
    <w:rsid w:val="DDC6C723"/>
    <w:rsid w:val="DE7F0102"/>
    <w:rsid w:val="DEFF3C85"/>
    <w:rsid w:val="DF3DB39C"/>
    <w:rsid w:val="DF47BC82"/>
    <w:rsid w:val="DF6F3058"/>
    <w:rsid w:val="DF7FAEC4"/>
    <w:rsid w:val="DF9A6B0A"/>
    <w:rsid w:val="DFAC697E"/>
    <w:rsid w:val="DFAD9E7F"/>
    <w:rsid w:val="DFAE4CD5"/>
    <w:rsid w:val="DFBF1442"/>
    <w:rsid w:val="DFCF9575"/>
    <w:rsid w:val="DFD735C9"/>
    <w:rsid w:val="DFF3DF68"/>
    <w:rsid w:val="DFF6F040"/>
    <w:rsid w:val="DFF7E9E8"/>
    <w:rsid w:val="DFFB4354"/>
    <w:rsid w:val="DFFDD4CB"/>
    <w:rsid w:val="DFFE3628"/>
    <w:rsid w:val="DFFF2E2A"/>
    <w:rsid w:val="DFFF9C9A"/>
    <w:rsid w:val="DFFFE231"/>
    <w:rsid w:val="E3CF6EA1"/>
    <w:rsid w:val="E3F5F04E"/>
    <w:rsid w:val="E5EEE641"/>
    <w:rsid w:val="E6D57462"/>
    <w:rsid w:val="E7EBD8CF"/>
    <w:rsid w:val="E7EFF01E"/>
    <w:rsid w:val="E7F95B36"/>
    <w:rsid w:val="E7FFDE02"/>
    <w:rsid w:val="E8FF8DEB"/>
    <w:rsid w:val="E9F71EFB"/>
    <w:rsid w:val="EAFFF9CF"/>
    <w:rsid w:val="EB77EC8F"/>
    <w:rsid w:val="EB7FFEB4"/>
    <w:rsid w:val="EDC4F537"/>
    <w:rsid w:val="EDD16301"/>
    <w:rsid w:val="EDFF401D"/>
    <w:rsid w:val="EEAD154F"/>
    <w:rsid w:val="EEC3AB55"/>
    <w:rsid w:val="EEF9DB15"/>
    <w:rsid w:val="EEFD407D"/>
    <w:rsid w:val="EF3E9D8C"/>
    <w:rsid w:val="EF776797"/>
    <w:rsid w:val="EF7B23DC"/>
    <w:rsid w:val="EF9ABB46"/>
    <w:rsid w:val="EFBA4967"/>
    <w:rsid w:val="EFBF3B24"/>
    <w:rsid w:val="EFD52761"/>
    <w:rsid w:val="EFDB7DAD"/>
    <w:rsid w:val="EFDB8AEC"/>
    <w:rsid w:val="EFF99D69"/>
    <w:rsid w:val="EFFE1F2A"/>
    <w:rsid w:val="EFFF99D8"/>
    <w:rsid w:val="EFFFA1A4"/>
    <w:rsid w:val="F15FEAA3"/>
    <w:rsid w:val="F17F5C67"/>
    <w:rsid w:val="F1954EE7"/>
    <w:rsid w:val="F1EF62D0"/>
    <w:rsid w:val="F1FFE275"/>
    <w:rsid w:val="F3DFE239"/>
    <w:rsid w:val="F3E330D3"/>
    <w:rsid w:val="F57B7751"/>
    <w:rsid w:val="F6CF30E0"/>
    <w:rsid w:val="F6FD55F0"/>
    <w:rsid w:val="F768CBF8"/>
    <w:rsid w:val="F7793BFF"/>
    <w:rsid w:val="F77DA267"/>
    <w:rsid w:val="F7AF66B2"/>
    <w:rsid w:val="F7B542B2"/>
    <w:rsid w:val="F7C4CF8D"/>
    <w:rsid w:val="F7DED399"/>
    <w:rsid w:val="F7EBDE9F"/>
    <w:rsid w:val="F7F7A57D"/>
    <w:rsid w:val="F7F7FA8B"/>
    <w:rsid w:val="F85E855A"/>
    <w:rsid w:val="F8AF083B"/>
    <w:rsid w:val="F8DD42C0"/>
    <w:rsid w:val="F8F5CE09"/>
    <w:rsid w:val="F9D67494"/>
    <w:rsid w:val="F9DB5AEC"/>
    <w:rsid w:val="F9FB9F43"/>
    <w:rsid w:val="FADBA907"/>
    <w:rsid w:val="FB95A551"/>
    <w:rsid w:val="FB9ABE5E"/>
    <w:rsid w:val="FBD32EB5"/>
    <w:rsid w:val="FBE7C90E"/>
    <w:rsid w:val="FBEBB550"/>
    <w:rsid w:val="FBEF3ADC"/>
    <w:rsid w:val="FC3C8A9F"/>
    <w:rsid w:val="FC6BA86E"/>
    <w:rsid w:val="FC9D7A63"/>
    <w:rsid w:val="FCB12173"/>
    <w:rsid w:val="FCC064ED"/>
    <w:rsid w:val="FD1E4B3E"/>
    <w:rsid w:val="FD731F34"/>
    <w:rsid w:val="FD7BAAF7"/>
    <w:rsid w:val="FDB1F6F4"/>
    <w:rsid w:val="FDDE1996"/>
    <w:rsid w:val="FDFD5683"/>
    <w:rsid w:val="FDFF08B7"/>
    <w:rsid w:val="FE49A638"/>
    <w:rsid w:val="FE6FB506"/>
    <w:rsid w:val="FE734873"/>
    <w:rsid w:val="FEAF1BCF"/>
    <w:rsid w:val="FEB6F25D"/>
    <w:rsid w:val="FEBB1F6F"/>
    <w:rsid w:val="FEBC411E"/>
    <w:rsid w:val="FEBE18DD"/>
    <w:rsid w:val="FED68FB5"/>
    <w:rsid w:val="FEDFF97C"/>
    <w:rsid w:val="FEE7B9BA"/>
    <w:rsid w:val="FEFBA9AC"/>
    <w:rsid w:val="FEFC86D6"/>
    <w:rsid w:val="FF17AC09"/>
    <w:rsid w:val="FF2EF3F3"/>
    <w:rsid w:val="FF3AAC35"/>
    <w:rsid w:val="FF3FEFAE"/>
    <w:rsid w:val="FF6CAFF9"/>
    <w:rsid w:val="FF712658"/>
    <w:rsid w:val="FF7E05C3"/>
    <w:rsid w:val="FF97FAE6"/>
    <w:rsid w:val="FF9FE431"/>
    <w:rsid w:val="FFAF7EB3"/>
    <w:rsid w:val="FFBD379C"/>
    <w:rsid w:val="FFCE482D"/>
    <w:rsid w:val="FFDC9721"/>
    <w:rsid w:val="FFDDE8FF"/>
    <w:rsid w:val="FFDE4068"/>
    <w:rsid w:val="FFDF6FEC"/>
    <w:rsid w:val="FFDFBB0E"/>
    <w:rsid w:val="FFE5D557"/>
    <w:rsid w:val="FFEC5289"/>
    <w:rsid w:val="FFEF0884"/>
    <w:rsid w:val="FFF304C9"/>
    <w:rsid w:val="FFF75424"/>
    <w:rsid w:val="FFF9D500"/>
    <w:rsid w:val="FFF9F1C8"/>
    <w:rsid w:val="FFFB4308"/>
    <w:rsid w:val="FFFEADA1"/>
    <w:rsid w:val="FFFF13DA"/>
    <w:rsid w:val="FFFF6A24"/>
    <w:rsid w:val="FFFF738F"/>
    <w:rsid w:val="FFFFD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0"/>
    <w:qFormat/>
    <w:uiPriority w:val="9"/>
    <w:pPr>
      <w:keepNext/>
      <w:keepLines/>
      <w:spacing w:before="340" w:after="330" w:line="700" w:lineRule="exact"/>
      <w:jc w:val="center"/>
      <w:outlineLvl w:val="0"/>
    </w:pPr>
    <w:rPr>
      <w:rFonts w:eastAsia="黑体"/>
      <w:kern w:val="44"/>
      <w:sz w:val="32"/>
    </w:rPr>
  </w:style>
  <w:style w:type="paragraph" w:styleId="4">
    <w:name w:val="heading 2"/>
    <w:basedOn w:val="1"/>
    <w:next w:val="1"/>
    <w:link w:val="25"/>
    <w:unhideWhenUsed/>
    <w:qFormat/>
    <w:uiPriority w:val="9"/>
    <w:pPr>
      <w:keepNext/>
      <w:keepLines/>
      <w:spacing w:before="260" w:after="260" w:line="413" w:lineRule="auto"/>
      <w:outlineLvl w:val="1"/>
    </w:pPr>
    <w:rPr>
      <w:rFonts w:ascii="Arial" w:hAnsi="Arial" w:eastAsia="楷体"/>
      <w:b/>
      <w:sz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1"/>
    <w:link w:val="29"/>
    <w:semiHidden/>
    <w:unhideWhenUsed/>
    <w:qFormat/>
    <w:uiPriority w:val="99"/>
    <w:pPr>
      <w:ind w:firstLine="420" w:firstLineChars="200"/>
    </w:pPr>
  </w:style>
  <w:style w:type="paragraph" w:styleId="5">
    <w:name w:val="annotation text"/>
    <w:basedOn w:val="1"/>
    <w:semiHidden/>
    <w:unhideWhenUsed/>
    <w:qFormat/>
    <w:uiPriority w:val="99"/>
    <w:pPr>
      <w:jc w:val="left"/>
    </w:pPr>
  </w:style>
  <w:style w:type="paragraph" w:styleId="6">
    <w:name w:val="Body Text Indent"/>
    <w:basedOn w:val="1"/>
    <w:link w:val="28"/>
    <w:semiHidden/>
    <w:unhideWhenUsed/>
    <w:qFormat/>
    <w:uiPriority w:val="99"/>
    <w:pPr>
      <w:spacing w:after="120" w:line="278" w:lineRule="auto"/>
      <w:ind w:left="420" w:leftChars="200"/>
    </w:pPr>
  </w:style>
  <w:style w:type="paragraph" w:styleId="7">
    <w:name w:val="footer"/>
    <w:basedOn w:val="1"/>
    <w:link w:val="23"/>
    <w:unhideWhenUsed/>
    <w:qFormat/>
    <w:uiPriority w:val="99"/>
    <w:pPr>
      <w:tabs>
        <w:tab w:val="center" w:pos="4153"/>
        <w:tab w:val="right" w:pos="8306"/>
      </w:tabs>
      <w:snapToGrid w:val="0"/>
      <w:jc w:val="left"/>
    </w:pPr>
    <w:rPr>
      <w:sz w:val="18"/>
      <w:szCs w:val="18"/>
    </w:rPr>
  </w:style>
  <w:style w:type="paragraph" w:styleId="8">
    <w:name w:val="header"/>
    <w:basedOn w:val="1"/>
    <w:link w:val="22"/>
    <w:unhideWhenUsed/>
    <w:qFormat/>
    <w:uiPriority w:val="99"/>
    <w:pPr>
      <w:tabs>
        <w:tab w:val="center" w:pos="4153"/>
        <w:tab w:val="right" w:pos="8306"/>
      </w:tabs>
      <w:snapToGrid w:val="0"/>
      <w:jc w:val="center"/>
    </w:pPr>
    <w:rPr>
      <w:sz w:val="18"/>
      <w:szCs w:val="18"/>
    </w:rPr>
  </w:style>
  <w:style w:type="paragraph" w:styleId="9">
    <w:name w:val="toc 1"/>
    <w:basedOn w:val="1"/>
    <w:next w:val="1"/>
    <w:unhideWhenUsed/>
    <w:qFormat/>
    <w:uiPriority w:val="39"/>
    <w:pPr>
      <w:tabs>
        <w:tab w:val="right" w:leader="dot" w:pos="8834"/>
      </w:tabs>
      <w:spacing w:after="160" w:line="278" w:lineRule="auto"/>
    </w:pPr>
    <w:rPr>
      <w:rFonts w:ascii="仿宋_GB2312" w:hAnsi="黑体" w:eastAsia="仿宋_GB2312"/>
      <w:sz w:val="32"/>
      <w:szCs w:val="32"/>
    </w:rPr>
  </w:style>
  <w:style w:type="paragraph" w:styleId="10">
    <w:name w:val="toc 2"/>
    <w:basedOn w:val="1"/>
    <w:next w:val="1"/>
    <w:semiHidden/>
    <w:unhideWhenUsed/>
    <w:qFormat/>
    <w:uiPriority w:val="39"/>
    <w:pPr>
      <w:spacing w:after="160" w:line="278" w:lineRule="auto"/>
      <w:ind w:left="420" w:leftChars="200"/>
    </w:pPr>
  </w:style>
  <w:style w:type="paragraph" w:styleId="11">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Title"/>
    <w:basedOn w:val="1"/>
    <w:next w:val="1"/>
    <w:qFormat/>
    <w:uiPriority w:val="0"/>
    <w:pPr>
      <w:spacing w:before="240" w:after="60"/>
      <w:jc w:val="center"/>
      <w:outlineLvl w:val="0"/>
    </w:pPr>
    <w:rPr>
      <w:rFonts w:ascii="Cambria" w:hAnsi="Cambria" w:eastAsia="宋体" w:cs="Times New Roman"/>
      <w:b/>
      <w:bCs/>
      <w:sz w:val="32"/>
      <w:szCs w:val="32"/>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22"/>
    <w:rPr>
      <w:b/>
    </w:rPr>
  </w:style>
  <w:style w:type="character" w:styleId="17">
    <w:name w:val="FollowedHyperlink"/>
    <w:basedOn w:val="15"/>
    <w:semiHidden/>
    <w:unhideWhenUsed/>
    <w:qFormat/>
    <w:uiPriority w:val="99"/>
    <w:rPr>
      <w:color w:val="800080"/>
      <w:u w:val="single"/>
    </w:rPr>
  </w:style>
  <w:style w:type="character" w:styleId="18">
    <w:name w:val="Hyperlink"/>
    <w:basedOn w:val="15"/>
    <w:unhideWhenUsed/>
    <w:qFormat/>
    <w:uiPriority w:val="99"/>
    <w:rPr>
      <w:color w:val="0563C1" w:themeColor="hyperlink"/>
      <w:u w:val="single"/>
      <w14:textFill>
        <w14:solidFill>
          <w14:schemeClr w14:val="hlink"/>
        </w14:solidFill>
      </w14:textFill>
    </w:rPr>
  </w:style>
  <w:style w:type="character" w:styleId="19">
    <w:name w:val="annotation reference"/>
    <w:basedOn w:val="15"/>
    <w:semiHidden/>
    <w:unhideWhenUsed/>
    <w:qFormat/>
    <w:uiPriority w:val="99"/>
    <w:rPr>
      <w:sz w:val="21"/>
      <w:szCs w:val="21"/>
    </w:rPr>
  </w:style>
  <w:style w:type="paragraph" w:styleId="20">
    <w:name w:val="List Paragraph"/>
    <w:basedOn w:val="1"/>
    <w:qFormat/>
    <w:uiPriority w:val="34"/>
    <w:pPr>
      <w:ind w:firstLine="420" w:firstLineChars="200"/>
    </w:pPr>
    <w:rPr>
      <w:rFonts w:eastAsia="仿宋_GB2312"/>
      <w:sz w:val="28"/>
    </w:rPr>
  </w:style>
  <w:style w:type="character" w:customStyle="1" w:styleId="21">
    <w:name w:val="未处理的提及1"/>
    <w:basedOn w:val="15"/>
    <w:semiHidden/>
    <w:unhideWhenUsed/>
    <w:qFormat/>
    <w:uiPriority w:val="99"/>
    <w:rPr>
      <w:color w:val="605E5C"/>
      <w:shd w:val="clear" w:color="auto" w:fill="E1DFDD"/>
    </w:rPr>
  </w:style>
  <w:style w:type="character" w:customStyle="1" w:styleId="22">
    <w:name w:val="页眉 字符"/>
    <w:basedOn w:val="15"/>
    <w:link w:val="8"/>
    <w:qFormat/>
    <w:uiPriority w:val="99"/>
    <w:rPr>
      <w:sz w:val="18"/>
      <w:szCs w:val="18"/>
    </w:rPr>
  </w:style>
  <w:style w:type="character" w:customStyle="1" w:styleId="23">
    <w:name w:val="页脚 字符"/>
    <w:basedOn w:val="15"/>
    <w:link w:val="7"/>
    <w:qFormat/>
    <w:uiPriority w:val="99"/>
    <w:rPr>
      <w:sz w:val="18"/>
      <w:szCs w:val="18"/>
    </w:rPr>
  </w:style>
  <w:style w:type="paragraph" w:customStyle="1" w:styleId="24">
    <w:name w:val="修订1"/>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25">
    <w:name w:val="标题 2 字符"/>
    <w:link w:val="4"/>
    <w:qFormat/>
    <w:uiPriority w:val="9"/>
    <w:rPr>
      <w:rFonts w:ascii="Arial" w:hAnsi="Arial" w:eastAsia="楷体"/>
      <w:b/>
      <w:sz w:val="32"/>
    </w:rPr>
  </w:style>
  <w:style w:type="paragraph" w:customStyle="1" w:styleId="26">
    <w:name w:val="修订2"/>
    <w:hidden/>
    <w:unhideWhenUsed/>
    <w:qFormat/>
    <w:uiPriority w:val="99"/>
    <w:rPr>
      <w:rFonts w:asciiTheme="minorHAnsi" w:hAnsiTheme="minorHAnsi" w:eastAsiaTheme="minorEastAsia" w:cstheme="minorBidi"/>
      <w:kern w:val="2"/>
      <w:sz w:val="21"/>
      <w:szCs w:val="22"/>
      <w:lang w:val="en-US" w:eastAsia="zh-CN" w:bidi="ar-SA"/>
    </w:rPr>
  </w:style>
  <w:style w:type="character" w:styleId="27">
    <w:name w:val="Placeholder Text"/>
    <w:basedOn w:val="15"/>
    <w:unhideWhenUsed/>
    <w:qFormat/>
    <w:uiPriority w:val="99"/>
    <w:rPr>
      <w:color w:val="666666"/>
    </w:rPr>
  </w:style>
  <w:style w:type="character" w:customStyle="1" w:styleId="28">
    <w:name w:val="正文文本缩进 字符"/>
    <w:basedOn w:val="15"/>
    <w:link w:val="6"/>
    <w:semiHidden/>
    <w:qFormat/>
    <w:uiPriority w:val="99"/>
    <w:rPr>
      <w:rFonts w:asciiTheme="minorHAnsi" w:hAnsiTheme="minorHAnsi" w:eastAsiaTheme="minorEastAsia" w:cstheme="minorBidi"/>
      <w:kern w:val="2"/>
      <w:sz w:val="21"/>
      <w:szCs w:val="22"/>
    </w:rPr>
  </w:style>
  <w:style w:type="character" w:customStyle="1" w:styleId="29">
    <w:name w:val="正文文本首行缩进 2 字符"/>
    <w:basedOn w:val="28"/>
    <w:link w:val="2"/>
    <w:semiHidden/>
    <w:qFormat/>
    <w:uiPriority w:val="99"/>
    <w:rPr>
      <w:rFonts w:asciiTheme="minorHAnsi" w:hAnsiTheme="minorHAnsi" w:eastAsiaTheme="minorEastAsia" w:cstheme="minorBidi"/>
      <w:kern w:val="2"/>
      <w:sz w:val="21"/>
      <w:szCs w:val="22"/>
    </w:rPr>
  </w:style>
  <w:style w:type="character" w:customStyle="1" w:styleId="30">
    <w:name w:val="标题 1 字符"/>
    <w:basedOn w:val="15"/>
    <w:link w:val="3"/>
    <w:qFormat/>
    <w:uiPriority w:val="9"/>
    <w:rPr>
      <w:rFonts w:eastAsia="黑体" w:asciiTheme="minorHAnsi" w:hAnsiTheme="minorHAnsi" w:cstheme="minorBidi"/>
      <w:kern w:val="44"/>
      <w:sz w:val="32"/>
      <w:szCs w:val="22"/>
    </w:rPr>
  </w:style>
  <w:style w:type="paragraph" w:customStyle="1" w:styleId="31">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color w:val="2F5597" w:themeColor="accent1" w:themeShade="BF"/>
      <w:kern w:val="0"/>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98</Pages>
  <Words>1252</Words>
  <Characters>1262</Characters>
  <Lines>232</Lines>
  <Paragraphs>65</Paragraphs>
  <TotalTime>58</TotalTime>
  <ScaleCrop>false</ScaleCrop>
  <LinksUpToDate>false</LinksUpToDate>
  <CharactersWithSpaces>1269</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2025-12-06T02:32:00Z</dcterms:created>
  <dc:creator>刘 国诚</dc:creator>
  <cp:lastModifiedBy>lingwei</cp:lastModifiedBy>
  <cp:lastPrinted>2025-11-22T11:22:00Z</cp:lastPrinted>
  <dcterms:modified xsi:type="dcterms:W3CDTF">2025-12-16T10:22:02Z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0D4A9F53C82D4723BAA094FD935D8149_13</vt:lpwstr>
  </property>
  <property fmtid="{D5CDD505-2E9C-101B-9397-08002B2CF9AE}" pid="4" name="KSOTemplateDocerSaveRecord">
    <vt:lpwstr>eyJoZGlkIjoiNDZhY2E5MTRiMjIwZmM5Yjk4ZmE3ZTQzMzhjOGYxYTkiLCJ1c2VySWQiOiIyNTIyODEzODUifQ==</vt:lpwstr>
  </property>
</Properties>
</file>