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pStyle w:val="32"/>
        <w:ind w:firstLine="640"/>
        <w:rPr>
          <w:rFonts w:hint="eastAsia"/>
          <w:color w:val="000000" w:themeColor="text1"/>
          <w14:textFill>
            <w14:solidFill>
              <w14:schemeClr w14:val="tx1"/>
            </w14:solidFill>
          </w14:textFill>
        </w:rPr>
      </w:pPr>
    </w:p>
    <w:p>
      <w:pPr>
        <w:pStyle w:val="32"/>
        <w:ind w:firstLine="640"/>
        <w:rPr>
          <w:rFonts w:hint="eastAsia"/>
          <w:color w:val="000000" w:themeColor="text1"/>
          <w14:textFill>
            <w14:solidFill>
              <w14:schemeClr w14:val="tx1"/>
            </w14:solidFill>
          </w14:textFill>
        </w:rPr>
      </w:pPr>
    </w:p>
    <w:p>
      <w:pPr>
        <w:pStyle w:val="32"/>
        <w:ind w:firstLine="640"/>
        <w:rPr>
          <w:rFonts w:hint="eastAsia"/>
          <w:color w:val="000000" w:themeColor="text1"/>
          <w14:textFill>
            <w14:solidFill>
              <w14:schemeClr w14:val="tx1"/>
            </w14:solidFill>
          </w14:textFill>
        </w:rPr>
      </w:pPr>
    </w:p>
    <w:p>
      <w:pPr>
        <w:pStyle w:val="32"/>
        <w:ind w:firstLine="640"/>
        <w:rPr>
          <w:rFonts w:hint="eastAsia"/>
          <w:color w:val="000000" w:themeColor="text1"/>
          <w14:textFill>
            <w14:solidFill>
              <w14:schemeClr w14:val="tx1"/>
            </w14:solidFill>
          </w14:textFill>
        </w:rPr>
      </w:pPr>
    </w:p>
    <w:p>
      <w:pPr>
        <w:pStyle w:val="32"/>
        <w:ind w:firstLine="640"/>
        <w:rPr>
          <w:rFonts w:hint="eastAsia"/>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5"/>
        <w:ind w:firstLine="420"/>
        <w:rPr>
          <w:rFonts w:hint="eastAsia" w:ascii="宋体" w:hAnsi="宋体" w:cs="宋体"/>
          <w:color w:val="000000" w:themeColor="text1"/>
          <w14:textFill>
            <w14:solidFill>
              <w14:schemeClr w14:val="tx1"/>
            </w14:solidFill>
          </w14:textFill>
        </w:rPr>
      </w:pPr>
    </w:p>
    <w:p>
      <w:pPr>
        <w:pStyle w:val="35"/>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招标编号：QH2026024</w:t>
      </w:r>
    </w:p>
    <w:p>
      <w:pPr>
        <w:pStyle w:val="35"/>
        <w:ind w:firstLine="420"/>
        <w:rPr>
          <w:rFonts w:hint="eastAsia" w:ascii="宋体" w:hAnsi="宋体" w:cs="宋体"/>
          <w:color w:val="000000" w:themeColor="text1"/>
          <w14:textFill>
            <w14:solidFill>
              <w14:schemeClr w14:val="tx1"/>
            </w14:solidFill>
          </w14:textFill>
        </w:rPr>
      </w:pPr>
    </w:p>
    <w:p>
      <w:pPr>
        <w:pStyle w:val="35"/>
        <w:ind w:firstLine="420"/>
        <w:rPr>
          <w:rFonts w:hint="eastAsia" w:ascii="宋体" w:hAnsi="宋体" w:cs="宋体"/>
          <w:color w:val="000000" w:themeColor="text1"/>
          <w14:textFill>
            <w14:solidFill>
              <w14:schemeClr w14:val="tx1"/>
            </w14:solidFill>
          </w14:textFill>
        </w:rPr>
      </w:pPr>
    </w:p>
    <w:p>
      <w:pPr>
        <w:pStyle w:val="35"/>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招标项目：2026年度前海企业所得税优惠产业界定服务项目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2026年</w:t>
      </w:r>
      <w:r>
        <w:rPr>
          <w:rFonts w:hint="eastAsia" w:ascii="宋体" w:hAnsi="宋体" w:cs="宋体"/>
          <w:b/>
          <w:bCs/>
          <w:color w:val="000000" w:themeColor="text1"/>
          <w:sz w:val="36"/>
          <w:szCs w:val="36"/>
          <w:lang w:val="en-US" w:eastAsia="zh-CN"/>
          <w14:textFill>
            <w14:solidFill>
              <w14:schemeClr w14:val="tx1"/>
            </w14:solidFill>
          </w14:textFill>
        </w:rPr>
        <w:t>4</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7"/>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关于享受对本国产品的政府采购支持政策的主体、价格扣除比例等事项的说明。</w:t>
      </w:r>
    </w:p>
    <w:p>
      <w:pPr>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1适用主体：国有企业、民营企业、外资企业等各类经营主体平等享受对本国产品的政府采购支持政策。</w:t>
      </w:r>
    </w:p>
    <w:p>
      <w:pPr>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关于同时满足中小企业扶持政策和对本国产品的支持政策的事项说明。</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20%-100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10%=70元。具体情形如下：</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上述支持政策不改变最终中标（成交）价格，政府采购合同仍按照中标（成交）供应商的报价签订。</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br w:type="textWrapping"/>
      </w:r>
    </w:p>
    <w:p>
      <w:pP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br w:type="page"/>
      </w:r>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6"/>
        <w:tabs>
          <w:tab w:val="right" w:leader="dot" w:pos="8306"/>
        </w:tabs>
        <w:spacing w:line="480" w:lineRule="auto"/>
        <w:rPr>
          <w:b/>
          <w:bCs/>
          <w:color w:val="000000" w:themeColor="text1"/>
          <w:sz w:val="24"/>
          <w:szCs w:val="32"/>
          <w14:textFill>
            <w14:solidFill>
              <w14:schemeClr w14:val="tx1"/>
            </w14:solidFill>
          </w14:textFill>
        </w:rPr>
      </w:pPr>
    </w:p>
    <w:p>
      <w:pPr>
        <w:pStyle w:val="16"/>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7</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11</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14</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6"/>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文件编码：0722-26FE6461SZF-1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2026年度前海企业所得税优惠产业界定服务项目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QH2026024</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2026年度前海企业所得税优惠产业界定服务项目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1.开展政策咨询服务。组织专家对前海企业开展常态化咨询辅导，全年开展不少于200次企业所得税优惠政策的面对面咨询辅导服务。</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2.组织开展界定评审。根据税务机关报送的2026年度界定企业名单，组织专家评审，依据</w:t>
            </w:r>
            <w:r>
              <w:rPr>
                <w:rFonts w:hint="eastAsia" w:asciiTheme="minorEastAsia" w:hAnsiTheme="minorEastAsia" w:eastAsiaTheme="minorEastAsia" w:cstheme="minorEastAsia"/>
                <w:snapToGrid w:val="0"/>
                <w:color w:val="000000" w:themeColor="text1"/>
                <w:sz w:val="24"/>
                <w:lang w:eastAsia="zh-CN"/>
                <w14:textFill>
                  <w14:solidFill>
                    <w14:schemeClr w14:val="tx1"/>
                  </w14:solidFill>
                </w14:textFill>
              </w:rPr>
              <w:t>财税</w:t>
            </w:r>
            <w:r>
              <w:rPr>
                <w:rFonts w:hint="eastAsia" w:asciiTheme="minorEastAsia" w:hAnsiTheme="minorEastAsia" w:eastAsiaTheme="minorEastAsia" w:cstheme="minorEastAsia"/>
                <w:snapToGrid w:val="0"/>
                <w:color w:val="000000" w:themeColor="text1"/>
                <w:sz w:val="24"/>
                <w14:textFill>
                  <w14:solidFill>
                    <w14:schemeClr w14:val="tx1"/>
                  </w14:solidFill>
                </w14:textFill>
              </w:rPr>
              <w:t>〔202</w:t>
            </w:r>
            <w:r>
              <w:rPr>
                <w:rFonts w:hint="eastAsia" w:asciiTheme="minorEastAsia" w:hAnsiTheme="minorEastAsia" w:eastAsiaTheme="minorEastAsia" w:cstheme="minorEastAsia"/>
                <w:snapToGrid w:val="0"/>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sz w:val="24"/>
                <w14:textFill>
                  <w14:solidFill>
                    <w14:schemeClr w14:val="tx1"/>
                  </w14:solidFill>
                </w14:textFill>
              </w:rPr>
              <w:t>〕3号文</w:t>
            </w:r>
            <w:r>
              <w:rPr>
                <w:rFonts w:hint="eastAsia" w:asciiTheme="minorEastAsia" w:hAnsiTheme="minorEastAsia" w:eastAsiaTheme="minorEastAsia" w:cstheme="minorEastAsia"/>
                <w:snapToGrid w:val="0"/>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财税〔2021〕30号文、深前海规〔2024〕19号文，对企业是否符合前海企业所得税优惠政策条件进行财务以及技术领域的专项评审，出具专家评审报告。预计需界定企业约为80家，按现代物流业、信息服务业、科技服务业、文化创意产业、商务服务业等五大产业分批次进行界定（其中涵盖跨产业情况），预计分16组进行（实际分组根据工作开展需要确定），每组匹配相应行业领域专家及财税专家，每组至少由3名行业专家、2名财税专家构成。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（支付上限）</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6,700.00（人民币伍拾万零陆仟柒佰元整）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2026年</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8</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：30时（北京时间）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前送达（现场递交或邮寄）至深圳市南山区前海深港合作区桂湾五路123号前海管理局前海大厦T1栋2313室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人：邓主任</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话：0755-88105385</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2"/>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本次投标为据实结算，本项目费用预算（支付上限）总共为506,700.00元。投标单价合计作为价格计算依据，</w:t>
            </w:r>
            <w:r>
              <w:rPr>
                <w:rFonts w:hint="eastAsia" w:ascii="宋体" w:hAnsi="宋体" w:cs="宋体"/>
                <w:color w:val="000000" w:themeColor="text1"/>
                <w:sz w:val="24"/>
                <w14:textFill>
                  <w14:solidFill>
                    <w14:schemeClr w14:val="tx1"/>
                  </w14:solidFill>
                </w14:textFill>
              </w:rPr>
              <w:t>投标单价不得超过对应上限价，服务费已包含投标人提供本项目服务的全部费用，项目服务费包括</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界定评审费用；2）评审组织费用；3）咨询辅导费用；4）本合同项下产生的一切税费。该费用包含本合同期限内组织16组专家（每组5人左右）对前海企业进行界定评审的服务费，在合同期限内开展80次以上界定咨询</w:t>
            </w:r>
            <w:r>
              <w:rPr>
                <w:rFonts w:ascii="宋体" w:hAnsi="宋体" w:cs="宋体"/>
                <w:color w:val="000000" w:themeColor="text1"/>
                <w:sz w:val="24"/>
                <w14:textFill>
                  <w14:solidFill>
                    <w14:schemeClr w14:val="tx1"/>
                  </w14:solidFill>
                </w14:textFill>
              </w:rPr>
              <w:t>辅导</w:t>
            </w:r>
            <w:r>
              <w:rPr>
                <w:rFonts w:hint="eastAsia" w:ascii="宋体" w:hAnsi="宋体" w:cs="宋体"/>
                <w:color w:val="000000" w:themeColor="text1"/>
                <w:sz w:val="24"/>
                <w14:textFill>
                  <w14:solidFill>
                    <w14:schemeClr w14:val="tx1"/>
                  </w14:solidFill>
                </w14:textFill>
              </w:rPr>
              <w:t>的服务费。若实际评审专家组未达到16组，或咨询辅导未达到200次，则根据实际工作情况所产生的界定评审费用、评审组织费用等据实结算，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8" w:name="_Toc28359086"/>
            <w:bookmarkStart w:id="9" w:name="_Toc28359009"/>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联系人：邓主任</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话：0755-88105385</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8"/>
            <w:bookmarkEnd w:id="9"/>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10"/>
            <w:bookmarkStart w:id="11"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2" w:name="_Toc10214"/>
      <w:r>
        <w:rPr>
          <w:rFonts w:hint="eastAsia" w:ascii="宋体" w:hAnsi="宋体" w:cs="宋体"/>
          <w:b/>
          <w:bCs/>
          <w:color w:val="000000" w:themeColor="text1"/>
          <w:sz w:val="24"/>
          <w14:textFill>
            <w14:solidFill>
              <w14:schemeClr w14:val="tx1"/>
            </w14:solidFill>
          </w14:textFill>
        </w:rPr>
        <w:t>投标须知</w:t>
      </w:r>
      <w:bookmarkEnd w:id="12"/>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1、本项目是深圳市前海深港现代服务业合作区管理局的2026年度前海企业所得税优惠产业界定服务项目。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3"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3"/>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4" w:name="_Toc20176"/>
      <w:r>
        <w:rPr>
          <w:rFonts w:hint="eastAsia" w:ascii="宋体" w:hAnsi="宋体" w:cs="宋体"/>
          <w:b/>
          <w:bCs/>
          <w:color w:val="000000" w:themeColor="text1"/>
          <w:sz w:val="24"/>
          <w14:textFill>
            <w14:solidFill>
              <w14:schemeClr w14:val="tx1"/>
            </w14:solidFill>
          </w14:textFill>
        </w:rPr>
        <w:t>评标程序</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w:t>
      </w:r>
      <w:bookmarkStart w:id="50" w:name="_GoBack"/>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bookmarkEnd w:id="50"/>
      <w:r>
        <w:rPr>
          <w:rFonts w:hint="eastAsia" w:ascii="宋体" w:hAnsi="宋体" w:cs="宋体"/>
          <w:color w:val="000000" w:themeColor="text1"/>
          <w:sz w:val="24"/>
          <w14:textFill>
            <w14:solidFill>
              <w14:schemeClr w14:val="tx1"/>
            </w14:solidFill>
          </w14:textFill>
        </w:rPr>
        <w:t>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八、采购代理机构就投标文件中的资格证明等内容对投标供应商进行资格审查。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十、</w:t>
      </w:r>
      <w:r>
        <w:rPr>
          <w:rFonts w:hint="eastAsia" w:ascii="宋体" w:hAnsi="宋体" w:cs="宋体"/>
          <w:color w:val="000000" w:themeColor="text1"/>
          <w:sz w:val="24"/>
          <w14:textFill>
            <w14:solidFill>
              <w14:schemeClr w14:val="tx1"/>
            </w14:solidFill>
          </w14:textFill>
        </w:rPr>
        <w:t>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1、评标委员会对各供应商的投标文件进行符合性审查，对未能通过符合性审查的投标文件作投标无效处理。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w:t>
      </w:r>
      <w:r>
        <w:rPr>
          <w:rFonts w:hint="eastAsia" w:ascii="宋体" w:hAnsi="宋体" w:cs="宋体"/>
          <w:color w:val="000000" w:themeColor="text1"/>
          <w:sz w:val="24"/>
          <w:lang w:val="en-US" w:eastAsia="zh-CN"/>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5" w:name="_Toc3567"/>
      <w:r>
        <w:rPr>
          <w:rFonts w:hint="eastAsia" w:ascii="宋体" w:hAnsi="宋体" w:cs="宋体"/>
          <w:b/>
          <w:bCs/>
          <w:color w:val="000000" w:themeColor="text1"/>
          <w:sz w:val="24"/>
          <w14:textFill>
            <w14:solidFill>
              <w14:schemeClr w14:val="tx1"/>
            </w14:solidFill>
          </w14:textFill>
        </w:rPr>
        <w:t>合同格式及合同条款</w:t>
      </w:r>
      <w:bookmarkEnd w:id="15"/>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6" w:name="_Toc100052414"/>
      <w:bookmarkStart w:id="17" w:name="_Toc84303603"/>
      <w:bookmarkStart w:id="18" w:name="_Toc73521680"/>
      <w:bookmarkStart w:id="19" w:name="_Toc73521592"/>
      <w:bookmarkStart w:id="20" w:name="_Toc73518163"/>
      <w:bookmarkStart w:id="21" w:name="_Toc101074886"/>
      <w:bookmarkStart w:id="22" w:name="_Toc73517685"/>
    </w:p>
    <w:bookmarkEnd w:id="16"/>
    <w:bookmarkEnd w:id="17"/>
    <w:bookmarkEnd w:id="18"/>
    <w:bookmarkEnd w:id="19"/>
    <w:bookmarkEnd w:id="20"/>
    <w:bookmarkEnd w:id="21"/>
    <w:bookmarkEnd w:id="22"/>
    <w:p>
      <w:pPr>
        <w:pStyle w:val="3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2026年度前海企业所得税优惠产业界定服务项目</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：2026年度前海企业所得税优惠产业界定服务项目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二〇二六年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深圳市前海深港合作区桂湾五路123号前海大厦T1栋23-25楼</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   】招标项目的中标结果，由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单位（以下简称乙方）为中标人。按照《中华人民共和国民法典》和《深圳经济特区政府采购条例》，经深圳市前海深港现代服务业合作区管理局（以下简称甲方）</w:t>
      </w:r>
      <w:r>
        <w:rPr>
          <w:rFonts w:ascii="宋体" w:hAnsi="宋体" w:cs="宋体"/>
          <w:color w:val="000000" w:themeColor="text1"/>
          <w:sz w:val="24"/>
          <w14:textFill>
            <w14:solidFill>
              <w14:schemeClr w14:val="tx1"/>
            </w14:solidFill>
          </w14:textFill>
        </w:rPr>
        <w:t>和乙方协商，就甲方委托乙方承担</w:t>
      </w:r>
      <w:r>
        <w:rPr>
          <w:rFonts w:ascii="宋体" w:hAnsi="宋体" w:cs="宋体"/>
          <w:color w:val="000000" w:themeColor="text1"/>
          <w:sz w:val="24"/>
          <w:u w:val="single"/>
          <w14:textFill>
            <w14:solidFill>
              <w14:schemeClr w14:val="tx1"/>
            </w14:solidFill>
          </w14:textFill>
        </w:rPr>
        <w:t xml:space="preserve"> 《202</w:t>
      </w:r>
      <w:r>
        <w:rPr>
          <w:rFonts w:hint="eastAsia" w:ascii="宋体" w:hAnsi="宋体" w:cs="宋体"/>
          <w:color w:val="000000" w:themeColor="text1"/>
          <w:sz w:val="24"/>
          <w:u w:val="single"/>
          <w14:textFill>
            <w14:solidFill>
              <w14:schemeClr w14:val="tx1"/>
            </w14:solidFill>
          </w14:textFill>
        </w:rPr>
        <w:t>6</w:t>
      </w:r>
      <w:r>
        <w:rPr>
          <w:rFonts w:ascii="宋体" w:hAnsi="宋体" w:cs="宋体"/>
          <w:color w:val="000000" w:themeColor="text1"/>
          <w:sz w:val="24"/>
          <w:u w:val="single"/>
          <w14:textFill>
            <w14:solidFill>
              <w14:schemeClr w14:val="tx1"/>
            </w14:solidFill>
          </w14:textFill>
        </w:rPr>
        <w:t xml:space="preserve">年度前海企业所得税优惠产业界定服务项目》 </w:t>
      </w:r>
      <w:r>
        <w:rPr>
          <w:rFonts w:ascii="宋体" w:hAnsi="宋体" w:cs="宋体"/>
          <w:color w:val="000000" w:themeColor="text1"/>
          <w:sz w:val="24"/>
          <w14:textFill>
            <w14:solidFill>
              <w14:schemeClr w14:val="tx1"/>
            </w14:solidFill>
          </w14:textFill>
        </w:rPr>
        <w:t>（以下简称本项目），达成以下合同条款</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项目名称：2026年度前海企业所得税优惠产业界定服务项目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1.项目概况：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1.1.开展政策咨询服务。组织专家对前海企业开展常态化咨询辅导，全年开展不少于200次企业所得税优惠政策的面对面咨询辅导服务。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1.2.组织开展界定评审。根据税务机关报送的2026年度界定企业名单，组织专家评审，依据</w:t>
      </w:r>
      <w:r>
        <w:rPr>
          <w:rFonts w:hint="eastAsia" w:asciiTheme="minorEastAsia" w:hAnsiTheme="minorEastAsia" w:eastAsiaTheme="minorEastAsia" w:cstheme="minorEastAsia"/>
          <w:snapToGrid w:val="0"/>
          <w:color w:val="000000" w:themeColor="text1"/>
          <w:sz w:val="24"/>
          <w:lang w:eastAsia="zh-CN"/>
          <w14:textFill>
            <w14:solidFill>
              <w14:schemeClr w14:val="tx1"/>
            </w14:solidFill>
          </w14:textFill>
        </w:rPr>
        <w:t>财税</w:t>
      </w:r>
      <w:r>
        <w:rPr>
          <w:rFonts w:hint="eastAsia" w:asciiTheme="minorEastAsia" w:hAnsiTheme="minorEastAsia" w:eastAsiaTheme="minorEastAsia" w:cstheme="minorEastAsia"/>
          <w:snapToGrid w:val="0"/>
          <w:color w:val="000000" w:themeColor="text1"/>
          <w:sz w:val="24"/>
          <w14:textFill>
            <w14:solidFill>
              <w14:schemeClr w14:val="tx1"/>
            </w14:solidFill>
          </w14:textFill>
        </w:rPr>
        <w:t>〔202</w:t>
      </w:r>
      <w:r>
        <w:rPr>
          <w:rFonts w:hint="eastAsia" w:asciiTheme="minorEastAsia" w:hAnsiTheme="minorEastAsia" w:eastAsiaTheme="minorEastAsia" w:cstheme="minorEastAsia"/>
          <w:snapToGrid w:val="0"/>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sz w:val="24"/>
          <w14:textFill>
            <w14:solidFill>
              <w14:schemeClr w14:val="tx1"/>
            </w14:solidFill>
          </w14:textFill>
        </w:rPr>
        <w:t>〕3号文</w:t>
      </w:r>
      <w:r>
        <w:rPr>
          <w:rFonts w:hint="eastAsia" w:asciiTheme="minorEastAsia" w:hAnsiTheme="minorEastAsia" w:eastAsiaTheme="minorEastAsia" w:cstheme="minorEastAsia"/>
          <w:snapToGrid w:val="0"/>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财税〔2021〕30号文、深前海规〔2024〕19号文，对企业是否符合前海企业所得税优惠政策条件进行财务以及技术领域的专项评审，出具专家评审报告。预计需界定企业约为80家，按现代物流业、信息服务业、科技服务业、文化创意产业、商务服务业等五大产业分批次进行界定（其中涵盖跨产业情况），预计分16组进行（实际分组根据工作开展需要确定），每组匹配相应行业领域专家及财税专家，每组至少由3名行业专家、2名财税专家构成。</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本服务有效期内，甲方委托乙方组织16组专家（每组5人左右）对前海合作区注册企业的企业所得税优惠产业界定项目进行评审以及开展约80次企业所得税界定咨询服务。具体如下：</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甲方委托乙方进行评审的企业是指于2026年被税务机关抽取，需对2025年纳税年度主营业务是否属于《前海深港现代服务业合作区企业所得税优惠目录（2021版）》（财税〔2021〕30号）进行界定的企业。甲方委托乙方开展咨询辅导的企业为前海合作区内注册，希望享受前海企业所得税优惠政策的企业。</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2.2.乙方应按照《财政部</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税务总局关于延续</w:t>
      </w:r>
      <w:r>
        <w:rPr>
          <w:rFonts w:hint="eastAsia" w:ascii="宋体" w:hAnsi="宋体" w:cs="宋体"/>
          <w:color w:val="000000" w:themeColor="text1"/>
          <w:sz w:val="24"/>
          <w:lang w:eastAsia="zh-CN"/>
          <w14:textFill>
            <w14:solidFill>
              <w14:schemeClr w14:val="tx1"/>
            </w14:solidFill>
          </w14:textFill>
        </w:rPr>
        <w:t>实施</w:t>
      </w:r>
      <w:r>
        <w:rPr>
          <w:rFonts w:hint="eastAsia" w:ascii="宋体" w:hAnsi="宋体" w:cs="宋体"/>
          <w:color w:val="000000" w:themeColor="text1"/>
          <w:sz w:val="24"/>
          <w14:textFill>
            <w14:solidFill>
              <w14:schemeClr w14:val="tx1"/>
            </w14:solidFill>
          </w14:textFill>
        </w:rPr>
        <w:t>前海深港现代服务业合作区企业所得税优惠政策的通知》（财税〔202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〕3号）、《财政部</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税务总局关于延续深圳前海深港现代服务业合作区企业所得税优惠政策的通知》（财税〔2021〕30号）、《深圳市前海管理局关于印发&lt;前海企业所得税优惠产业界定服务指引&gt;的通知》（深前海规〔2024〕19号）、《前海深港现代服务业合作区企业所得税优惠产业界定操作规程》（深前海〔2026〕17号）及其附件规定的标准和要求，对前海企业提供的产业界定申请材料进行审核并出具《评审报告》，《评审报告》中应包括但不限于界定结果、界定依据等。</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2.3.乙方应根据上述规定及合同约定，制定前海企业所得税优惠产业界定项目的评审操作规范，报甲方备案，并严格按照审核通过后的流程开展评审工作。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乙方应配备适应对应产业类别评审需要的评审专家参加评审，评审专家应具有与评审项目相匹配的行业从业经历或者专业背景，原则上，评审专家组组长应具有正高以上职称，评审专家组成员应具有副高以上职称，评审工作以书面审核为主，根据企业意愿，乙方可组织企业参加答辩。评审期间，经甲方同意，乙方可要求企业做出书面解释说明、补充相关材料或进行材料抽核。甲方组织开展现场核实时，乙方应按甲方要求予以配合。其中，专家审核时限可根据面谈所需时间进行相应顺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若甲方以分批的方式提供送审项目，乙方应在收齐甲方提供的每批次送审项目材料之日起10个工作日内将该批次《评审报告》以书面形式提交甲方，如确有特殊情况，经甲方书面同意，评审报告交付时间可以双方书面约定为准。每批次《评审报告》完成时限自甲方向乙方移交该批次项目材料之日的次日开始计算，各批次间不累计计算，在后批次的审核工作起算时间和审核时长不受在先批次审核工作的影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2.6.乙方提交的《评审报告》应包括该批次全部送审企业的产业及主营业务收入界定情况。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组织专家对前海企业开展常态化咨询辅导，全年开展不少于200次企业所得税优惠政策的面对面咨询辅导服务。辅导方式多样，可以同时面向多家企业开展线上和线下相结合的政策讲解活动，也可以由乙方组织专家对重点企业开展“一对一”服务，提供定制化咨询辅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服务期限、工作成果</w:t>
      </w:r>
      <w:r>
        <w:rPr>
          <w:rFonts w:hint="eastAsia" w:ascii="宋体" w:hAnsi="宋体" w:cs="宋体"/>
          <w:b/>
          <w:color w:val="000000" w:themeColor="text1"/>
          <w:sz w:val="24"/>
          <w14:textFill>
            <w14:solidFill>
              <w14:schemeClr w14:val="tx1"/>
            </w14:solidFill>
          </w14:textFill>
        </w:rPr>
        <w:t>及验收标准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自签署合同之日起至2026年12月31日止，乙方应按照约定时间完成相关工作。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2.工作成果</w:t>
      </w:r>
      <w:r>
        <w:rPr>
          <w:rFonts w:hint="eastAsia" w:ascii="宋体" w:hAnsi="宋体" w:cs="宋体"/>
          <w:bCs/>
          <w:color w:val="000000" w:themeColor="text1"/>
          <w:sz w:val="24"/>
          <w14:textFill>
            <w14:solidFill>
              <w14:schemeClr w14:val="tx1"/>
            </w14:solidFill>
          </w14:textFill>
        </w:rPr>
        <w:t>及验收标准</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2.1.2026年度《前海企业所得税优惠产业界定评审报告》，分别以书面形式（按甲方要求印制六份）和电子文件形式提交；</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2.2.本评审工作验收标准为乙方严格按照向甲方备案的评审操作规范开展评审工作，出具的评审报告能够完整且如实反映评审专家意见，对企业是否符合前海企业所得税优惠政策条件进行清晰阐述，并按要求完成政策咨询服务</w:t>
      </w:r>
      <w:r>
        <w:rPr>
          <w:rFonts w:hint="eastAsia" w:ascii="宋体" w:hAnsi="宋体" w:cs="宋体"/>
          <w:color w:val="000000" w:themeColor="text1"/>
          <w:sz w:val="24"/>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乙方完成全部合同义务并提交所有工作成果后，甲方应在收到完整验收资料后15个工作日内进行审查验收。验收合格的，甲方应出具书面验收合格确认书；如验收不合格，甲方应一次性书面说明理由，乙方应在10个工作日内完成整改并重新提请验收。最终成果验收合格的标志为甲方出具的书面验收合格确认书。</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1.所有提交给甲方的项目文件及相关资料的阶段性成果及最后文本，包括为履行服务范围所编制的计划和证明资料等，都属于甲方所有，乙方在提交给甲方之前应将上述资料进行整理归类和编制索引。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1.甲方有权向乙方询问评审工作进展及相关情况，并要求乙方在指定时间内做出答复。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2.甲方有权对乙方提交的最终成果等相关文件进行审核并提出修改建议。甲方有权对乙方提交的成果进行验收，并与税务主管部门等政府单位共享。</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3.甲方有权要求乙方组织评审专家对前海企业提供企业所得税优惠政策产业界定咨询服务。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4.甲方对乙方在委托权限范围内完成委托事项有指导、监督权利。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5.甲方应将评审工作所需相关档案资料、信息数据等移交给乙方，双方对甲方提供的委托材料在移交清单上进行签字确认。</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6.甲方按本合同约定的时间和方式向乙方支付服务费用。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7.甲方指定项目联系人：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1.乙方有权要求甲方按本合同约定的时间和方式支付服务费。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2.乙方应当严格按照《财政部</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税务总局关于延续</w:t>
      </w:r>
      <w:r>
        <w:rPr>
          <w:rFonts w:hint="eastAsia" w:ascii="宋体" w:hAnsi="宋体" w:cs="宋体"/>
          <w:color w:val="000000" w:themeColor="text1"/>
          <w:sz w:val="24"/>
          <w:lang w:eastAsia="zh-CN"/>
          <w14:textFill>
            <w14:solidFill>
              <w14:schemeClr w14:val="tx1"/>
            </w14:solidFill>
          </w14:textFill>
        </w:rPr>
        <w:t>实施</w:t>
      </w:r>
      <w:r>
        <w:rPr>
          <w:rFonts w:hint="eastAsia" w:ascii="宋体" w:hAnsi="宋体" w:cs="宋体"/>
          <w:color w:val="000000" w:themeColor="text1"/>
          <w:sz w:val="24"/>
          <w14:textFill>
            <w14:solidFill>
              <w14:schemeClr w14:val="tx1"/>
            </w14:solidFill>
          </w14:textFill>
        </w:rPr>
        <w:t>前海深港现代服务业合作区企业所得税优惠政策的通知》（财税〔202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〕3号）、《财政部 税务总局关于延续深圳前海深港现代服务业合作区企业所得税优惠政策的通知》（财税〔2021〕30号）、《深圳市前海管理局关于印发&lt;前海企业所得税优惠产业界定服务指引&gt;的通知》（深前海规〔2024〕19号）、《前海深港现代服务业合作区企业所得税优惠产业界定操作规程》（深前海〔2026〕17号）及其附件规定的标准和要求对相关企业进行评审和释疑解答，不应擅自做出扩充解释或者缩小解释。乙方应接受甲方对工作进展的询问、监督和指导，严格按本合同约定的内容、标准和期限完成评审工作，并向甲方提交成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3.根据甲方移交的送审企业清单及材料，按照本合同的相关要求完成评审工作。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4.乙方应根据甲方要求，对前海企业提供企业所得税优惠政策产业界定咨询服务。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指派专人按时完成本合同约定的工作。为保证项目成果的质量，乙方在合同履行期间，应按照本项目工作内容要求组织专家队伍，成立项目团队（详见附件）。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6.乙方根据甲方及项目申报单位提供的材料完成专家评审工作并出具《评审报告》，乙方对所出具的报告的合法性、真实性、公正性负责，但因项目申报单位存在造假情况的除外。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7.需要甲方参与或配合的工作，乙方应提前3个工作日书面通知甲方；甲方接到乙方通知后，因不参与或不配合乙方的工作导致乙方无法履行本合同义务的，乙方的义务履行期限可相应顺延。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8.因甲方未能在书面商定时间内向乙方提供评审所需的全部资料和信息的，双方经过协商可以进一步约定完成的日期，乙方的责任期也随之顺延。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9.乙方应采取必要措施配合甲方验收人员的工作，对于验收过程中发现的问题，乙方应在发现问题之日起3个工作日内进行改正。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11.乙方应独立完成本评审工作。未经甲方书面同意，乙方不得将本合同项下的权利和义务的全部或部分转让给任何第三方。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12.针对甲方就乙方提交的《评审报告》等相关文件提出的修改意见，乙方应当在甲方指定的修改时间内完成修改。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1、参加本项目的人员必须具有国家和有关部门规定的相应资质，项目团队成员</w:t>
      </w:r>
      <w:r>
        <w:rPr>
          <w:rFonts w:hint="eastAsia" w:ascii="宋体" w:hAnsi="宋体" w:cs="宋体"/>
          <w:color w:val="000000" w:themeColor="text1"/>
          <w:sz w:val="24"/>
          <w:lang w:eastAsia="zh-CN"/>
          <w14:textFill>
            <w14:solidFill>
              <w14:schemeClr w14:val="tx1"/>
            </w14:solidFill>
          </w14:textFill>
        </w:rPr>
        <w:t>（含项目负责人）</w:t>
      </w:r>
      <w:r>
        <w:rPr>
          <w:rFonts w:hint="eastAsia" w:ascii="宋体" w:hAnsi="宋体" w:cs="宋体"/>
          <w:color w:val="000000" w:themeColor="text1"/>
          <w:sz w:val="24"/>
          <w14:textFill>
            <w14:solidFill>
              <w14:schemeClr w14:val="tx1"/>
            </w14:solidFill>
          </w14:textFill>
        </w:rPr>
        <w:t>不少于5人，其中包含1名人员派驻服务。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2、参加本项目的人员配置必须与合同中的项目团队成员组成一致，若需调整需经甲方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w:t>
      </w:r>
      <w:r>
        <w:rPr>
          <w:rFonts w:ascii="宋体" w:hAnsi="宋体" w:cs="宋体"/>
          <w:b/>
          <w:bCs/>
          <w:color w:val="000000" w:themeColor="text1"/>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1.本合同支付单价合计为人民币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支付上限为人民币</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（大写：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。服务费已包含投标人提供本项目服务的全部费用，项目服务费包括</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界定评审费用</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评审组织费</w:t>
      </w:r>
      <w:r>
        <w:rPr>
          <w:rFonts w:hint="eastAsia" w:ascii="宋体" w:hAnsi="宋体" w:cs="宋体"/>
          <w:color w:val="000000" w:themeColor="text1"/>
          <w:sz w:val="24"/>
          <w14:textFill>
            <w14:solidFill>
              <w14:schemeClr w14:val="tx1"/>
            </w14:solidFill>
          </w14:textFill>
        </w:rPr>
        <w:t>用；（3）咨询辅导</w:t>
      </w:r>
      <w:r>
        <w:rPr>
          <w:rFonts w:ascii="宋体" w:hAnsi="宋体" w:cs="宋体"/>
          <w:color w:val="000000" w:themeColor="text1"/>
          <w:sz w:val="24"/>
          <w14:textFill>
            <w14:solidFill>
              <w14:schemeClr w14:val="tx1"/>
            </w14:solidFill>
          </w14:textFill>
        </w:rPr>
        <w:t>费</w:t>
      </w:r>
      <w:r>
        <w:rPr>
          <w:rFonts w:hint="eastAsia" w:ascii="宋体" w:hAnsi="宋体" w:cs="宋体"/>
          <w:color w:val="000000" w:themeColor="text1"/>
          <w:sz w:val="24"/>
          <w14:textFill>
            <w14:solidFill>
              <w14:schemeClr w14:val="tx1"/>
            </w14:solidFill>
          </w14:textFill>
        </w:rPr>
        <w:t>用；（4）本合同项下产生的一切税费，在合同实施期间，除另签补充合同外，不接受中标人以任何理由、任何名目提出增加费用的要求。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该费用包含本合同期限内组织</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组</w:t>
      </w:r>
      <w:r>
        <w:rPr>
          <w:rFonts w:hint="eastAsia" w:ascii="宋体" w:hAnsi="宋体" w:cs="宋体"/>
          <w:color w:val="000000" w:themeColor="text1"/>
          <w:sz w:val="24"/>
          <w14:textFill>
            <w14:solidFill>
              <w14:schemeClr w14:val="tx1"/>
            </w14:solidFill>
          </w14:textFill>
        </w:rPr>
        <w:t>专家（每组5人左右）对前海企业进行界定评审的服务费</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在合同期限内组织约80家企业开展评审的服务费。若实际评审专家组未达到16组，</w:t>
      </w:r>
      <w:r>
        <w:rPr>
          <w:rFonts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14:textFill>
            <w14:solidFill>
              <w14:schemeClr w14:val="tx1"/>
            </w14:solidFill>
          </w14:textFill>
        </w:rPr>
        <w:t>咨询</w:t>
      </w:r>
      <w:r>
        <w:rPr>
          <w:rFonts w:ascii="宋体" w:hAnsi="宋体" w:cs="宋体"/>
          <w:color w:val="000000" w:themeColor="text1"/>
          <w:sz w:val="24"/>
          <w14:textFill>
            <w14:solidFill>
              <w14:schemeClr w14:val="tx1"/>
            </w14:solidFill>
          </w14:textFill>
        </w:rPr>
        <w:t>辅导未达到</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0次，</w:t>
      </w:r>
      <w:r>
        <w:rPr>
          <w:rFonts w:hint="eastAsia" w:ascii="宋体" w:hAnsi="宋体" w:cs="宋体"/>
          <w:color w:val="000000" w:themeColor="text1"/>
          <w:sz w:val="24"/>
          <w14:textFill>
            <w14:solidFill>
              <w14:schemeClr w14:val="tx1"/>
            </w14:solidFill>
          </w14:textFill>
        </w:rPr>
        <w:t>则根据实际</w:t>
      </w:r>
      <w:r>
        <w:rPr>
          <w:rFonts w:ascii="宋体" w:hAnsi="宋体" w:cs="宋体"/>
          <w:color w:val="000000" w:themeColor="text1"/>
          <w:sz w:val="24"/>
          <w14:textFill>
            <w14:solidFill>
              <w14:schemeClr w14:val="tx1"/>
            </w14:solidFill>
          </w14:textFill>
        </w:rPr>
        <w:t>工作</w:t>
      </w:r>
      <w:r>
        <w:rPr>
          <w:rFonts w:hint="eastAsia" w:ascii="宋体" w:hAnsi="宋体" w:cs="宋体"/>
          <w:color w:val="000000" w:themeColor="text1"/>
          <w:sz w:val="24"/>
          <w14:textFill>
            <w14:solidFill>
              <w14:schemeClr w14:val="tx1"/>
            </w14:solidFill>
          </w14:textFill>
        </w:rPr>
        <w:t>情况所产生的界定评审费用、评审组织费用</w:t>
      </w:r>
      <w:r>
        <w:rPr>
          <w:rFonts w:ascii="宋体" w:hAnsi="宋体" w:cs="宋体"/>
          <w:color w:val="000000" w:themeColor="text1"/>
          <w:sz w:val="24"/>
          <w14:textFill>
            <w14:solidFill>
              <w14:schemeClr w14:val="tx1"/>
            </w14:solidFill>
          </w14:textFill>
        </w:rPr>
        <w:t>等</w:t>
      </w:r>
      <w:r>
        <w:rPr>
          <w:rFonts w:hint="eastAsia" w:ascii="宋体" w:hAnsi="宋体" w:cs="宋体"/>
          <w:color w:val="000000" w:themeColor="text1"/>
          <w:sz w:val="24"/>
          <w14:textFill>
            <w14:solidFill>
              <w14:schemeClr w14:val="tx1"/>
            </w14:solidFill>
          </w14:textFill>
        </w:rPr>
        <w:t>据实结算（具体费用标准详见费用明细）。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2.本次服务费用由甲方分2期支付至</w:t>
      </w:r>
      <w:r>
        <w:rPr>
          <w:rFonts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指定银行账户：</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（1）首期：本合同签订后，甲方在收到乙方开具的对应金额发票后10个工作日内向乙方支付本合同支付上限价款的50%，即￥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元（大写：人民币       元）。</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（2）第二期：乙方组织完成16组专家（每组5人左右）的界定评审</w:t>
      </w:r>
      <w:r>
        <w:rPr>
          <w:rFonts w:ascii="宋体" w:hAnsi="宋体" w:cs="宋体"/>
          <w:color w:val="000000" w:themeColor="text1"/>
          <w:sz w:val="24"/>
          <w14:textFill>
            <w14:solidFill>
              <w14:schemeClr w14:val="tx1"/>
            </w14:solidFill>
          </w14:textFill>
        </w:rPr>
        <w:t>及</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次以上咨询辅导</w:t>
      </w:r>
      <w:r>
        <w:rPr>
          <w:rFonts w:ascii="宋体" w:hAnsi="宋体" w:cs="宋体"/>
          <w:color w:val="000000" w:themeColor="text1"/>
          <w:sz w:val="24"/>
          <w14:textFill>
            <w14:solidFill>
              <w14:schemeClr w14:val="tx1"/>
            </w14:solidFill>
          </w14:textFill>
        </w:rPr>
        <w:t>服务</w:t>
      </w:r>
      <w:r>
        <w:rPr>
          <w:rFonts w:hint="eastAsia" w:ascii="宋体" w:hAnsi="宋体" w:cs="宋体"/>
          <w:color w:val="000000" w:themeColor="text1"/>
          <w:sz w:val="24"/>
          <w14:textFill>
            <w14:solidFill>
              <w14:schemeClr w14:val="tx1"/>
            </w14:solidFill>
          </w14:textFill>
        </w:rPr>
        <w:t>，若实际评审专家组未达到16组，</w:t>
      </w:r>
      <w:r>
        <w:rPr>
          <w:rFonts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14:textFill>
            <w14:solidFill>
              <w14:schemeClr w14:val="tx1"/>
            </w14:solidFill>
          </w14:textFill>
        </w:rPr>
        <w:t>咨询</w:t>
      </w:r>
      <w:r>
        <w:rPr>
          <w:rFonts w:ascii="宋体" w:hAnsi="宋体" w:cs="宋体"/>
          <w:color w:val="000000" w:themeColor="text1"/>
          <w:sz w:val="24"/>
          <w14:textFill>
            <w14:solidFill>
              <w14:schemeClr w14:val="tx1"/>
            </w14:solidFill>
          </w14:textFill>
        </w:rPr>
        <w:t>辅导未达到</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0次，</w:t>
      </w:r>
      <w:r>
        <w:rPr>
          <w:rFonts w:hint="eastAsia" w:ascii="宋体" w:hAnsi="宋体" w:cs="宋体"/>
          <w:color w:val="000000" w:themeColor="text1"/>
          <w:sz w:val="24"/>
          <w14:textFill>
            <w14:solidFill>
              <w14:schemeClr w14:val="tx1"/>
            </w14:solidFill>
          </w14:textFill>
        </w:rPr>
        <w:t>则根据实际</w:t>
      </w:r>
      <w:r>
        <w:rPr>
          <w:rFonts w:ascii="宋体" w:hAnsi="宋体" w:cs="宋体"/>
          <w:color w:val="000000" w:themeColor="text1"/>
          <w:sz w:val="24"/>
          <w14:textFill>
            <w14:solidFill>
              <w14:schemeClr w14:val="tx1"/>
            </w14:solidFill>
          </w14:textFill>
        </w:rPr>
        <w:t>工作</w:t>
      </w:r>
      <w:r>
        <w:rPr>
          <w:rFonts w:hint="eastAsia" w:ascii="宋体" w:hAnsi="宋体" w:cs="宋体"/>
          <w:color w:val="000000" w:themeColor="text1"/>
          <w:sz w:val="24"/>
          <w14:textFill>
            <w14:solidFill>
              <w14:schemeClr w14:val="tx1"/>
            </w14:solidFill>
          </w14:textFill>
        </w:rPr>
        <w:t>情况所产生的界定评审费用、评审组织费用</w:t>
      </w:r>
      <w:r>
        <w:rPr>
          <w:rFonts w:ascii="宋体" w:hAnsi="宋体" w:cs="宋体"/>
          <w:color w:val="000000" w:themeColor="text1"/>
          <w:sz w:val="24"/>
          <w14:textFill>
            <w14:solidFill>
              <w14:schemeClr w14:val="tx1"/>
            </w14:solidFill>
          </w14:textFill>
        </w:rPr>
        <w:t>等</w:t>
      </w:r>
      <w:r>
        <w:rPr>
          <w:rFonts w:hint="eastAsia" w:ascii="宋体" w:hAnsi="宋体" w:cs="宋体"/>
          <w:color w:val="000000" w:themeColor="text1"/>
          <w:sz w:val="24"/>
          <w14:textFill>
            <w14:solidFill>
              <w14:schemeClr w14:val="tx1"/>
            </w14:solidFill>
          </w14:textFill>
        </w:rPr>
        <w:t>据实结算</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将</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14:textFill>
            <w14:solidFill>
              <w14:schemeClr w14:val="tx1"/>
            </w14:solidFill>
          </w14:textFill>
        </w:rPr>
        <w:t>6年度界定企业的全部批次《评审报告》提交给甲方</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完成</w:t>
      </w:r>
      <w:r>
        <w:rPr>
          <w:rFonts w:ascii="宋体" w:hAnsi="宋体" w:cs="宋体"/>
          <w:color w:val="000000" w:themeColor="text1"/>
          <w:sz w:val="24"/>
          <w14:textFill>
            <w14:solidFill>
              <w14:schemeClr w14:val="tx1"/>
            </w14:solidFill>
          </w14:textFill>
        </w:rPr>
        <w:t>全部</w:t>
      </w:r>
      <w:r>
        <w:rPr>
          <w:rFonts w:hint="eastAsia" w:ascii="宋体" w:hAnsi="宋体" w:cs="宋体"/>
          <w:color w:val="000000" w:themeColor="text1"/>
          <w:sz w:val="24"/>
          <w14:textFill>
            <w14:solidFill>
              <w14:schemeClr w14:val="tx1"/>
            </w14:solidFill>
          </w14:textFill>
        </w:rPr>
        <w:t>界定评审及咨询辅导服务</w:t>
      </w:r>
      <w:r>
        <w:rPr>
          <w:rFonts w:ascii="宋体" w:hAnsi="宋体" w:cs="宋体"/>
          <w:color w:val="000000" w:themeColor="text1"/>
          <w:sz w:val="24"/>
          <w14:textFill>
            <w14:solidFill>
              <w14:schemeClr w14:val="tx1"/>
            </w14:solidFill>
          </w14:textFill>
        </w:rPr>
        <w:t>，并</w:t>
      </w:r>
      <w:r>
        <w:rPr>
          <w:rFonts w:hint="eastAsia" w:ascii="宋体" w:hAnsi="宋体" w:cs="宋体"/>
          <w:color w:val="000000" w:themeColor="text1"/>
          <w:sz w:val="24"/>
          <w14:textFill>
            <w14:solidFill>
              <w14:schemeClr w14:val="tx1"/>
            </w14:solidFill>
          </w14:textFill>
        </w:rPr>
        <w:t>经甲方验收</w:t>
      </w:r>
      <w:r>
        <w:rPr>
          <w:rFonts w:ascii="宋体" w:hAnsi="宋体" w:cs="宋体"/>
          <w:color w:val="000000" w:themeColor="text1"/>
          <w:sz w:val="24"/>
          <w14:textFill>
            <w14:solidFill>
              <w14:schemeClr w14:val="tx1"/>
            </w14:solidFill>
          </w14:textFill>
        </w:rPr>
        <w:t>通过，</w:t>
      </w:r>
      <w:r>
        <w:rPr>
          <w:rFonts w:hint="eastAsia" w:ascii="宋体" w:hAnsi="宋体" w:cs="宋体"/>
          <w:color w:val="000000" w:themeColor="text1"/>
          <w:sz w:val="24"/>
          <w14:textFill>
            <w14:solidFill>
              <w14:schemeClr w14:val="tx1"/>
            </w14:solidFill>
          </w14:textFill>
        </w:rPr>
        <w:t>甲方</w:t>
      </w:r>
      <w:r>
        <w:rPr>
          <w:rFonts w:ascii="宋体" w:hAnsi="宋体" w:cs="宋体"/>
          <w:color w:val="000000" w:themeColor="text1"/>
          <w:sz w:val="24"/>
          <w14:textFill>
            <w14:solidFill>
              <w14:schemeClr w14:val="tx1"/>
            </w14:solidFill>
          </w14:textFill>
        </w:rPr>
        <w:t>在</w:t>
      </w:r>
      <w:r>
        <w:rPr>
          <w:rFonts w:hint="eastAsia" w:ascii="宋体" w:hAnsi="宋体" w:cs="宋体"/>
          <w:color w:val="000000" w:themeColor="text1"/>
          <w:sz w:val="24"/>
          <w14:textFill>
            <w14:solidFill>
              <w14:schemeClr w14:val="tx1"/>
            </w14:solidFill>
          </w14:textFill>
        </w:rPr>
        <w:t>收到乙方开具的</w:t>
      </w:r>
      <w:r>
        <w:rPr>
          <w:rFonts w:ascii="宋体" w:hAnsi="宋体" w:cs="宋体"/>
          <w:color w:val="000000" w:themeColor="text1"/>
          <w:sz w:val="24"/>
          <w14:textFill>
            <w14:solidFill>
              <w14:schemeClr w14:val="tx1"/>
            </w14:solidFill>
          </w14:textFill>
        </w:rPr>
        <w:t>对应</w:t>
      </w:r>
      <w:r>
        <w:rPr>
          <w:rFonts w:hint="eastAsia" w:ascii="宋体" w:hAnsi="宋体" w:cs="宋体"/>
          <w:color w:val="000000" w:themeColor="text1"/>
          <w:sz w:val="24"/>
          <w14:textFill>
            <w14:solidFill>
              <w14:schemeClr w14:val="tx1"/>
            </w14:solidFill>
          </w14:textFill>
        </w:rPr>
        <w:t>金额发票后10个工作日内付清剩余款项</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支付本合同支付上限价款的50%，即￥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元（大写：人民币     元）。</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3.上述每期款项均在满足付款条件，付至乙方指定银行账户。如未及时收到发票，则甲方相应付款时间顺延。若因甲方付款审批影响支付进度，请乙方予以谅解，并不得就此向甲方索赔。</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乙方银行信息如下：</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户名：</w:t>
      </w:r>
    </w:p>
    <w:p>
      <w:pPr>
        <w:pStyle w:val="2"/>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w:t>
      </w:r>
    </w:p>
    <w:p>
      <w:pPr>
        <w:pStyle w:val="2"/>
        <w:ind w:firstLine="480" w:firstLineChars="200"/>
        <w:rPr>
          <w:rFonts w:hint="eastAsia" w:ascii="宋体" w:hAnsi="宋体" w:cs="宋体"/>
          <w:b/>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本项目全部阶段性成果和最终成果的所有权、知识产权以及与之相关的所有权利归甲方所有；本项目合同签署前各方已经拥有的知识产权权利，仍归各自所有。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本项目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未经甲方书面事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保密条款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或企业经营、财务等信息。未经甲方书面在先同意，乙方不得向任何第三方透露与本项目有关的内容，或公开本项目的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3.乙方实施项目的程序应符合国家安全、保密的有关规定和标准。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合同提前终止</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双方协商同意提前终止本合同的，按双方协商约定的方式进行清算执行甲、乙双方不得擅自变更、中止或者终止本合同。如本合同继续履行将损害国家利益和社会公共利益的，则双方当事人应当变更、中止或者终止本合同。有过错的一方应当承担赔偿责任，双方都有过错的，各自承担相应的责任。</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有下列情形之一的，本合同自甲方向乙方发出书面通知之日起终止：</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（1）甲方的职能发生转变，不再具有委托职能。</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（2）本合同签订时适用的法律法规或政策发生变化，且对本合同的继续履行造成重大影响。</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（3）发生以上情形，甲方已向乙方支付的款项不退还，尚未支付的款项不再支付，同时乙方应向甲方提交在合同终止日前完成的所有项目文件和相关资料。</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如发生不可抗力或其他超出合同双方控制的事件，致使一方无法履行合同，本合同解除。</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（2）发生不可抗力，甲乙双方承担各自的损失。由于其中一方迟延履行合同义务后发生不可抗力的，其违约责任不能免除。</w:t>
      </w:r>
    </w:p>
    <w:p>
      <w:pPr>
        <w:pStyle w:val="35"/>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1.如乙方未按照本合同约定的时间完成审计工作，或乙方未能按期提交专项审计报告的，每迟延一日，甲方有权自尚未支付的合同款项中扣除本合同服务费总金额的3‰的逾期违约金。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3.如乙方未事先征得甲方的同意，擅自更换项目团队成员，每擅自更换一人，乙方应向甲方支付本合同总价款5%的违约金。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（1）乙方未能按合同约定的日期(含协商延缓的日期) 完成本合同项下工作或提交成果，延误时间超过15个工作日；</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（2）因乙方工作的错误或遗漏造成对合同义务的履行或成果质量不符合本合同要求，且乙方未按甲方要求采取及时有效的补救措施的；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（3）乙方提供虚假审计报告的；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（4）乙方虽如期提交工作成果，但工作成果连续二次未能通过甲方验收的；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（5）未经甲方书面在先同意，乙方擅自将本合同项目与任何第三方合作，或将本合同标的的全部或部分擅自转包或分包给任何第三方，且未按甲方的要求终止与第三方的协议的；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5.如甲方无正当理由拒绝接受服务，到期明确表示拒付服务款项的，则甲方应向乙方偿付本合同项下服务费总金额3%的违约金。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w:t>
      </w:r>
      <w:r>
        <w:rPr>
          <w:rFonts w:ascii="宋体" w:hAnsi="宋体" w:cs="宋体"/>
          <w:b/>
          <w:bCs/>
          <w:color w:val="000000" w:themeColor="text1"/>
          <w:sz w:val="24"/>
          <w14:textFill>
            <w14:solidFill>
              <w14:schemeClr w14:val="tx1"/>
            </w14:solidFill>
          </w14:textFill>
        </w:rPr>
        <w:t>二</w:t>
      </w:r>
      <w:r>
        <w:rPr>
          <w:rFonts w:hint="eastAsia" w:ascii="宋体" w:hAnsi="宋体" w:cs="宋体"/>
          <w:b/>
          <w:bCs/>
          <w:color w:val="000000" w:themeColor="text1"/>
          <w:sz w:val="24"/>
          <w14:textFill>
            <w14:solidFill>
              <w14:schemeClr w14:val="tx1"/>
            </w14:solidFill>
          </w14:textFill>
        </w:rPr>
        <w:t>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乙方遇到不能按期完成工作的情况，应及时以书面形式将不能按期完成工作的理由、延误时间通知甲方。甲方在收到乙方通知后，根据情况决定是否延长完成时间。如同意延长，则乙方责任期也相应延长。由此产生的全部费用由乙方自行承担。</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在本项目进展过程中，经双方同意的编制内容等方面的增减，如所涉增加费用的金额不超过本合同项下服务费总金额的10%，由双方商定变更内容及具体价格后签订书面补充协议予以确认。</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本合同未尽事宜，由双方协商签订补充协议进行约定。补充协议应以书面形式作成，经双方法定代表人或其授权代表签字、盖章后与本合同具有同等法律效力。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本合同在国家法律、法规和规章规定的范围内执行。当国家法律、法规和规章发生变化导致本合同有关条款与之抵触时，双方协商变更或废止该条款，在此情况下，双方互不承担责任。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如果本合同的任何条款在任何时候变成不合法、无效或不可强制执行而不从根本上影响本合同的效力时，本合同的其他条款不受影响。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任何一方未经另一方同意不得向任何第三方透露本合同的签订及其内容。甲方向其关联公司透露前述内容的，不受此限。</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spacing w:line="360" w:lineRule="auto"/>
        <w:ind w:firstLine="72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pStyle w:val="2"/>
        <w:rPr>
          <w:rFonts w:hint="eastAsia" w:ascii="宋体" w:hAnsi="宋体" w:cs="宋体"/>
          <w:b/>
          <w:bCs/>
          <w:color w:val="000000" w:themeColor="text1"/>
          <w:szCs w:val="21"/>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3" w:name="_Toc25518"/>
      <w:r>
        <w:rPr>
          <w:rFonts w:hint="eastAsia" w:ascii="宋体" w:hAnsi="宋体" w:cs="宋体"/>
          <w:b/>
          <w:bCs/>
          <w:color w:val="000000" w:themeColor="text1"/>
          <w:sz w:val="24"/>
          <w14:textFill>
            <w14:solidFill>
              <w14:schemeClr w14:val="tx1"/>
            </w14:solidFill>
          </w14:textFill>
        </w:rPr>
        <w:t>用户需求书</w:t>
      </w:r>
      <w:bookmarkEnd w:id="23"/>
    </w:p>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4" w:name="_Toc23726"/>
      <w:bookmarkStart w:id="25"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24"/>
    <w:bookmarkEnd w:id="25"/>
    <w:p>
      <w:pPr>
        <w:pStyle w:val="19"/>
        <w:tabs>
          <w:tab w:val="left" w:pos="3495"/>
        </w:tabs>
        <w:spacing w:before="0" w:beforeAutospacing="0" w:after="0" w:afterAutospacing="0" w:line="360" w:lineRule="auto"/>
        <w:ind w:firstLine="482" w:firstLineChars="200"/>
        <w:rPr>
          <w:rFonts w:hint="eastAsia"/>
          <w:b/>
          <w:bCs/>
          <w:snapToGrid w:val="0"/>
          <w:color w:val="000000" w:themeColor="text1"/>
          <w14:textFill>
            <w14:solidFill>
              <w14:schemeClr w14:val="tx1"/>
            </w14:solidFill>
          </w14:textFill>
        </w:rPr>
      </w:pPr>
      <w:r>
        <w:rPr>
          <w:rFonts w:hint="eastAsia"/>
          <w:b/>
          <w:bCs/>
          <w:snapToGrid w:val="0"/>
          <w:color w:val="000000" w:themeColor="text1"/>
          <w14:textFill>
            <w14:solidFill>
              <w14:schemeClr w14:val="tx1"/>
            </w14:solidFill>
          </w14:textFill>
        </w:rPr>
        <w:t>一、项目背景</w:t>
      </w:r>
    </w:p>
    <w:p>
      <w:pPr>
        <w:pStyle w:val="19"/>
        <w:tabs>
          <w:tab w:val="left" w:pos="3495"/>
        </w:tabs>
        <w:spacing w:before="0" w:beforeAutospacing="0" w:after="0" w:afterAutospacing="0" w:line="360" w:lineRule="auto"/>
        <w:ind w:firstLine="480" w:firstLineChars="200"/>
        <w:rPr>
          <w:rFonts w:hint="eastAsia"/>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（一）开展政策咨询服务。组织专家对前海企业开展常态化咨询辅导，全年开展不少于200次企业所得税优惠政策的面对面咨询辅导服务。</w:t>
      </w:r>
    </w:p>
    <w:p>
      <w:pPr>
        <w:pStyle w:val="19"/>
        <w:tabs>
          <w:tab w:val="left" w:pos="3495"/>
        </w:tabs>
        <w:spacing w:before="0" w:beforeAutospacing="0" w:after="0" w:afterAutospacing="0" w:line="360" w:lineRule="auto"/>
        <w:ind w:firstLine="480" w:firstLineChars="200"/>
        <w:rPr>
          <w:rFonts w:hint="eastAsia"/>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（二）组织开展界定评审。根据税务机关报送的2026年度界定企业名单，组织专家评审，依据</w:t>
      </w:r>
      <w:r>
        <w:rPr>
          <w:rFonts w:hint="eastAsia"/>
          <w:snapToGrid w:val="0"/>
          <w:color w:val="000000" w:themeColor="text1"/>
          <w:lang w:eastAsia="zh-CN"/>
          <w14:textFill>
            <w14:solidFill>
              <w14:schemeClr w14:val="tx1"/>
            </w14:solidFill>
          </w14:textFill>
        </w:rPr>
        <w:t>财税</w:t>
      </w:r>
      <w:r>
        <w:rPr>
          <w:rFonts w:hint="eastAsia"/>
          <w:snapToGrid w:val="0"/>
          <w:color w:val="000000" w:themeColor="text1"/>
          <w14:textFill>
            <w14:solidFill>
              <w14:schemeClr w14:val="tx1"/>
            </w14:solidFill>
          </w14:textFill>
        </w:rPr>
        <w:t>〔202</w:t>
      </w:r>
      <w:r>
        <w:rPr>
          <w:rFonts w:hint="eastAsia"/>
          <w:snapToGrid w:val="0"/>
          <w:color w:val="000000" w:themeColor="text1"/>
          <w:lang w:val="en-US" w:eastAsia="zh-CN"/>
          <w14:textFill>
            <w14:solidFill>
              <w14:schemeClr w14:val="tx1"/>
            </w14:solidFill>
          </w14:textFill>
        </w:rPr>
        <w:t>6</w:t>
      </w:r>
      <w:r>
        <w:rPr>
          <w:rFonts w:hint="eastAsia"/>
          <w:snapToGrid w:val="0"/>
          <w:color w:val="000000" w:themeColor="text1"/>
          <w14:textFill>
            <w14:solidFill>
              <w14:schemeClr w14:val="tx1"/>
            </w14:solidFill>
          </w14:textFill>
        </w:rPr>
        <w:t>〕3号文</w:t>
      </w:r>
      <w:r>
        <w:rPr>
          <w:rFonts w:hint="eastAsia"/>
          <w:snapToGrid w:val="0"/>
          <w:color w:val="000000" w:themeColor="text1"/>
          <w:lang w:eastAsia="zh-CN"/>
          <w14:textFill>
            <w14:solidFill>
              <w14:schemeClr w14:val="tx1"/>
            </w14:solidFill>
          </w14:textFill>
        </w:rPr>
        <w:t>、</w:t>
      </w:r>
      <w:r>
        <w:rPr>
          <w:rFonts w:hint="eastAsia"/>
          <w:snapToGrid w:val="0"/>
          <w:color w:val="000000" w:themeColor="text1"/>
          <w14:textFill>
            <w14:solidFill>
              <w14:schemeClr w14:val="tx1"/>
            </w14:solidFill>
          </w14:textFill>
        </w:rPr>
        <w:t>财税〔2021〕30号文、深前海规〔2024〕19号文，对企业是否符合前海企业所得税优惠政策条件进行财务以及技术领域的专项评审，出具专家评审报告。预计需界定企业约为80家，按现代物流业、信息服务业、科技服务业、文化创意产业、商务服务业等五大产业分批次进行界定（其中涵盖跨产业情况），预计分16组进行（实际分组根据工作开展需要确定），每组匹配相应行业领域专家及财税专家，每组至少由3名行业专家、2名财税专家构成。</w:t>
      </w:r>
    </w:p>
    <w:p>
      <w:pPr>
        <w:pStyle w:val="6"/>
        <w:spacing w:before="0" w:after="0" w:line="360" w:lineRule="auto"/>
        <w:ind w:firstLine="482" w:firstLineChars="200"/>
        <w:rPr>
          <w:rFonts w:hint="eastAsia" w:cs="宋体"/>
          <w:b/>
          <w:bCs/>
          <w:color w:val="000000" w:themeColor="text1"/>
          <w:sz w:val="24"/>
          <w:szCs w:val="24"/>
          <w14:textFill>
            <w14:solidFill>
              <w14:schemeClr w14:val="tx1"/>
            </w14:solidFill>
          </w14:textFill>
        </w:rPr>
      </w:pPr>
      <w:r>
        <w:rPr>
          <w:rFonts w:hint="eastAsia" w:cs="宋体"/>
          <w:b/>
          <w:bCs/>
          <w:snapToGrid w:val="0"/>
          <w:color w:val="000000" w:themeColor="text1"/>
          <w:sz w:val="24"/>
          <w:szCs w:val="24"/>
          <w14:textFill>
            <w14:solidFill>
              <w14:schemeClr w14:val="tx1"/>
            </w14:solidFill>
          </w14:textFill>
        </w:rPr>
        <w:t>二、</w:t>
      </w:r>
      <w:r>
        <w:rPr>
          <w:rFonts w:hint="eastAsia" w:cs="宋体"/>
          <w:b/>
          <w:bCs/>
          <w:color w:val="000000" w:themeColor="text1"/>
          <w:sz w:val="24"/>
          <w:szCs w:val="24"/>
          <w14:textFill>
            <w14:solidFill>
              <w14:schemeClr w14:val="tx1"/>
            </w14:solidFill>
          </w14:textFill>
        </w:rPr>
        <w:t>服务内容</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（一）本服务有效期内，采购人委托中标人组织16组专家（每组5人左右）对前海合作区注册企业的企业所得税优惠产业界定项目进行评审以及开展约80次企业所得税界定咨询服务。具体如下：</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1.采购人委托中标人进行评审的企业是指于2026年被税务机关抽取，需对2025年纳税年度主营业务是否属于《前海深港现代服务业合作区企业所得税优惠目录（2021版）》（财税〔2021〕30号）进行界定的企业。采购人委托中标人开展咨询辅导的企业为前海合作区内注册，希望享受前海企业所得税优惠政策的企业。</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2.中标人应按照</w:t>
      </w:r>
      <w:r>
        <w:rPr>
          <w:rFonts w:hint="eastAsia" w:ascii="宋体" w:hAnsi="宋体" w:cs="宋体"/>
          <w:color w:val="000000" w:themeColor="text1"/>
          <w:sz w:val="24"/>
          <w14:textFill>
            <w14:solidFill>
              <w14:schemeClr w14:val="tx1"/>
            </w14:solidFill>
          </w14:textFill>
        </w:rPr>
        <w:t>《财政部</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税务总局关于延续</w:t>
      </w:r>
      <w:r>
        <w:rPr>
          <w:rFonts w:hint="eastAsia" w:ascii="宋体" w:hAnsi="宋体" w:cs="宋体"/>
          <w:color w:val="000000" w:themeColor="text1"/>
          <w:sz w:val="24"/>
          <w:lang w:eastAsia="zh-CN"/>
          <w14:textFill>
            <w14:solidFill>
              <w14:schemeClr w14:val="tx1"/>
            </w14:solidFill>
          </w14:textFill>
        </w:rPr>
        <w:t>实施</w:t>
      </w:r>
      <w:r>
        <w:rPr>
          <w:rFonts w:hint="eastAsia" w:ascii="宋体" w:hAnsi="宋体" w:cs="宋体"/>
          <w:color w:val="000000" w:themeColor="text1"/>
          <w:sz w:val="24"/>
          <w14:textFill>
            <w14:solidFill>
              <w14:schemeClr w14:val="tx1"/>
            </w14:solidFill>
          </w14:textFill>
        </w:rPr>
        <w:t>前海深港现代服务业合作区企业所得税优惠政策的通知》（财税〔202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〕3号）、</w:t>
      </w:r>
      <w:r>
        <w:rPr>
          <w:rFonts w:hint="eastAsia" w:cs="宋体"/>
          <w:snapToGrid w:val="0"/>
          <w:color w:val="000000" w:themeColor="text1"/>
          <w:sz w:val="24"/>
          <w:szCs w:val="24"/>
          <w14:textFill>
            <w14:solidFill>
              <w14:schemeClr w14:val="tx1"/>
            </w14:solidFill>
          </w14:textFill>
        </w:rPr>
        <w:t>《财政部</w:t>
      </w:r>
      <w:r>
        <w:rPr>
          <w:rFonts w:hint="eastAsia" w:cs="宋体"/>
          <w:snapToGrid w:val="0"/>
          <w:color w:val="000000" w:themeColor="text1"/>
          <w:sz w:val="24"/>
          <w:szCs w:val="24"/>
          <w:lang w:val="en-US" w:eastAsia="zh-CN"/>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税务总局关于延续深圳前海深港现代服务业合作区企业所得税优惠政策的通知》（财税〔2021〕30号）、《深圳市前海管理局关于印发&lt;前海企业所得税优惠产业界定服务指引&gt;的通知》（深前海规〔2024〕19号）、《前海深港现代服务业合作区企业所得税优惠产业界定操作规程》（深前海〔2026〕17号）及其附件规定的标准和要求，对前海企业提供的产业界定申请材料进行审核并出具《评审报告》，《评审报告》中应包括但不限于界定结果、界定依据等。</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3.中标人应根据上述规定及合同约定，制定前海企业所得税优惠产业界定项目的评审操作规范，报采购人备案，并严格按照审核通过后的流程开展评审工作。</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4.中标人应配备适应对应产业类别评审需要的评审专家参加评审，评审专家应具有与评审项目相匹配的行业从业经历或者专业背景，原则上，评审专家组组长应具有正高以上职称，评审专家组成员应具有副高以上职称，评审工作以书面审核为主，根据企业意愿，中标人可组织企业参加答辩。评审期间，经采购人同意，中标人可要求企业做出书面解释说明、补充相关材料或进行材料抽核。采购人组织开展现场核实时，中标人应按采购人要求予以配合。其中，专家审核时限可根据面谈所需时间进行相应顺延。</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5.若采购人以分批的方式提供送审项目，中标人应在收齐采购人提供的每批次送审项目材料之日起10个工作日内将该批次《评审报告》以书面形式提交采购人，如确有特殊情况，经采购人书面同意，评审报告交付时间可以双方书面约定为准。每批次《评审报告》完成时限自采购人向中标人移交该批次项目材料之日的次日开始计算，各批次间不累计计算，在后批次的审核工作起算时间和审核时长不受在先批次审核工作的影响。</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6.中标人提交的《评审报告》应包括该批次全部送审企业的产业及主营业务收入界定情况。</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7.组织专家对前海企业开展常态化咨询辅导，全年开展不少于200次企业所得税优惠政策的面对面咨询辅导服务。辅导方式多样，可以同时面向多家企业开展线上和线下相结合的政策讲解活动，也可以由中标人组织专家对重点企业开展“一对一”服务，提供定制化咨询辅导。</w:t>
      </w:r>
    </w:p>
    <w:p>
      <w:pPr>
        <w:pStyle w:val="6"/>
        <w:spacing w:before="0" w:after="0" w:line="360" w:lineRule="auto"/>
        <w:ind w:firstLine="480" w:firstLineChars="200"/>
        <w:rPr>
          <w:rFonts w:hint="eastAsia" w:cs="宋体"/>
          <w:snapToGrid w:val="0"/>
          <w:color w:val="000000" w:themeColor="text1"/>
          <w:sz w:val="24"/>
          <w:szCs w:val="24"/>
          <w14:textFill>
            <w14:solidFill>
              <w14:schemeClr w14:val="tx1"/>
            </w14:solidFill>
          </w14:textFill>
        </w:rPr>
      </w:pPr>
      <w:r>
        <w:rPr>
          <w:rFonts w:hint="eastAsia" w:cs="宋体"/>
          <w:snapToGrid w:val="0"/>
          <w:color w:val="000000" w:themeColor="text1"/>
          <w:sz w:val="24"/>
          <w:szCs w:val="24"/>
          <w14:textFill>
            <w14:solidFill>
              <w14:schemeClr w14:val="tx1"/>
            </w14:solidFill>
          </w14:textFill>
        </w:rPr>
        <w:t>8.参加本项目的人员必须具有国家和有关部门规定的相应资质，项目团队成员不少于5人</w:t>
      </w:r>
      <w:r>
        <w:rPr>
          <w:rFonts w:hint="eastAsia" w:cs="宋体"/>
          <w:snapToGrid w:val="0"/>
          <w:color w:val="000000" w:themeColor="text1"/>
          <w:sz w:val="24"/>
          <w:szCs w:val="24"/>
          <w:lang w:eastAsia="zh-CN"/>
          <w14:textFill>
            <w14:solidFill>
              <w14:schemeClr w14:val="tx1"/>
            </w14:solidFill>
          </w14:textFill>
        </w:rPr>
        <w:t>（含项目负责人）</w:t>
      </w:r>
      <w:r>
        <w:rPr>
          <w:rFonts w:hint="eastAsia" w:cs="宋体"/>
          <w:snapToGrid w:val="0"/>
          <w:color w:val="000000" w:themeColor="text1"/>
          <w:sz w:val="24"/>
          <w:szCs w:val="24"/>
          <w14:textFill>
            <w14:solidFill>
              <w14:schemeClr w14:val="tx1"/>
            </w14:solidFill>
          </w14:textFill>
        </w:rPr>
        <w:t>，</w:t>
      </w:r>
      <w:r>
        <w:rPr>
          <w:rFonts w:hint="eastAsia" w:cs="宋体"/>
          <w:color w:val="000000" w:themeColor="text1"/>
          <w:sz w:val="24"/>
          <w14:textFill>
            <w14:solidFill>
              <w14:schemeClr w14:val="tx1"/>
            </w14:solidFill>
          </w14:textFill>
        </w:rPr>
        <w:t>其中包含</w:t>
      </w:r>
      <w:r>
        <w:rPr>
          <w:rFonts w:hint="eastAsia" w:cs="宋体"/>
          <w:snapToGrid w:val="0"/>
          <w:color w:val="000000" w:themeColor="text1"/>
          <w:sz w:val="24"/>
          <w:szCs w:val="24"/>
          <w14:textFill>
            <w14:solidFill>
              <w14:schemeClr w14:val="tx1"/>
            </w14:solidFill>
          </w14:textFill>
        </w:rPr>
        <w:t>1名人员派驻服务。</w:t>
      </w:r>
    </w:p>
    <w:p>
      <w:pPr>
        <w:pStyle w:val="6"/>
        <w:spacing w:before="0" w:after="0" w:line="360" w:lineRule="auto"/>
        <w:ind w:firstLine="482" w:firstLineChars="20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三、项目资料归属</w:t>
      </w:r>
    </w:p>
    <w:p>
      <w:pPr>
        <w:pStyle w:val="36"/>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所有提交给采购人的项目文件及相关资料的阶段性成果及最后文本，包括为履行服务范围所编制的计划和证明资料等，都属于采购人所有，中标人在提交给采购人之前应将上述资料进行整理归类和编制索引。</w:t>
      </w:r>
    </w:p>
    <w:p>
      <w:pPr>
        <w:pStyle w:val="36"/>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（二）中标人未经采购人的书面同意，不得将上述资料用于与本项目之外的任何项目，也不得将其泄露或授权给第三方使用。</w:t>
      </w:r>
    </w:p>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19"/>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自签署合同之日起至2026年12月31日止，中标人应按照约定时间完成相关工作。</w:t>
      </w:r>
    </w:p>
    <w:p>
      <w:pPr>
        <w:numPr>
          <w:ilvl w:val="0"/>
          <w:numId w:val="5"/>
        </w:num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服务地点</w:t>
      </w:r>
    </w:p>
    <w:p>
      <w:pPr>
        <w:pStyle w:val="19"/>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14:textFill>
            <w14:solidFill>
              <w14:schemeClr w14:val="tx1"/>
            </w14:solidFill>
          </w14:textFill>
        </w:rPr>
        <w:t>深圳市前海深港现代服务业合作区</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bookmarkStart w:id="26" w:name="_Toc368"/>
      <w:bookmarkStart w:id="27" w:name="_Toc32196"/>
      <w:r>
        <w:rPr>
          <w:rFonts w:hint="eastAsia" w:ascii="宋体" w:hAnsi="宋体" w:cs="宋体"/>
          <w:b/>
          <w:color w:val="000000" w:themeColor="text1"/>
          <w:sz w:val="24"/>
          <w14:textFill>
            <w14:solidFill>
              <w14:schemeClr w14:val="tx1"/>
            </w14:solidFill>
          </w14:textFill>
        </w:rPr>
        <w:t>（三）工作成果及验收标准</w:t>
      </w:r>
    </w:p>
    <w:p>
      <w:pPr>
        <w:autoSpaceDE w:val="0"/>
        <w:autoSpaceDN w:val="0"/>
        <w:adjustRightIn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1.工作成果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2026年度《前海企业所得税优惠产业界定评审报告》，分别以书面形式（按采购人要求印制六份）和电子文件形式提交。</w:t>
      </w:r>
    </w:p>
    <w:p>
      <w:pPr>
        <w:autoSpaceDE w:val="0"/>
        <w:autoSpaceDN w:val="0"/>
        <w:adjustRightIn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2.验收标准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评审工作验收标准为中标人严格按照向采购人备案的评审操作规范开展评审工作，出具的评审报告能够完整且如实反映评审专家意见，对企业是否符合前海企业所得税优惠政策条件进行清晰阐述，并按要求完成政策咨询服务，最终成果验收合格的标志为采购人审查通过。</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w:t>
      </w:r>
      <w:r>
        <w:rPr>
          <w:rFonts w:hint="eastAsia" w:ascii="宋体" w:hAnsi="宋体" w:cs="宋体"/>
          <w:b/>
          <w:bCs/>
          <w:color w:val="000000" w:themeColor="text1"/>
          <w:sz w:val="24"/>
          <w14:textFill>
            <w14:solidFill>
              <w14:schemeClr w14:val="tx1"/>
            </w14:solidFill>
          </w14:textFill>
        </w:rPr>
        <w:t>付款方式</w:t>
      </w:r>
      <w:bookmarkEnd w:id="26"/>
      <w:bookmarkEnd w:id="27"/>
    </w:p>
    <w:p>
      <w:pPr>
        <w:pStyle w:val="19"/>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1.项目资金由采购人分2期支付至中标人指定银行账户：</w:t>
      </w:r>
    </w:p>
    <w:p>
      <w:pPr>
        <w:pStyle w:val="19"/>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1.1.首期：本合同签订后，采购人在收到中标人开具的对应金额发票后10个工作日内向中标人支付本合同支付上限价款的50%；</w:t>
      </w:r>
    </w:p>
    <w:p>
      <w:pPr>
        <w:pStyle w:val="19"/>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1.2.第2期：</w:t>
      </w:r>
      <w:r>
        <w:rPr>
          <w:rFonts w:hint="eastAsia"/>
          <w:color w:val="000000" w:themeColor="text1"/>
          <w14:textFill>
            <w14:solidFill>
              <w14:schemeClr w14:val="tx1"/>
            </w14:solidFill>
          </w14:textFill>
        </w:rPr>
        <w:t>中标人组织完成16组专家（每组5人左右）的界定评审及200次以上咨询辅导服务，若实际评审专家组未达到16组，或咨询辅导未达到200次，则根据实际工作情况所产生的界定评审费用、评审组织费用等据实结算。将2026年度界定企业的全部批次《评审报告》提交给采购人，完成全部界定评审及咨询辅导服务，并经采购人验收通过，采购人在收到中标人开具的对应金额发票后10个工作日内付清剩余款项，支付本合同支付上限价款的50%</w:t>
      </w:r>
      <w:r>
        <w:rPr>
          <w:rFonts w:hint="eastAsia"/>
          <w:color w:val="000000" w:themeColor="text1"/>
          <w:kern w:val="2"/>
          <w14:textFill>
            <w14:solidFill>
              <w14:schemeClr w14:val="tx1"/>
            </w14:solidFill>
          </w14:textFill>
        </w:rPr>
        <w:t>。</w:t>
      </w:r>
    </w:p>
    <w:p>
      <w:pPr>
        <w:pStyle w:val="19"/>
        <w:spacing w:before="0" w:beforeAutospacing="0" w:after="0" w:afterAutospacing="0" w:line="360" w:lineRule="auto"/>
        <w:ind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spacing w:line="360" w:lineRule="auto"/>
        <w:ind w:firstLine="482" w:firstLineChars="200"/>
        <w:outlineLvl w:val="2"/>
        <w:rPr>
          <w:rFonts w:hint="eastAsia" w:ascii="宋体" w:hAnsi="宋体" w:cs="宋体"/>
          <w:b/>
          <w:color w:val="000000" w:themeColor="text1"/>
          <w:sz w:val="24"/>
          <w14:textFill>
            <w14:solidFill>
              <w14:schemeClr w14:val="tx1"/>
            </w14:solidFill>
          </w14:textFill>
        </w:rPr>
      </w:pPr>
      <w:bookmarkStart w:id="28" w:name="_Toc7539"/>
      <w:bookmarkStart w:id="29" w:name="_Toc10430"/>
      <w:bookmarkStart w:id="30" w:name="_Toc16130"/>
      <w:bookmarkStart w:id="31" w:name="_Toc16091"/>
      <w:r>
        <w:rPr>
          <w:rFonts w:hint="eastAsia" w:ascii="宋体" w:hAnsi="宋体" w:cs="宋体"/>
          <w:b/>
          <w:bCs/>
          <w:color w:val="000000" w:themeColor="text1"/>
          <w:sz w:val="24"/>
          <w14:textFill>
            <w14:solidFill>
              <w14:schemeClr w14:val="tx1"/>
            </w14:solidFill>
          </w14:textFill>
        </w:rPr>
        <w:t>（五）</w:t>
      </w:r>
      <w:bookmarkEnd w:id="28"/>
      <w:bookmarkEnd w:id="29"/>
      <w:r>
        <w:rPr>
          <w:rFonts w:hint="eastAsia" w:ascii="宋体" w:hAnsi="宋体" w:cs="宋体"/>
          <w:b/>
          <w:color w:val="000000" w:themeColor="text1"/>
          <w:sz w:val="24"/>
          <w14:textFill>
            <w14:solidFill>
              <w14:schemeClr w14:val="tx1"/>
            </w14:solidFill>
          </w14:textFill>
        </w:rPr>
        <w:t>投标报价</w:t>
      </w:r>
      <w:bookmarkEnd w:id="30"/>
      <w:bookmarkEnd w:id="31"/>
    </w:p>
    <w:p>
      <w:pPr>
        <w:pStyle w:val="9"/>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本次投标为据实结算，本项目费用预算（支付上限）总共为506,700.00元。投标单价合计作为价格计算依据，</w:t>
      </w:r>
      <w:r>
        <w:rPr>
          <w:rFonts w:hint="eastAsia" w:ascii="宋体" w:hAnsi="宋体" w:cs="宋体"/>
          <w:color w:val="000000" w:themeColor="text1"/>
          <w:sz w:val="24"/>
          <w14:textFill>
            <w14:solidFill>
              <w14:schemeClr w14:val="tx1"/>
            </w14:solidFill>
          </w14:textFill>
        </w:rPr>
        <w:t>投标单价不得超过对应上限价，服务费已包含投标人提供本项目服务的全部费用，项目服务费包括</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界定评审费用；（2）评审组织费用；（3）咨询辅导费用；（4）本合同项下产生的一切税费。该费用包含本合同期限内组织16组专家（每组5人左右）对前海企业进行界定评审的服务费，在合同期限内开展80次以上界定咨询</w:t>
      </w:r>
      <w:r>
        <w:rPr>
          <w:rFonts w:ascii="宋体" w:hAnsi="宋体" w:cs="宋体"/>
          <w:color w:val="000000" w:themeColor="text1"/>
          <w:sz w:val="24"/>
          <w14:textFill>
            <w14:solidFill>
              <w14:schemeClr w14:val="tx1"/>
            </w14:solidFill>
          </w14:textFill>
        </w:rPr>
        <w:t>辅导</w:t>
      </w:r>
      <w:r>
        <w:rPr>
          <w:rFonts w:hint="eastAsia" w:ascii="宋体" w:hAnsi="宋体" w:cs="宋体"/>
          <w:color w:val="000000" w:themeColor="text1"/>
          <w:sz w:val="24"/>
          <w14:textFill>
            <w14:solidFill>
              <w14:schemeClr w14:val="tx1"/>
            </w14:solidFill>
          </w14:textFill>
        </w:rPr>
        <w:t>的服务费。若实际评审专家组未达到16组，或咨询辅导未达到200次，则根据实际工作情况所产生的界定评审费用、评审组织费用等据实结算</w:t>
      </w:r>
      <w:r>
        <w:rPr>
          <w:rFonts w:hint="eastAsia" w:ascii="宋体" w:hAnsi="宋体" w:cs="宋体"/>
          <w:color w:val="000000" w:themeColor="text1"/>
          <w:sz w:val="24"/>
          <w:szCs w:val="24"/>
          <w14:textFill>
            <w14:solidFill>
              <w14:schemeClr w14:val="tx1"/>
            </w14:solidFill>
          </w14:textFill>
        </w:rPr>
        <w:t>，在合同实施期间，除另签补充合同外，不接受中标人以任何理由、任何名目提出增加费用的要求。</w:t>
      </w:r>
    </w:p>
    <w:p>
      <w:pPr>
        <w:pStyle w:val="9"/>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9"/>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9"/>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9"/>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（六）成果权属与知识产权</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1.本项目全部阶段性成果和最终成果的所有权、知识产权以及与之相关的所有权利归采购人所有；本项目合同签署前各方已经拥有的知识产权权利，仍归各自所有。</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本项目合同，并保留要求中标人赔偿全部损失的权利，包括但不限于上述索赔或责任所产生的诉讼费用、合理的律师费用、鉴定评估费用、调查费用、和解金额或生效法律文书中规定的赔偿金额。</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未经采购人书面事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5.中标人完成本项目的研究人员享有在有关技术成果文件上署名的权利和与采购人共同获得有关荣誉证书、奖励的权利。</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bookmarkStart w:id="32" w:name="_Toc27553"/>
      <w:bookmarkStart w:id="33" w:name="_Toc14469"/>
      <w:r>
        <w:rPr>
          <w:rFonts w:hint="eastAsia" w:ascii="宋体" w:hAnsi="宋体" w:cs="宋体"/>
          <w:b/>
          <w:bCs/>
          <w:color w:val="000000" w:themeColor="text1"/>
          <w:sz w:val="24"/>
          <w14:textFill>
            <w14:solidFill>
              <w14:schemeClr w14:val="tx1"/>
            </w14:solidFill>
          </w14:textFill>
        </w:rPr>
        <w:t>（七）违约责任</w:t>
      </w:r>
      <w:bookmarkEnd w:id="32"/>
      <w:bookmarkEnd w:id="33"/>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1.如中标人未按照本合同约定的时间完成审计工作，或中标人未能按期提交专项审计报告的，每迟延一日，采购人有权自尚未支付的合同款项中扣除本合同服务费总金额的3‰的逾期违约金。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3.如中标人未事先征得采购人的同意，擅自更换项目团队成员，每擅自更换一人，中标人应向采购人支付本合同总价款5%的违约金。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4.本合同履行期间，发生下述情形时，采购人有权解除本合同，中标人除应退还采购人已支付的全部款项外， 还应在合同解除通知发出之日起10日内向采购人支付合同总价款20%的违约金。中标人应同时将已完成的项目成果移交给采购人，并将全部有关资料退还采购人：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（1）中标人未能按合同约定的日期(含协商延缓的日期) 完成本合同项下工作或提交成果，延误时间超过15个工作日；</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（2）因中标人工作的错误或遗漏造成对合同义务的履行或成果质量不符合本合同要求，且中标人未按采购人要求采取及时有效的补救措施的；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（3）中标人提供虚假审计报告的；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（4）中标人虽如期提交工作成果，但工作成果连续二次未能通过采购人验收的；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（5）未经采购人书面在先同意，中标人擅自将本合同项目与任何第三方合作，或将本合同标的的全部或部分擅自转包或分包给任何第三方，且未按采购人的要求终止与第三方的协议的；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（6）项目负责人未承担本合同项目实质性工作，或未经采购人书面在先同意，中标人擅自更换项目负责人的；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（7）发现中标人或中标人工作人员出现全部或部分丧失履行委托服务能力的情况，采购人有权通知中标人限期整改或更换工作人员，期限届满中标人并未进行改善的；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（8）中标人明确表示或者以自己的行为表明不履行本合同的。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5.如采购人无正当理由拒绝接受服务，到期明确表示拒付服务款项的，则采购人应向中标人偿付本合同项下服务费总金额3%的违约金。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bookmarkStart w:id="34" w:name="_Toc11364"/>
      <w:bookmarkStart w:id="35" w:name="_Toc31814"/>
      <w:r>
        <w:rPr>
          <w:rFonts w:hint="eastAsia" w:ascii="宋体" w:hAnsi="宋体" w:cs="宋体"/>
          <w:b/>
          <w:bCs/>
          <w:color w:val="000000" w:themeColor="text1"/>
          <w:sz w:val="24"/>
          <w14:textFill>
            <w14:solidFill>
              <w14:schemeClr w14:val="tx1"/>
            </w14:solidFill>
          </w14:textFill>
        </w:rPr>
        <w:t>（八）保密条款</w:t>
      </w:r>
      <w:bookmarkEnd w:id="34"/>
      <w:bookmarkEnd w:id="35"/>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内容所直接或间接取得、处理或接触的任何其他资料或企业经营、财务等信息。未经采购人书面在先同意，中标人不得向任何第三方透露与本项目有关的内容，或公开本项目的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3.中标人实施项目的程序应符合国家安全、保密的有关规定和标准。</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6.无论本合同或本合同其他条款是否有效，本保密条款始终约束双方。国家秘密的保密期限由国家有关部门确定，工作秘密的保密期限由采购人确定。</w:t>
      </w:r>
    </w:p>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五、其他要求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供应商非经允许不得将项目非法分包或转包给任何单位和个人。否则，采购单位有权即刻终止合同，并要求供应商赔偿相应损失。</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6" w:name="_Toc23822"/>
      <w:r>
        <w:rPr>
          <w:rFonts w:hint="eastAsia" w:ascii="宋体" w:cs="宋体"/>
          <w:b/>
          <w:bCs/>
          <w:color w:val="000000" w:themeColor="text1"/>
          <w:sz w:val="24"/>
          <w14:textFill>
            <w14:solidFill>
              <w14:schemeClr w14:val="tx1"/>
            </w14:solidFill>
          </w14:textFill>
        </w:rPr>
        <w:t>第六章 投标文件初审及招标项目评分表</w:t>
      </w:r>
      <w:bookmarkEnd w:id="36"/>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92" w:type="dxa"/>
            <w:vAlign w:val="center"/>
          </w:tcPr>
          <w:p>
            <w:pPr>
              <w:pStyle w:val="11"/>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11"/>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关于享受对本国产品的政府采购支持政策的主体、价格扣除比例等事项的说明。</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适用主体：国有企业、民营企业、外资企业等各类经营主体平等享受对本国产品的政府采购支持政策。</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3.2</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0"/>
              </w:numP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3.3</w:t>
            </w:r>
            <w:r>
              <w:rPr>
                <w:rFonts w:hint="eastAsia" w:ascii="宋体" w:hAnsi="宋体" w:eastAsia="宋体" w:cs="Times New Roman"/>
                <w:b w:val="0"/>
                <w:bCs w:val="0"/>
                <w:color w:val="000000" w:themeColor="text1"/>
                <w:sz w:val="24"/>
                <w:szCs w:val="24"/>
                <w:highlight w:val="none"/>
                <w14:textFill>
                  <w14:solidFill>
                    <w14:schemeClr w14:val="tx1"/>
                  </w14:solidFill>
                </w14:textFill>
              </w:rPr>
              <w:t>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0"/>
                <w:numId w:val="0"/>
              </w:num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 w:val="0"/>
                <w:bCs w:val="0"/>
                <w:color w:val="000000" w:themeColor="text1"/>
                <w:sz w:val="24"/>
                <w:szCs w:val="24"/>
                <w:highlight w:val="none"/>
                <w14:textFill>
                  <w14:solidFill>
                    <w14:schemeClr w14:val="tx1"/>
                  </w14:solidFill>
                </w14:textFill>
              </w:rPr>
              <w:t>供应商出具符合要求的《关于符合本国产品标准的声明函》或财政部会同有关部门规定的有关证明文件，该产品视为本国产品。声明函样式见</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 w:val="0"/>
                <w:bCs w:val="0"/>
                <w:color w:val="000000" w:themeColor="text1"/>
                <w:sz w:val="24"/>
                <w:szCs w:val="24"/>
                <w:highlight w:val="none"/>
                <w14:textFill>
                  <w14:solidFill>
                    <w14:schemeClr w14:val="tx1"/>
                  </w14:solidFill>
                </w14:textFill>
              </w:rPr>
              <w:t>文件</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格式。</w:t>
            </w:r>
          </w:p>
          <w:p>
            <w:pPr>
              <w:numPr>
                <w:ilvl w:val="0"/>
                <w:numId w:val="0"/>
              </w:numPr>
              <w:spacing w:line="360" w:lineRule="auto"/>
              <w:ind w:left="2" w:leftChars="0"/>
              <w:jc w:val="left"/>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关于同时满足中小企业扶持政策和对本国产品的支持政策的事项说明。</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10%=70元。具体情形如下：</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pStyle w:val="2"/>
              <w:spacing w:line="360" w:lineRule="auto"/>
              <w:rPr>
                <w:rFonts w:hint="eastAsia"/>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5.上述支持政策不改变最终中标（成交）价格，政府采购合同仍按照中标（成交）供应商的报价签订。</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Hans"/>
                <w14:textFill>
                  <w14:solidFill>
                    <w14:schemeClr w14:val="tx1"/>
                  </w14:solidFill>
                </w14:textFill>
              </w:rPr>
              <w:t>同类</w:t>
            </w:r>
            <w:r>
              <w:rPr>
                <w:rFonts w:hint="eastAsia" w:ascii="宋体" w:hAnsi="宋体" w:cs="宋体"/>
                <w:color w:val="000000" w:themeColor="text1"/>
                <w:sz w:val="24"/>
                <w:lang w:val="zh-CN"/>
                <w14:textFill>
                  <w14:solidFill>
                    <w14:schemeClr w14:val="tx1"/>
                  </w14:solidFill>
                </w14:textFill>
              </w:rPr>
              <w:t>项目经验</w:t>
            </w:r>
          </w:p>
        </w:tc>
        <w:tc>
          <w:tcPr>
            <w:tcW w:w="5992"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r>
              <w:rPr>
                <w:rFonts w:hint="eastAsia" w:ascii="宋体" w:hAnsi="宋体" w:cs="宋体"/>
                <w:color w:val="000000" w:themeColor="text1"/>
                <w:sz w:val="24"/>
                <w:lang w:val="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自</w:t>
            </w:r>
            <w:r>
              <w:rPr>
                <w:rFonts w:hint="eastAsia" w:ascii="宋体" w:hAnsi="宋体" w:cs="宋体"/>
                <w:color w:val="000000" w:themeColor="text1"/>
                <w:sz w:val="24"/>
                <w:lang w:val="zh-CN"/>
                <w14:textFill>
                  <w14:solidFill>
                    <w14:schemeClr w14:val="tx1"/>
                  </w14:solidFill>
                </w14:textFill>
              </w:rPr>
              <w:t>2020年1月1日至投标截止日（以合同签订日期或委托函</w:t>
            </w: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lang w:val="zh-CN"/>
                <w14:textFill>
                  <w14:solidFill>
                    <w14:schemeClr w14:val="tx1"/>
                  </w14:solidFill>
                </w14:textFill>
              </w:rPr>
              <w:t>为准），</w:t>
            </w:r>
            <w:r>
              <w:rPr>
                <w:rFonts w:hint="eastAsia" w:ascii="宋体" w:hAnsi="宋体" w:cs="宋体"/>
                <w:color w:val="000000" w:themeColor="text1"/>
                <w:sz w:val="24"/>
                <w14:textFill>
                  <w14:solidFill>
                    <w14:schemeClr w14:val="tx1"/>
                  </w14:solidFill>
                </w14:textFill>
              </w:rPr>
              <w:t>具有</w:t>
            </w:r>
            <w:r>
              <w:rPr>
                <w:rFonts w:hint="eastAsia" w:ascii="宋体" w:hAnsi="宋体" w:cs="宋体"/>
                <w:color w:val="000000" w:themeColor="text1"/>
                <w:sz w:val="24"/>
                <w:lang w:eastAsia="zh-Hans"/>
                <w14:textFill>
                  <w14:solidFill>
                    <w14:schemeClr w14:val="tx1"/>
                  </w14:solidFill>
                </w14:textFill>
              </w:rPr>
              <w:t>同类</w:t>
            </w:r>
            <w:r>
              <w:rPr>
                <w:rFonts w:hint="eastAsia" w:ascii="宋体" w:hAnsi="宋体" w:cs="宋体"/>
                <w:color w:val="000000" w:themeColor="text1"/>
                <w:sz w:val="24"/>
                <w:lang w:val="zh-CN"/>
                <w14:textFill>
                  <w14:solidFill>
                    <w14:schemeClr w14:val="tx1"/>
                  </w14:solidFill>
                </w14:textFill>
              </w:rPr>
              <w:t>项目经验，</w:t>
            </w:r>
            <w:r>
              <w:rPr>
                <w:rFonts w:hint="eastAsia" w:ascii="宋体" w:hAnsi="宋体" w:cs="宋体"/>
                <w:color w:val="000000" w:themeColor="text1"/>
                <w:sz w:val="24"/>
                <w:lang w:eastAsia="zh-Hans"/>
                <w14:textFill>
                  <w14:solidFill>
                    <w14:schemeClr w14:val="tx1"/>
                  </w14:solidFill>
                </w14:textFill>
              </w:rPr>
              <w:t>包括组织专家咨询辅导、项目评审、项目验收及评价等项目，每个项目</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eastAsia="zh-Hans"/>
                <w14:textFill>
                  <w14:solidFill>
                    <w14:schemeClr w14:val="tx1"/>
                  </w14:solidFill>
                </w14:textFill>
              </w:rPr>
              <w:t>分，最多得</w:t>
            </w:r>
            <w:r>
              <w:rPr>
                <w:rFonts w:hint="eastAsia"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lang w:eastAsia="zh-Hans"/>
                <w14:textFill>
                  <w14:solidFill>
                    <w14:schemeClr w14:val="tx1"/>
                  </w14:solidFill>
                </w14:textFill>
              </w:rPr>
              <w:t>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提供可证明</w:t>
            </w:r>
            <w:r>
              <w:rPr>
                <w:rFonts w:hint="eastAsia" w:ascii="宋体" w:hAnsi="宋体" w:cs="宋体"/>
                <w:color w:val="000000" w:themeColor="text1"/>
                <w:sz w:val="24"/>
                <w:lang w:eastAsia="zh-Hans"/>
                <w14:textFill>
                  <w14:solidFill>
                    <w14:schemeClr w14:val="tx1"/>
                  </w14:solidFill>
                </w14:textFill>
              </w:rPr>
              <w:t>同类</w:t>
            </w:r>
            <w:r>
              <w:rPr>
                <w:rFonts w:hint="eastAsia" w:ascii="宋体" w:hAnsi="宋体" w:cs="宋体"/>
                <w:color w:val="000000" w:themeColor="text1"/>
                <w:sz w:val="24"/>
                <w:lang w:val="zh-CN"/>
                <w14:textFill>
                  <w14:solidFill>
                    <w14:schemeClr w14:val="tx1"/>
                  </w14:solidFill>
                </w14:textFill>
              </w:rPr>
              <w:t>项目经验的相关材料加盖公章【如合同关键页（关键页包含但不限于合同封面、服务内容页、服务人员页、双方盖章页等）或委托函加盖甲方公章等复印件】，原件备查，</w:t>
            </w:r>
            <w:r>
              <w:rPr>
                <w:rFonts w:hint="eastAsia" w:ascii="宋体" w:hAnsi="宋体" w:cs="宋体"/>
                <w:color w:val="000000" w:themeColor="text1"/>
                <w:sz w:val="24"/>
                <w14:textFill>
                  <w14:solidFill>
                    <w14:schemeClr w14:val="tx1"/>
                  </w14:solidFill>
                </w14:textFill>
              </w:rPr>
              <w:t>评分中出现无证明资料或专家无法凭所提供资料判断是否得分的情况，一律作不得分处理</w:t>
            </w:r>
            <w:r>
              <w:rPr>
                <w:rFonts w:hint="eastAsia" w:ascii="宋体" w:hAnsi="宋体" w:cs="宋体"/>
                <w:color w:val="000000" w:themeColor="text1"/>
                <w:sz w:val="24"/>
                <w:lang w:val="zh-CN"/>
                <w14:textFill>
                  <w14:solidFill>
                    <w14:schemeClr w14:val="tx1"/>
                  </w14:solidFill>
                </w14:textFill>
              </w:rPr>
              <w:t>。</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拟派服务</w:t>
            </w:r>
            <w:r>
              <w:rPr>
                <w:rFonts w:ascii="宋体" w:hAnsi="宋体" w:cs="宋体"/>
                <w:color w:val="000000" w:themeColor="text1"/>
                <w:sz w:val="24"/>
                <w14:textFill>
                  <w14:solidFill>
                    <w14:schemeClr w14:val="tx1"/>
                  </w14:solidFill>
                </w14:textFill>
              </w:rPr>
              <w:t>团队情况</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1.项目负责人具有项目评审相关经验的，每提供一个证明得1分，本小项最高</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分；其他情况不得分（同一项目不同年份的续签合同不得重复得分）。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2.拟安排的项目团队成员（不含</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负责人）不少于</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人，否则本项不得分，且团队成员具有项目评审相关经验且具有2年或以上工作经验，每人得1分，本小项最高得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1.提供由投标人或其同一法人的分公司在投标截止之日前为其缴纳的近3个月内任意一个月的社保证明(</w:t>
            </w:r>
            <w:r>
              <w:rPr>
                <w:rFonts w:hint="eastAsia" w:ascii="宋体" w:hAnsi="宋体" w:cs="宋体"/>
                <w:color w:val="000000" w:themeColor="text1"/>
                <w:sz w:val="24"/>
                <w:lang w:bidi="ar"/>
                <w14:textFill>
                  <w14:solidFill>
                    <w14:schemeClr w14:val="tx1"/>
                  </w14:solidFill>
                </w14:textFill>
              </w:rPr>
              <w:t>如供应商为新成立企业且成立时间不足一个月可提供加盖公章的情况说明或者证明材料亦视为符合。如为退休返聘人员提供退休证明和聘用合同亦视为符合</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2.提供项目团队成员（含</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负责人）不少于5人的承诺函，工作年限证明需提供人员简历以及社保证明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年限证明</w:t>
            </w:r>
            <w:r>
              <w:rPr>
                <w:rFonts w:hint="eastAsia" w:ascii="宋体" w:hAnsi="宋体" w:cs="宋体"/>
                <w:color w:val="000000" w:themeColor="text1"/>
                <w:sz w:val="24"/>
                <w:lang w:val="en-US" w:eastAsia="zh-CN"/>
                <w14:textFill>
                  <w14:solidFill>
                    <w14:schemeClr w14:val="tx1"/>
                  </w14:solidFill>
                </w14:textFill>
              </w:rPr>
              <w:t>的社保不限于投标单位的社保</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加盖公章。</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评审项目证明相关材料（如合同关键页（关键页包含但不限于合同封面、服务内容页、服务人员页、双方盖章页等）或委托函加盖甲方公章等复印件，合同关键页或委托函若不能体现项目成员的工作业绩，可提供委托单位开具的书面证明）加盖公章，原件备查。未提供或提供不齐全或无法分辨的不得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获得荣誉情况</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（一）投标单位获得有同类型的辅导、组织评价等工作的相关荣誉，区</w:t>
            </w:r>
            <w:r>
              <w:rPr>
                <w:rFonts w:hint="eastAsia" w:ascii="宋体" w:hAnsi="宋体" w:cs="宋体"/>
                <w:color w:val="000000" w:themeColor="text1"/>
                <w:sz w:val="24"/>
                <w14:textFill>
                  <w14:solidFill>
                    <w14:schemeClr w14:val="tx1"/>
                  </w14:solidFill>
                </w14:textFill>
              </w:rPr>
              <w:t>（县）</w:t>
            </w:r>
            <w:r>
              <w:rPr>
                <w:rFonts w:ascii="宋体" w:hAnsi="宋体" w:cs="宋体"/>
                <w:color w:val="000000" w:themeColor="text1"/>
                <w:sz w:val="24"/>
                <w14:textFill>
                  <w14:solidFill>
                    <w14:schemeClr w14:val="tx1"/>
                  </w14:solidFill>
                </w14:textFill>
              </w:rPr>
              <w:t>级1次得1分，市级1次得2分，省级</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（含副省级）</w:t>
            </w:r>
            <w:r>
              <w:rPr>
                <w:rFonts w:hint="eastAsia" w:ascii="宋体" w:hAnsi="宋体" w:cs="宋体"/>
                <w:color w:val="000000" w:themeColor="text1"/>
                <w:sz w:val="24"/>
                <w14:textFill>
                  <w14:solidFill>
                    <w14:schemeClr w14:val="tx1"/>
                  </w14:solidFill>
                </w14:textFill>
              </w:rPr>
              <w:t>或以上</w:t>
            </w:r>
            <w:r>
              <w:rPr>
                <w:rFonts w:ascii="宋体" w:hAnsi="宋体" w:cs="宋体"/>
                <w:color w:val="000000" w:themeColor="text1"/>
                <w:sz w:val="24"/>
                <w14:textFill>
                  <w14:solidFill>
                    <w14:schemeClr w14:val="tx1"/>
                  </w14:solidFill>
                </w14:textFill>
              </w:rPr>
              <w:t>1次得3分，最高得分5分。</w:t>
            </w:r>
            <w:r>
              <w:rPr>
                <w:rFonts w:hint="eastAsia" w:ascii="宋体" w:hAnsi="宋体" w:cs="宋体"/>
                <w:color w:val="000000" w:themeColor="text1"/>
                <w:sz w:val="24"/>
                <w14:textFill>
                  <w14:solidFill>
                    <w14:schemeClr w14:val="tx1"/>
                  </w14:solidFill>
                </w14:textFill>
              </w:rPr>
              <w:br w:type="textWrapping"/>
            </w:r>
            <w:r>
              <w:rPr>
                <w:rFonts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14:textFill>
                  <w14:solidFill>
                    <w14:schemeClr w14:val="tx1"/>
                  </w14:solidFill>
                </w14:textFill>
              </w:rPr>
              <w:t>提供</w:t>
            </w:r>
            <w:r>
              <w:rPr>
                <w:rFonts w:ascii="宋体" w:hAnsi="宋体" w:cs="宋体"/>
                <w:color w:val="000000" w:themeColor="text1"/>
                <w:sz w:val="24"/>
                <w14:textFill>
                  <w14:solidFill>
                    <w14:schemeClr w14:val="tx1"/>
                  </w14:solidFill>
                </w14:textFill>
              </w:rPr>
              <w:t>获得相关</w:t>
            </w:r>
            <w:r>
              <w:rPr>
                <w:rFonts w:hint="eastAsia" w:ascii="宋体" w:hAnsi="宋体" w:cs="宋体"/>
                <w:color w:val="000000" w:themeColor="text1"/>
                <w:sz w:val="24"/>
                <w14:textFill>
                  <w14:solidFill>
                    <w14:schemeClr w14:val="tx1"/>
                  </w14:solidFill>
                </w14:textFill>
              </w:rPr>
              <w:t>荣誉</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证书等有效证明</w:t>
            </w:r>
            <w:r>
              <w:rPr>
                <w:rFonts w:ascii="宋体" w:hAnsi="宋体" w:cs="宋体"/>
                <w:color w:val="000000" w:themeColor="text1"/>
                <w:sz w:val="24"/>
                <w14:textFill>
                  <w14:solidFill>
                    <w14:schemeClr w14:val="tx1"/>
                  </w14:solidFill>
                </w14:textFill>
              </w:rPr>
              <w:t>复印</w:t>
            </w:r>
            <w:r>
              <w:rPr>
                <w:rFonts w:hint="eastAsia" w:ascii="宋体" w:hAnsi="宋体" w:cs="宋体"/>
                <w:color w:val="000000" w:themeColor="text1"/>
                <w:sz w:val="24"/>
                <w14:textFill>
                  <w14:solidFill>
                    <w14:schemeClr w14:val="tx1"/>
                  </w14:solidFill>
                </w14:textFill>
              </w:rPr>
              <w:t>件加盖公章，原件备查</w:t>
            </w:r>
            <w:r>
              <w:rPr>
                <w:rFonts w:ascii="宋体" w:hAnsi="宋体" w:cs="宋体"/>
                <w:color w:val="000000" w:themeColor="text1"/>
                <w:sz w:val="24"/>
                <w14:textFill>
                  <w14:solidFill>
                    <w14:schemeClr w14:val="tx1"/>
                  </w14:solidFill>
                </w14:textFill>
              </w:rPr>
              <w:t>。国家级要求颁发单位为国务院（或其直接所属的行政机关）；省级要求颁发单位为省（自治区、直辖市</w:t>
            </w:r>
            <w:r>
              <w:rPr>
                <w:rFonts w:hint="eastAsia" w:ascii="宋体" w:hAnsi="宋体" w:cs="宋体"/>
                <w:color w:val="000000" w:themeColor="text1"/>
                <w:sz w:val="24"/>
                <w:lang w:eastAsia="zh-CN"/>
                <w14:textFill>
                  <w14:solidFill>
                    <w14:schemeClr w14:val="tx1"/>
                  </w14:solidFill>
                </w14:textFill>
              </w:rPr>
              <w:t>、副省级</w:t>
            </w:r>
            <w:r>
              <w:rPr>
                <w:rFonts w:ascii="宋体" w:hAnsi="宋体" w:cs="宋体"/>
                <w:color w:val="000000" w:themeColor="text1"/>
                <w:sz w:val="24"/>
                <w14:textFill>
                  <w14:solidFill>
                    <w14:schemeClr w14:val="tx1"/>
                  </w14:solidFill>
                </w14:textFill>
              </w:rPr>
              <w:t>）人民政府（或其直接所属的行政机关）：市级</w:t>
            </w:r>
            <w:r>
              <w:rPr>
                <w:rFonts w:hint="eastAsia" w:ascii="宋体" w:hAnsi="宋体" w:cs="宋体"/>
                <w:color w:val="000000" w:themeColor="text1"/>
                <w:sz w:val="24"/>
                <w:lang w:val="en-US" w:eastAsia="zh-CN"/>
                <w14:textFill>
                  <w14:solidFill>
                    <w14:schemeClr w14:val="tx1"/>
                  </w14:solidFill>
                </w14:textFill>
              </w:rPr>
              <w:t>/</w:t>
            </w:r>
            <w:r>
              <w:rPr>
                <w:rFonts w:ascii="宋体" w:hAnsi="宋体" w:cs="宋体"/>
                <w:color w:val="000000" w:themeColor="text1"/>
                <w:sz w:val="24"/>
                <w14:textFill>
                  <w14:solidFill>
                    <w14:schemeClr w14:val="tx1"/>
                  </w14:solidFill>
                </w14:textFill>
              </w:rPr>
              <w:t>区</w:t>
            </w:r>
            <w:r>
              <w:rPr>
                <w:rFonts w:hint="eastAsia" w:ascii="宋体" w:hAnsi="宋体" w:cs="宋体"/>
                <w:color w:val="000000" w:themeColor="text1"/>
                <w:sz w:val="24"/>
                <w14:textFill>
                  <w14:solidFill>
                    <w14:schemeClr w14:val="tx1"/>
                  </w14:solidFill>
                </w14:textFill>
              </w:rPr>
              <w:t>（县）</w:t>
            </w:r>
            <w:r>
              <w:rPr>
                <w:rFonts w:ascii="宋体" w:hAnsi="宋体" w:cs="宋体"/>
                <w:color w:val="000000" w:themeColor="text1"/>
                <w:sz w:val="24"/>
                <w14:textFill>
                  <w14:solidFill>
                    <w14:schemeClr w14:val="tx1"/>
                  </w14:solidFill>
                </w14:textFill>
              </w:rPr>
              <w:t>级要求颁发单位为市级</w:t>
            </w:r>
            <w:r>
              <w:rPr>
                <w:rFonts w:hint="eastAsia" w:ascii="宋体" w:hAnsi="宋体" w:cs="宋体"/>
                <w:color w:val="000000" w:themeColor="text1"/>
                <w:sz w:val="24"/>
                <w:lang w:val="en-US" w:eastAsia="zh-CN"/>
                <w14:textFill>
                  <w14:solidFill>
                    <w14:schemeClr w14:val="tx1"/>
                  </w14:solidFill>
                </w14:textFill>
              </w:rPr>
              <w:t>/</w:t>
            </w:r>
            <w:r>
              <w:rPr>
                <w:rFonts w:ascii="宋体" w:hAnsi="宋体" w:cs="宋体"/>
                <w:color w:val="000000" w:themeColor="text1"/>
                <w:sz w:val="24"/>
                <w14:textFill>
                  <w14:solidFill>
                    <w14:schemeClr w14:val="tx1"/>
                  </w14:solidFill>
                </w14:textFill>
              </w:rPr>
              <w:t>区</w:t>
            </w:r>
            <w:r>
              <w:rPr>
                <w:rFonts w:hint="eastAsia" w:ascii="宋体" w:hAnsi="宋体" w:cs="宋体"/>
                <w:color w:val="000000" w:themeColor="text1"/>
                <w:sz w:val="24"/>
                <w14:textFill>
                  <w14:solidFill>
                    <w14:schemeClr w14:val="tx1"/>
                  </w14:solidFill>
                </w14:textFill>
              </w:rPr>
              <w:t>（县）</w:t>
            </w:r>
            <w:r>
              <w:rPr>
                <w:rFonts w:ascii="宋体" w:hAnsi="宋体" w:cs="宋体"/>
                <w:color w:val="000000" w:themeColor="text1"/>
                <w:sz w:val="24"/>
                <w14:textFill>
                  <w14:solidFill>
                    <w14:schemeClr w14:val="tx1"/>
                  </w14:solidFill>
                </w14:textFill>
              </w:rPr>
              <w:t>级人民政府（或其直接所属的行政机关）</w:t>
            </w:r>
            <w:r>
              <w:rPr>
                <w:rFonts w:hint="eastAsia" w:ascii="宋体" w:hAnsi="宋体" w:cs="宋体"/>
                <w:color w:val="000000" w:themeColor="text1"/>
                <w:sz w:val="24"/>
                <w14:textFill>
                  <w14:solidFill>
                    <w14:schemeClr w14:val="tx1"/>
                  </w14:solidFill>
                </w14:textFill>
              </w:rPr>
              <w:t>。</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项目完成后的服务承诺</w:t>
            </w:r>
          </w:p>
        </w:tc>
        <w:tc>
          <w:tcPr>
            <w:tcW w:w="5992" w:type="dxa"/>
            <w:vAlign w:val="center"/>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w:t>
            </w:r>
            <w:r>
              <w:rPr>
                <w:rFonts w:hint="eastAsia" w:ascii="宋体" w:hAnsi="宋体" w:cs="宋体"/>
                <w:color w:val="000000" w:themeColor="text1"/>
                <w:sz w:val="24"/>
                <w:lang w:val="zh-CN"/>
                <w14:textFill>
                  <w14:solidFill>
                    <w14:schemeClr w14:val="tx1"/>
                  </w14:solidFill>
                </w14:textFill>
              </w:rPr>
              <w:t>内容：承诺服务期满后主动办理交接手续。</w:t>
            </w:r>
            <w:r>
              <w:rPr>
                <w:rFonts w:hint="eastAsia" w:ascii="宋体" w:hAnsi="宋体" w:cs="宋体"/>
                <w:color w:val="000000" w:themeColor="text1"/>
                <w:sz w:val="24"/>
                <w:lang w:val="en-US" w:eastAsia="zh-CN"/>
                <w14:textFill>
                  <w14:solidFill>
                    <w14:schemeClr w14:val="tx1"/>
                  </w14:solidFill>
                </w14:textFill>
              </w:rPr>
              <w:t>得满分。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要求提供承诺加盖公章（格式自定）作为得分依据，未提供承诺或承诺内容不满足不得分。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1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45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专家库</w:t>
            </w:r>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资源</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（一）评分内容：申报单位拥有不少于1000人组成的专家库</w:t>
            </w:r>
            <w:r>
              <w:rPr>
                <w:rFonts w:hint="eastAsia" w:ascii="宋体" w:hAnsi="宋体" w:cs="宋体"/>
                <w:color w:val="000000" w:themeColor="text1"/>
                <w:sz w:val="24"/>
                <w14:textFill>
                  <w14:solidFill>
                    <w14:schemeClr w14:val="tx1"/>
                  </w14:solidFill>
                </w14:textFill>
              </w:rPr>
              <w:t>且</w:t>
            </w:r>
            <w:r>
              <w:rPr>
                <w:rFonts w:ascii="宋体" w:hAnsi="宋体" w:cs="宋体"/>
                <w:color w:val="000000" w:themeColor="text1"/>
                <w:sz w:val="24"/>
                <w14:textFill>
                  <w14:solidFill>
                    <w14:schemeClr w14:val="tx1"/>
                  </w14:solidFill>
                </w14:textFill>
              </w:rPr>
              <w:t>专家库中的专家领域需覆盖不少于6个学科（需涵盖现代物流、信息服务、科技服务、文化创意产业、商务服务业以及财会专业学科）</w:t>
            </w:r>
            <w:r>
              <w:rPr>
                <w:rFonts w:hint="eastAsia" w:ascii="宋体" w:hAnsi="宋体" w:cs="宋体"/>
                <w:color w:val="000000" w:themeColor="text1"/>
                <w:sz w:val="24"/>
                <w14:textFill>
                  <w14:solidFill>
                    <w14:schemeClr w14:val="tx1"/>
                  </w14:solidFill>
                </w14:textFill>
              </w:rPr>
              <w:t>在此基础上：</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拥有不少于10000人组成</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sz w:val="24"/>
                <w14:textFill>
                  <w14:solidFill>
                    <w14:schemeClr w14:val="tx1"/>
                  </w14:solidFill>
                </w14:textFill>
              </w:rPr>
              <w:t>专家库，且涵盖6个专业</w:t>
            </w:r>
            <w:r>
              <w:rPr>
                <w:rFonts w:hint="eastAsia" w:ascii="宋体" w:hAnsi="宋体" w:cs="宋体"/>
                <w:color w:val="000000" w:themeColor="text1"/>
                <w:sz w:val="24"/>
                <w14:textFill>
                  <w14:solidFill>
                    <w14:schemeClr w14:val="tx1"/>
                  </w14:solidFill>
                </w14:textFill>
              </w:rPr>
              <w:t>及以上</w:t>
            </w:r>
            <w:r>
              <w:rPr>
                <w:rFonts w:ascii="宋体" w:hAnsi="宋体" w:cs="宋体"/>
                <w:color w:val="000000" w:themeColor="text1"/>
                <w:sz w:val="24"/>
                <w14:textFill>
                  <w14:solidFill>
                    <w14:schemeClr w14:val="tx1"/>
                  </w14:solidFill>
                </w14:textFill>
              </w:rPr>
              <w:t>学科，中高级职称占比达50%，得</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分；</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拥有不少于5000人组成</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sz w:val="24"/>
                <w14:textFill>
                  <w14:solidFill>
                    <w14:schemeClr w14:val="tx1"/>
                  </w14:solidFill>
                </w14:textFill>
              </w:rPr>
              <w:t>专家库，且涵盖6个专业</w:t>
            </w:r>
            <w:r>
              <w:rPr>
                <w:rFonts w:hint="eastAsia" w:ascii="宋体" w:hAnsi="宋体" w:cs="宋体"/>
                <w:color w:val="000000" w:themeColor="text1"/>
                <w:sz w:val="24"/>
                <w14:textFill>
                  <w14:solidFill>
                    <w14:schemeClr w14:val="tx1"/>
                  </w14:solidFill>
                </w14:textFill>
              </w:rPr>
              <w:t>及以上</w:t>
            </w:r>
            <w:r>
              <w:rPr>
                <w:rFonts w:ascii="宋体" w:hAnsi="宋体" w:cs="宋体"/>
                <w:color w:val="000000" w:themeColor="text1"/>
                <w:sz w:val="24"/>
                <w14:textFill>
                  <w14:solidFill>
                    <w14:schemeClr w14:val="tx1"/>
                  </w14:solidFill>
                </w14:textFill>
              </w:rPr>
              <w:t>学科，中高级职称占比达50%，得10分；</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拥有不少于1000人组成</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sz w:val="24"/>
                <w14:textFill>
                  <w14:solidFill>
                    <w14:schemeClr w14:val="tx1"/>
                  </w14:solidFill>
                </w14:textFill>
              </w:rPr>
              <w:t>专家库，且涵盖6个专业</w:t>
            </w:r>
            <w:r>
              <w:rPr>
                <w:rFonts w:hint="eastAsia" w:ascii="宋体" w:hAnsi="宋体" w:cs="宋体"/>
                <w:color w:val="000000" w:themeColor="text1"/>
                <w:sz w:val="24"/>
                <w14:textFill>
                  <w14:solidFill>
                    <w14:schemeClr w14:val="tx1"/>
                  </w14:solidFill>
                </w14:textFill>
              </w:rPr>
              <w:t>及以上</w:t>
            </w:r>
            <w:r>
              <w:rPr>
                <w:rFonts w:ascii="宋体" w:hAnsi="宋体" w:cs="宋体"/>
                <w:color w:val="000000" w:themeColor="text1"/>
                <w:sz w:val="24"/>
                <w14:textFill>
                  <w14:solidFill>
                    <w14:schemeClr w14:val="tx1"/>
                  </w14:solidFill>
                </w14:textFill>
              </w:rPr>
              <w:t>学科，中高级职称占比达50%，得5分；</w:t>
            </w:r>
          </w:p>
          <w:p>
            <w:pPr>
              <w:spacing w:line="360" w:lineRule="auto"/>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提供专家库资源证明文件，专家库中的专家领域需覆盖不少于6个学科（需涵盖现代物流、信息服务、科技服务、文化创意产业、商务服务业以及财会专业学科），专家成员</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sz w:val="24"/>
                <w14:textFill>
                  <w14:solidFill>
                    <w14:schemeClr w14:val="tx1"/>
                  </w14:solidFill>
                </w14:textFill>
              </w:rPr>
              <w:t>中高级职称专家人数占比达到50%</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职称</w:t>
            </w:r>
            <w:r>
              <w:rPr>
                <w:rFonts w:hint="eastAsia" w:ascii="宋体" w:hAnsi="宋体" w:cs="宋体"/>
                <w:color w:val="000000" w:themeColor="text1"/>
                <w:sz w:val="24"/>
                <w14:textFill>
                  <w14:solidFill>
                    <w14:schemeClr w14:val="tx1"/>
                  </w14:solidFill>
                </w14:textFill>
              </w:rPr>
              <w:t>占比</w:t>
            </w:r>
            <w:r>
              <w:rPr>
                <w:rFonts w:ascii="宋体" w:hAnsi="宋体" w:cs="宋体"/>
                <w:color w:val="000000" w:themeColor="text1"/>
                <w:sz w:val="24"/>
                <w14:textFill>
                  <w14:solidFill>
                    <w14:schemeClr w14:val="tx1"/>
                  </w14:solidFill>
                </w14:textFill>
              </w:rPr>
              <w:t>提供</w:t>
            </w:r>
            <w:r>
              <w:rPr>
                <w:rFonts w:hint="eastAsia" w:ascii="宋体" w:hAnsi="宋体" w:cs="宋体"/>
                <w:color w:val="000000" w:themeColor="text1"/>
                <w:sz w:val="24"/>
                <w14:textFill>
                  <w14:solidFill>
                    <w14:schemeClr w14:val="tx1"/>
                  </w14:solidFill>
                </w14:textFill>
              </w:rPr>
              <w:t>承诺函，格式自拟）</w:t>
            </w:r>
            <w:r>
              <w:rPr>
                <w:rFonts w:ascii="宋体" w:hAnsi="宋体" w:cs="宋体"/>
                <w:color w:val="000000" w:themeColor="text1"/>
                <w:sz w:val="24"/>
                <w14:textFill>
                  <w14:solidFill>
                    <w14:schemeClr w14:val="tx1"/>
                  </w14:solidFill>
                </w14:textFill>
              </w:rPr>
              <w:t>加盖公章，</w:t>
            </w:r>
            <w:r>
              <w:rPr>
                <w:rFonts w:hint="eastAsia" w:ascii="宋体" w:hAnsi="宋体" w:cs="宋体"/>
                <w:color w:val="000000" w:themeColor="text1"/>
                <w:sz w:val="24"/>
                <w:lang w:val="zh-CN"/>
                <w14:textFill>
                  <w14:solidFill>
                    <w14:schemeClr w14:val="tx1"/>
                  </w14:solidFill>
                </w14:textFill>
              </w:rPr>
              <w:t>未提供或提供不齐全或无法分辨的不得分。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工作内容与思路</w:t>
            </w:r>
          </w:p>
        </w:tc>
        <w:tc>
          <w:tcPr>
            <w:tcW w:w="5992"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（一）评分</w:t>
            </w:r>
            <w:r>
              <w:rPr>
                <w:rFonts w:hint="eastAsia" w:ascii="宋体" w:hAnsi="宋体" w:cs="宋体"/>
                <w:color w:val="000000" w:themeColor="text1"/>
                <w:sz w:val="24"/>
                <w:lang w:val="zh-CN"/>
                <w14:textFill>
                  <w14:solidFill>
                    <w14:schemeClr w14:val="tx1"/>
                  </w14:solidFill>
                </w14:textFill>
              </w:rPr>
              <w:t>内容：根据投标文件里对内容和思路分析情况比较得分：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1.工作目标；</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2.工作范围；</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3.工作内容。</w:t>
            </w:r>
          </w:p>
          <w:p>
            <w:pPr>
              <w:spacing w:line="360" w:lineRule="auto"/>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以上内容满足三点得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分，满足两点得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分，未满足不得分。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优：对工作目标、范围及内容理解和把握全面准确，工作思路的内容与深度</w:t>
            </w:r>
            <w:r>
              <w:rPr>
                <w:rFonts w:hint="eastAsia" w:ascii="宋体" w:hAnsi="宋体" w:cs="宋体"/>
                <w:color w:val="000000" w:themeColor="text1"/>
                <w:sz w:val="24"/>
                <w14:textFill>
                  <w14:solidFill>
                    <w14:schemeClr w14:val="tx1"/>
                  </w14:solidFill>
                </w14:textFill>
              </w:rPr>
              <w:t>完全</w:t>
            </w:r>
            <w:r>
              <w:rPr>
                <w:rFonts w:hint="eastAsia" w:ascii="宋体" w:hAnsi="宋体" w:cs="宋体"/>
                <w:color w:val="000000" w:themeColor="text1"/>
                <w:sz w:val="24"/>
                <w:lang w:val="zh-CN"/>
                <w14:textFill>
                  <w14:solidFill>
                    <w14:schemeClr w14:val="tx1"/>
                  </w14:solidFill>
                </w14:textFill>
              </w:rPr>
              <w:t>符合招标文件要求；</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良：对工作目标、范围及内容理解和把握</w:t>
            </w:r>
            <w:r>
              <w:rPr>
                <w:rFonts w:hint="eastAsia" w:ascii="宋体" w:hAnsi="宋体" w:cs="宋体"/>
                <w:color w:val="000000" w:themeColor="text1"/>
                <w:sz w:val="24"/>
                <w14:textFill>
                  <w14:solidFill>
                    <w14:schemeClr w14:val="tx1"/>
                  </w14:solidFill>
                </w14:textFill>
              </w:rPr>
              <w:t>较</w:t>
            </w:r>
            <w:r>
              <w:rPr>
                <w:rFonts w:hint="eastAsia" w:ascii="宋体" w:hAnsi="宋体" w:cs="宋体"/>
                <w:color w:val="000000" w:themeColor="text1"/>
                <w:sz w:val="24"/>
                <w:lang w:val="zh-CN"/>
                <w14:textFill>
                  <w14:solidFill>
                    <w14:schemeClr w14:val="tx1"/>
                  </w14:solidFill>
                </w14:textFill>
              </w:rPr>
              <w:t>全面准确，工作思路的内容与深度</w:t>
            </w:r>
            <w:r>
              <w:rPr>
                <w:rFonts w:hint="eastAsia" w:ascii="宋体" w:hAnsi="宋体" w:cs="宋体"/>
                <w:color w:val="000000" w:themeColor="text1"/>
                <w:sz w:val="24"/>
                <w14:textFill>
                  <w14:solidFill>
                    <w14:schemeClr w14:val="tx1"/>
                  </w14:solidFill>
                </w14:textFill>
              </w:rPr>
              <w:t>较</w:t>
            </w:r>
            <w:r>
              <w:rPr>
                <w:rFonts w:hint="eastAsia" w:ascii="宋体" w:hAnsi="宋体" w:cs="宋体"/>
                <w:color w:val="000000" w:themeColor="text1"/>
                <w:sz w:val="24"/>
                <w:lang w:val="zh-CN"/>
                <w14:textFill>
                  <w14:solidFill>
                    <w14:schemeClr w14:val="tx1"/>
                  </w14:solidFill>
                </w14:textFill>
              </w:rPr>
              <w:t>符合招标文件要求；</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中：对工作目标、范围及内容理解和把握</w:t>
            </w:r>
            <w:r>
              <w:rPr>
                <w:rFonts w:hint="eastAsia" w:ascii="宋体" w:hAnsi="宋体" w:cs="宋体"/>
                <w:color w:val="000000" w:themeColor="text1"/>
                <w:sz w:val="24"/>
                <w14:textFill>
                  <w14:solidFill>
                    <w14:schemeClr w14:val="tx1"/>
                  </w14:solidFill>
                </w14:textFill>
              </w:rPr>
              <w:t>基本</w:t>
            </w:r>
            <w:r>
              <w:rPr>
                <w:rFonts w:hint="eastAsia" w:ascii="宋体" w:hAnsi="宋体" w:cs="宋体"/>
                <w:color w:val="000000" w:themeColor="text1"/>
                <w:sz w:val="24"/>
                <w:lang w:val="zh-CN"/>
                <w14:textFill>
                  <w14:solidFill>
                    <w14:schemeClr w14:val="tx1"/>
                  </w14:solidFill>
                </w14:textFill>
              </w:rPr>
              <w:t>准确，工作思路的内容与深度</w:t>
            </w:r>
            <w:r>
              <w:rPr>
                <w:rFonts w:hint="eastAsia" w:ascii="宋体" w:hAnsi="宋体" w:cs="宋体"/>
                <w:color w:val="000000" w:themeColor="text1"/>
                <w:sz w:val="24"/>
                <w14:textFill>
                  <w14:solidFill>
                    <w14:schemeClr w14:val="tx1"/>
                  </w14:solidFill>
                </w14:textFill>
              </w:rPr>
              <w:t>基本</w:t>
            </w:r>
            <w:r>
              <w:rPr>
                <w:rFonts w:hint="eastAsia" w:ascii="宋体" w:hAnsi="宋体" w:cs="宋体"/>
                <w:color w:val="000000" w:themeColor="text1"/>
                <w:sz w:val="24"/>
                <w:lang w:val="zh-CN"/>
                <w14:textFill>
                  <w14:solidFill>
                    <w14:schemeClr w14:val="tx1"/>
                  </w14:solidFill>
                </w14:textFill>
              </w:rPr>
              <w:t>符合招标文件要求；</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差：对工作目标、范围及内容理解和把握不大准确。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w:t>
            </w:r>
            <w:r>
              <w:rPr>
                <w:rFonts w:hint="eastAsia" w:ascii="宋体" w:hAnsi="宋体" w:cs="宋体"/>
                <w:color w:val="000000" w:themeColor="text1"/>
                <w:sz w:val="24"/>
                <w:lang w:val="zh-CN"/>
                <w14:textFill>
                  <w14:solidFill>
                    <w14:schemeClr w14:val="tx1"/>
                  </w14:solidFill>
                </w14:textFill>
              </w:rPr>
              <w:t>标文件比较，评价为优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分。如果评审为差，要求</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书面说明理由，并记录在档。</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工作步骤及成果</w:t>
            </w:r>
          </w:p>
        </w:tc>
        <w:tc>
          <w:tcPr>
            <w:tcW w:w="5992"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（一）评分</w:t>
            </w:r>
            <w:r>
              <w:rPr>
                <w:rFonts w:hint="eastAsia" w:ascii="宋体" w:hAnsi="宋体" w:cs="宋体"/>
                <w:color w:val="000000" w:themeColor="text1"/>
                <w:sz w:val="24"/>
                <w:lang w:val="zh-CN"/>
                <w14:textFill>
                  <w14:solidFill>
                    <w14:schemeClr w14:val="tx1"/>
                  </w14:solidFill>
                </w14:textFill>
              </w:rPr>
              <w:t xml:space="preserve">内容：根据投标文件里对工作步骤及成果的安排情况比较得分： </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1.工作阶段和步骤划分；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2.各阶段时间周期和工作安排；</w:t>
            </w:r>
          </w:p>
          <w:p>
            <w:pPr>
              <w:pStyle w:val="2"/>
              <w:spacing w:after="0" w:line="360" w:lineRule="auto"/>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3.各阶段工作成果。</w:t>
            </w:r>
          </w:p>
          <w:p>
            <w:pPr>
              <w:spacing w:line="360" w:lineRule="auto"/>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（二）评分依据：</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以上内容满足三点得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分，满足两点得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分，未满足不得分。</w:t>
            </w:r>
          </w:p>
          <w:p>
            <w:pPr>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优：工作阶段、时间安排及成果内容</w:t>
            </w:r>
            <w:r>
              <w:rPr>
                <w:rFonts w:hint="eastAsia" w:ascii="宋体" w:hAnsi="宋体" w:cs="宋体"/>
                <w:color w:val="000000" w:themeColor="text1"/>
                <w:sz w:val="24"/>
                <w14:textFill>
                  <w14:solidFill>
                    <w14:schemeClr w14:val="tx1"/>
                  </w14:solidFill>
                </w14:textFill>
              </w:rPr>
              <w:t>完全</w:t>
            </w:r>
            <w:r>
              <w:rPr>
                <w:rFonts w:hint="eastAsia" w:ascii="宋体" w:hAnsi="宋体" w:cs="宋体"/>
                <w:color w:val="000000" w:themeColor="text1"/>
                <w:sz w:val="24"/>
                <w:lang w:val="zh-CN"/>
                <w14:textFill>
                  <w14:solidFill>
                    <w14:schemeClr w14:val="tx1"/>
                  </w14:solidFill>
                </w14:textFill>
              </w:rPr>
              <w:t>符合采购人的工作要求；</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良：工作阶段、时间安排及成果内容</w:t>
            </w:r>
            <w:r>
              <w:rPr>
                <w:rFonts w:hint="eastAsia" w:ascii="宋体" w:hAnsi="宋体" w:cs="宋体"/>
                <w:color w:val="000000" w:themeColor="text1"/>
                <w:sz w:val="24"/>
                <w14:textFill>
                  <w14:solidFill>
                    <w14:schemeClr w14:val="tx1"/>
                  </w14:solidFill>
                </w14:textFill>
              </w:rPr>
              <w:t>较</w:t>
            </w:r>
            <w:r>
              <w:rPr>
                <w:rFonts w:hint="eastAsia" w:ascii="宋体" w:hAnsi="宋体" w:cs="宋体"/>
                <w:color w:val="000000" w:themeColor="text1"/>
                <w:sz w:val="24"/>
                <w:lang w:val="zh-CN"/>
                <w14:textFill>
                  <w14:solidFill>
                    <w14:schemeClr w14:val="tx1"/>
                  </w14:solidFill>
                </w14:textFill>
              </w:rPr>
              <w:t xml:space="preserve">符合采购人的工作要求； </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中：工作阶段、时间安排及成果内容</w:t>
            </w:r>
            <w:r>
              <w:rPr>
                <w:rFonts w:hint="eastAsia" w:ascii="宋体" w:hAnsi="宋体" w:cs="宋体"/>
                <w:color w:val="000000" w:themeColor="text1"/>
                <w:sz w:val="24"/>
                <w14:textFill>
                  <w14:solidFill>
                    <w14:schemeClr w14:val="tx1"/>
                  </w14:solidFill>
                </w14:textFill>
              </w:rPr>
              <w:t>基本</w:t>
            </w:r>
            <w:r>
              <w:rPr>
                <w:rFonts w:hint="eastAsia" w:ascii="宋体" w:hAnsi="宋体" w:cs="宋体"/>
                <w:color w:val="000000" w:themeColor="text1"/>
                <w:sz w:val="24"/>
                <w:lang w:val="zh-CN"/>
                <w14:textFill>
                  <w14:solidFill>
                    <w14:schemeClr w14:val="tx1"/>
                  </w14:solidFill>
                </w14:textFill>
              </w:rPr>
              <w:t xml:space="preserve">符合采购人的工作要求； </w:t>
            </w:r>
          </w:p>
          <w:p>
            <w:pPr>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差：工作阶段、时间安排及成果内容不符合采购人的工作要求。</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w:t>
            </w:r>
            <w:r>
              <w:rPr>
                <w:rFonts w:hint="eastAsia" w:ascii="宋体" w:hAnsi="宋体" w:cs="宋体"/>
                <w:color w:val="000000" w:themeColor="text1"/>
                <w:sz w:val="24"/>
                <w14:textFill>
                  <w14:solidFill>
                    <w14:schemeClr w14:val="tx1"/>
                  </w14:solidFill>
                </w14:textFill>
              </w:rPr>
              <w:t>招</w:t>
            </w:r>
            <w:r>
              <w:rPr>
                <w:rFonts w:hint="eastAsia" w:ascii="宋体" w:hAnsi="宋体" w:cs="宋体"/>
                <w:color w:val="000000" w:themeColor="text1"/>
                <w:sz w:val="24"/>
                <w:lang w:val="zh-CN"/>
                <w14:textFill>
                  <w14:solidFill>
                    <w14:schemeClr w14:val="tx1"/>
                  </w14:solidFill>
                </w14:textFill>
              </w:rPr>
              <w:t>标文件比较，评审为优的</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分，评审为良的</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分，评审为中的</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分，评审为差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分。如果评审为差，要求</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书面说明理由，并记录在档。</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质量保障措施</w:t>
            </w:r>
          </w:p>
        </w:tc>
        <w:tc>
          <w:tcPr>
            <w:tcW w:w="5992" w:type="dxa"/>
            <w:vAlign w:val="center"/>
          </w:tcPr>
          <w:p>
            <w:pPr>
              <w:spacing w:line="360" w:lineRule="auto"/>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（一）评分</w:t>
            </w:r>
            <w:r>
              <w:rPr>
                <w:rFonts w:hint="eastAsia" w:ascii="宋体" w:hAnsi="宋体" w:cs="宋体"/>
                <w:color w:val="000000" w:themeColor="text1"/>
                <w:sz w:val="24"/>
                <w:lang w:val="zh-CN"/>
                <w14:textFill>
                  <w14:solidFill>
                    <w14:schemeClr w14:val="tx1"/>
                  </w14:solidFill>
                </w14:textFill>
              </w:rPr>
              <w:t>内容：根据招标文件的需求和投标文件响应情况，编制《质量保障措施》。包含但不限于以下内容：</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1.服务人员数量、资质；</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2.各项工作完成时间；</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3.预期成果；</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4.提出有效的信息保密措施；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5.对前海管理局的了解和认知</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w:t>
            </w:r>
            <w:r>
              <w:rPr>
                <w:rFonts w:ascii="宋体" w:hAnsi="宋体" w:cs="宋体"/>
                <w:color w:val="000000" w:themeColor="text1"/>
                <w:sz w:val="24"/>
                <w14:textFill>
                  <w14:solidFill>
                    <w14:schemeClr w14:val="tx1"/>
                  </w14:solidFill>
                </w14:textFill>
              </w:rPr>
              <w:t>依据</w:t>
            </w:r>
            <w:r>
              <w:rPr>
                <w:rFonts w:hint="eastAsia" w:ascii="宋体" w:hAnsi="宋体" w:cs="宋体"/>
                <w:color w:val="000000" w:themeColor="text1"/>
                <w:sz w:val="24"/>
                <w:lang w:val="zh-CN"/>
                <w14:textFill>
                  <w14:solidFill>
                    <w14:schemeClr w14:val="tx1"/>
                  </w14:solidFill>
                </w14:textFill>
              </w:rPr>
              <w:t xml:space="preserve">： </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1.满足</w:t>
            </w:r>
            <w:r>
              <w:rPr>
                <w:rFonts w:hint="eastAsia" w:ascii="宋体" w:hAnsi="宋体" w:cs="宋体"/>
                <w:color w:val="000000" w:themeColor="text1"/>
                <w:sz w:val="24"/>
                <w14:textFill>
                  <w14:solidFill>
                    <w14:schemeClr w14:val="tx1"/>
                  </w14:solidFill>
                </w14:textFill>
              </w:rPr>
              <w:t>五</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0.5</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2.在此基础上，</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根据各供应商的具体响应内容按照量化的评审因素指标进一步评审：</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优：内容完整详细且符合项目实际，可行性强； </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良：内容完整，可行性较好； </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w:t>
            </w:r>
            <w:r>
              <w:rPr>
                <w:rFonts w:hint="eastAsia" w:ascii="宋体" w:hAnsi="宋体" w:cs="宋体"/>
                <w:color w:val="000000" w:themeColor="text1"/>
                <w:sz w:val="24"/>
                <w14:textFill>
                  <w14:solidFill>
                    <w14:schemeClr w14:val="tx1"/>
                  </w14:solidFill>
                </w14:textFill>
              </w:rPr>
              <w:t>内容不符合实际</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评审为优的加</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评审为良的加</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p>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如果评审为差，要求</w:t>
            </w:r>
            <w:r>
              <w:rPr>
                <w:rFonts w:hint="eastAsia" w:ascii="宋体" w:hAnsi="宋体" w:cs="宋体"/>
                <w:color w:val="000000" w:themeColor="text1"/>
                <w:sz w:val="24"/>
                <w14:textFill>
                  <w14:solidFill>
                    <w14:schemeClr w14:val="tx1"/>
                  </w14:solidFill>
                </w14:textFill>
              </w:rPr>
              <w:t>评委</w:t>
            </w:r>
            <w:r>
              <w:rPr>
                <w:rFonts w:hint="eastAsia" w:ascii="宋体" w:hAnsi="宋体" w:cs="宋体"/>
                <w:color w:val="000000" w:themeColor="text1"/>
                <w:sz w:val="24"/>
                <w:lang w:val="zh-CN"/>
                <w14:textFill>
                  <w14:solidFill>
                    <w14:schemeClr w14:val="tx1"/>
                  </w14:solidFill>
                </w14:textFill>
              </w:rPr>
              <w:t xml:space="preserve">书面说明理由，并记录在档。 </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4"/>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37" w:name="_Toc9548"/>
      <w:bookmarkStart w:id="38"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37"/>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9" w:name="_Toc19494"/>
      <w:bookmarkStart w:id="40" w:name="_Toc31827"/>
      <w:bookmarkStart w:id="41" w:name="_Toc5116"/>
      <w:bookmarkStart w:id="42" w:name="_Toc6548"/>
      <w:r>
        <w:rPr>
          <w:rFonts w:hint="eastAsia" w:ascii="宋体" w:hAnsi="宋体" w:cs="宋体"/>
          <w:b/>
          <w:bCs/>
          <w:color w:val="000000" w:themeColor="text1"/>
          <w:sz w:val="24"/>
          <w14:textFill>
            <w14:solidFill>
              <w14:schemeClr w14:val="tx1"/>
            </w14:solidFill>
          </w14:textFill>
        </w:rPr>
        <w:t>1、投标文件密封袋/封面参考</w:t>
      </w:r>
      <w:bookmarkEnd w:id="39"/>
      <w:bookmarkEnd w:id="40"/>
      <w:bookmarkEnd w:id="41"/>
      <w:bookmarkEnd w:id="42"/>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3" w:name="_Toc16724"/>
      <w:r>
        <w:rPr>
          <w:rFonts w:hint="eastAsia" w:ascii="宋体" w:hAnsi="宋体" w:cs="宋体"/>
          <w:b/>
          <w:color w:val="000000" w:themeColor="text1"/>
          <w:sz w:val="24"/>
          <w14:textFill>
            <w14:solidFill>
              <w14:schemeClr w14:val="tx1"/>
            </w14:solidFill>
          </w14:textFill>
        </w:rPr>
        <w:t>2、投标文件—目录</w:t>
      </w:r>
      <w:bookmarkEnd w:id="43"/>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同类项目经验；</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拟派服务团队情况；</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获得荣誉情况；</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项目完成后的服务承诺；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专家库资源；</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工作内容与思路；</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工作步骤及成果；</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投标价（投标单价合计）</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备注：上述为含税报价。</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1551"/>
        <w:gridCol w:w="1974"/>
        <w:gridCol w:w="1902"/>
        <w:gridCol w:w="15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09"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910"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159"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（元/家）</w:t>
            </w:r>
          </w:p>
        </w:tc>
        <w:tc>
          <w:tcPr>
            <w:tcW w:w="1117"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投标上限单价</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（元/家）</w:t>
            </w:r>
          </w:p>
        </w:tc>
        <w:tc>
          <w:tcPr>
            <w:tcW w:w="903"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0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10"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界定评审费用</w:t>
            </w:r>
          </w:p>
        </w:tc>
        <w:tc>
          <w:tcPr>
            <w:tcW w:w="115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17"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2750</w:t>
            </w:r>
          </w:p>
        </w:tc>
        <w:tc>
          <w:tcPr>
            <w:tcW w:w="903" w:type="pct"/>
            <w:vMerge w:val="restar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投标单价不得超过对应上限价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0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10"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评审组织费用</w:t>
            </w:r>
          </w:p>
        </w:tc>
        <w:tc>
          <w:tcPr>
            <w:tcW w:w="115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17"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858</w:t>
            </w:r>
          </w:p>
        </w:tc>
        <w:tc>
          <w:tcPr>
            <w:tcW w:w="903" w:type="pct"/>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0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10"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针对重点招商引资企业提供常态化一对一企业所得税辅导费用。</w:t>
            </w:r>
          </w:p>
        </w:tc>
        <w:tc>
          <w:tcPr>
            <w:tcW w:w="115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17"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947</w:t>
            </w:r>
          </w:p>
        </w:tc>
        <w:tc>
          <w:tcPr>
            <w:tcW w:w="903" w:type="pct"/>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0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910"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税费</w:t>
            </w:r>
          </w:p>
        </w:tc>
        <w:tc>
          <w:tcPr>
            <w:tcW w:w="115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17" w:type="pct"/>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以上费用的</w:t>
            </w:r>
            <w:r>
              <w:rPr>
                <w:rFonts w:hint="eastAsia" w:ascii="宋体" w:hAnsi="宋体" w:cs="宋体"/>
                <w:color w:val="000000" w:themeColor="text1"/>
                <w:sz w:val="24"/>
                <w:lang w:val="en-US" w:eastAsia="zh-CN"/>
                <w14:textFill>
                  <w14:solidFill>
                    <w14:schemeClr w14:val="tx1"/>
                  </w14:solidFill>
                </w14:textFill>
              </w:rPr>
              <w:t>具体费率</w:t>
            </w:r>
            <w:r>
              <w:rPr>
                <w:rFonts w:hint="eastAsia" w:ascii="宋体" w:hAnsi="宋体" w:cs="宋体"/>
                <w:color w:val="000000" w:themeColor="text1"/>
                <w:sz w:val="24"/>
                <w14:textFill>
                  <w14:solidFill>
                    <w14:schemeClr w14:val="tx1"/>
                  </w14:solidFill>
                </w14:textFill>
              </w:rPr>
              <w:t>计算</w:t>
            </w:r>
          </w:p>
        </w:tc>
        <w:tc>
          <w:tcPr>
            <w:tcW w:w="903" w:type="pct"/>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1820"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投标单价合计（1+2+3</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p>
        </w:tc>
        <w:tc>
          <w:tcPr>
            <w:tcW w:w="3179" w:type="pct"/>
            <w:gridSpan w:val="3"/>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备注：序号1-3为不含税报价，序号4需填写具体税费。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3"/>
        <w:spacing w:line="360" w:lineRule="auto"/>
        <w:jc w:val="center"/>
        <w:rPr>
          <w:rFonts w:hint="eastAsia" w:hAnsi="宋体" w:cs="宋体"/>
          <w:b/>
          <w:color w:val="000000" w:themeColor="text1"/>
          <w:sz w:val="24"/>
          <w14:textFill>
            <w14:solidFill>
              <w14:schemeClr w14:val="tx1"/>
            </w14:solidFill>
          </w14:textFill>
        </w:rPr>
      </w:pPr>
    </w:p>
    <w:p>
      <w:pPr>
        <w:pStyle w:val="13"/>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3"/>
        <w:spacing w:line="360" w:lineRule="auto"/>
        <w:rPr>
          <w:rFonts w:hint="eastAsia" w:hAnsi="宋体" w:cs="宋体"/>
          <w:color w:val="000000" w:themeColor="text1"/>
          <w:sz w:val="24"/>
          <w14:textFill>
            <w14:solidFill>
              <w14:schemeClr w14:val="tx1"/>
            </w14:solidFill>
          </w14:textFill>
        </w:rPr>
      </w:pP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3"/>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3"/>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3"/>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同类项目经验；</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拟派服务团队情况；</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获得荣誉情况；</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项目完成后的服务承诺；</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3"/>
        <w:spacing w:line="360" w:lineRule="auto"/>
        <w:jc w:val="left"/>
        <w:rPr>
          <w:rFonts w:hint="eastAsia" w:hAnsi="宋体" w:cs="宋体"/>
          <w:color w:val="000000" w:themeColor="text1"/>
          <w:sz w:val="24"/>
          <w14:textFill>
            <w14:solidFill>
              <w14:schemeClr w14:val="tx1"/>
            </w14:solidFill>
          </w14:textFill>
        </w:rPr>
      </w:pPr>
    </w:p>
    <w:p>
      <w:pPr>
        <w:pStyle w:val="13"/>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7"/>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7"/>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7"/>
          <w:rFonts w:hint="eastAsia" w:ascii="宋体" w:hAnsi="宋体" w:cs="宋体"/>
          <w:b/>
          <w:color w:val="000000" w:themeColor="text1"/>
          <w:sz w:val="24"/>
          <w14:textFill>
            <w14:solidFill>
              <w14:schemeClr w14:val="tx1"/>
            </w14:solidFill>
          </w14:textFill>
        </w:rPr>
      </w:pPr>
      <w:r>
        <w:rPr>
          <w:rStyle w:val="37"/>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7"/>
          <w:rFonts w:hint="eastAsia" w:ascii="宋体" w:hAnsi="宋体" w:cs="宋体"/>
          <w:b/>
          <w:color w:val="000000" w:themeColor="text1"/>
          <w:sz w:val="24"/>
          <w14:textFill>
            <w14:solidFill>
              <w14:schemeClr w14:val="tx1"/>
            </w14:solidFill>
          </w14:textFill>
        </w:rPr>
      </w:pPr>
      <w:r>
        <w:rPr>
          <w:rStyle w:val="37"/>
          <w:rFonts w:hint="eastAsia" w:ascii="宋体" w:hAnsi="宋体" w:cs="宋体"/>
          <w:b/>
          <w:color w:val="000000" w:themeColor="text1"/>
          <w:sz w:val="24"/>
          <w14:textFill>
            <w14:solidFill>
              <w14:schemeClr w14:val="tx1"/>
            </w14:solidFill>
          </w14:textFill>
        </w:rPr>
        <w:br w:type="page"/>
      </w:r>
      <w:r>
        <w:rPr>
          <w:rStyle w:val="37"/>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7"/>
          <w:rFonts w:hint="eastAsia" w:ascii="宋体" w:hAnsi="宋体" w:cs="宋体"/>
          <w:color w:val="000000" w:themeColor="text1"/>
          <w:spacing w:val="6"/>
          <w:sz w:val="24"/>
          <w14:textFill>
            <w14:solidFill>
              <w14:schemeClr w14:val="tx1"/>
            </w14:solidFill>
          </w14:textFill>
        </w:rPr>
      </w:pPr>
      <w:r>
        <w:rPr>
          <w:rStyle w:val="37"/>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7"/>
          <w:rFonts w:hint="eastAsia" w:ascii="宋体" w:hAnsi="宋体" w:cs="宋体"/>
          <w:color w:val="000000" w:themeColor="text1"/>
          <w:spacing w:val="6"/>
          <w:sz w:val="24"/>
          <w:u w:val="single"/>
          <w14:textFill>
            <w14:solidFill>
              <w14:schemeClr w14:val="tx1"/>
            </w14:solidFill>
          </w14:textFill>
        </w:rPr>
        <w:t xml:space="preserve"> （采购单位名称） </w:t>
      </w:r>
      <w:r>
        <w:rPr>
          <w:rStyle w:val="37"/>
          <w:rFonts w:hint="eastAsia" w:ascii="宋体" w:hAnsi="宋体" w:cs="宋体"/>
          <w:color w:val="000000" w:themeColor="text1"/>
          <w:spacing w:val="6"/>
          <w:sz w:val="24"/>
          <w14:textFill>
            <w14:solidFill>
              <w14:schemeClr w14:val="tx1"/>
            </w14:solidFill>
          </w14:textFill>
        </w:rPr>
        <w:t>单位的</w:t>
      </w:r>
      <w:r>
        <w:rPr>
          <w:rStyle w:val="37"/>
          <w:rFonts w:hint="eastAsia" w:ascii="宋体" w:hAnsi="宋体" w:cs="宋体"/>
          <w:color w:val="000000" w:themeColor="text1"/>
          <w:spacing w:val="6"/>
          <w:sz w:val="24"/>
          <w:u w:val="single"/>
          <w14:textFill>
            <w14:solidFill>
              <w14:schemeClr w14:val="tx1"/>
            </w14:solidFill>
          </w14:textFill>
        </w:rPr>
        <w:t xml:space="preserve"> （采购项目名称） </w:t>
      </w:r>
      <w:r>
        <w:rPr>
          <w:rStyle w:val="37"/>
          <w:rFonts w:hint="eastAsia" w:ascii="宋体" w:hAnsi="宋体" w:cs="宋体"/>
          <w:color w:val="000000" w:themeColor="text1"/>
          <w:spacing w:val="6"/>
          <w:sz w:val="24"/>
          <w14:textFill>
            <w14:solidFill>
              <w14:schemeClr w14:val="tx1"/>
            </w14:solidFill>
          </w14:textFill>
        </w:rPr>
        <w:t>项目采购</w:t>
      </w:r>
      <w:r>
        <w:rPr>
          <w:rStyle w:val="37"/>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7"/>
          <w:rFonts w:hint="eastAsia" w:ascii="宋体" w:hAnsi="宋体" w:cs="宋体"/>
          <w:color w:val="000000" w:themeColor="text1"/>
          <w:spacing w:val="6"/>
          <w:sz w:val="24"/>
          <w14:textFill>
            <w14:solidFill>
              <w14:schemeClr w14:val="tx1"/>
            </w14:solidFill>
          </w14:textFill>
        </w:rPr>
        <w:t>。</w:t>
      </w:r>
      <w:r>
        <w:rPr>
          <w:rStyle w:val="37"/>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7"/>
          <w:rFonts w:hint="eastAsia" w:ascii="宋体" w:hAnsi="宋体" w:cs="宋体"/>
          <w:color w:val="000000" w:themeColor="text1"/>
          <w:spacing w:val="6"/>
          <w:sz w:val="24"/>
          <w14:textFill>
            <w14:solidFill>
              <w14:schemeClr w14:val="tx1"/>
            </w14:solidFill>
          </w14:textFill>
        </w:rPr>
      </w:pPr>
      <w:r>
        <w:rPr>
          <w:rStyle w:val="37"/>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7"/>
          <w:rFonts w:hint="eastAsia" w:ascii="宋体" w:hAnsi="宋体" w:cs="宋体"/>
          <w:color w:val="000000" w:themeColor="text1"/>
          <w:spacing w:val="6"/>
          <w:sz w:val="24"/>
          <w14:textFill>
            <w14:solidFill>
              <w14:schemeClr w14:val="tx1"/>
            </w14:solidFill>
          </w14:textFill>
        </w:rPr>
      </w:pPr>
      <w:r>
        <w:rPr>
          <w:rStyle w:val="37"/>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7"/>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7"/>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7"/>
          <w:rFonts w:hint="eastAsia" w:ascii="宋体" w:hAnsi="宋体" w:cs="宋体"/>
          <w:color w:val="000000" w:themeColor="text1"/>
          <w:spacing w:val="6"/>
          <w:sz w:val="24"/>
          <w14:textFill>
            <w14:solidFill>
              <w14:schemeClr w14:val="tx1"/>
            </w14:solidFill>
          </w14:textFill>
        </w:rPr>
      </w:pPr>
      <w:r>
        <w:rPr>
          <w:rStyle w:val="37"/>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7"/>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spacing w:after="79" w:afterLines="25" w:line="300" w:lineRule="auto"/>
        <w:ind w:firstLine="504" w:firstLineChars="20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r>
        <w:rPr>
          <w:rFonts w:hint="eastAsia" w:ascii="宋体" w:hAnsi="宋体" w:cs="宋体"/>
          <w:b/>
          <w:bCs/>
          <w:color w:val="000000" w:themeColor="text1"/>
          <w:spacing w:val="6"/>
          <w:sz w:val="24"/>
          <w14:textFill>
            <w14:solidFill>
              <w14:schemeClr w14:val="tx1"/>
            </w14:solidFill>
          </w14:textFill>
        </w:rPr>
        <w:t>④</w:t>
      </w:r>
      <w:r>
        <w:rPr>
          <w:rFonts w:hint="eastAsia" w:ascii="宋体" w:hAnsi="宋体" w:cs="宋体"/>
          <w:b/>
          <w:bCs/>
          <w:color w:val="000000" w:themeColor="text1"/>
          <w:sz w:val="24"/>
          <w14:textFill>
            <w14:solidFill>
              <w14:schemeClr w14:val="tx1"/>
            </w14:solidFill>
          </w14:textFill>
        </w:rPr>
        <w:t>本国产品声明函</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填写指引：</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2、该部分内容填写需要参考的相关文件：</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（1）《国务院办公厅关于在政府采购中实施本国产品标准及相关政策的通知》（国办发〔2025〕34号）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（2）《关于贯彻落实&lt;国务院办公厅关于在政府采购中实施本国产品标准及相关政策的通知&gt;的意见》（财库〔2025〕30号）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（3）《深圳市财政局关于贯彻落实政府采购本国产品标准及相关政策的通知》（深财购〔2025〕69号）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3、请依照提供的格式和内容填写声明函，不要随意变更格式；声明函可以不盖章或签字。</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4、声明函具体填写要求：</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（1）产品如有型号，请在“产品名称”栏一并填写。</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（2）生产厂名与厂址应与生产厂营业执照载明的相关信息保持一致。</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（3）该产品的中国境内生产的组件成本占比相关要求实施前，“规定比例”栏可不填，下同。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（4）该产品的关键组件要求实施前，“关键组件”栏可不填，下同。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（5）该产品的关键工序要求实施前，“关键工序”栏可不填，下同。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color w:val="000000" w:themeColor="text1"/>
          <w:sz w:val="24"/>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争议处理：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1.关于符合本国产品标准的声明函</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1</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3</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4</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5</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2"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cs="宋体"/>
          <w:b/>
          <w:bCs/>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（具体比例） </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6</w:t>
      </w:r>
      <w:r>
        <w:rPr>
          <w:rFonts w:hint="eastAsia" w:ascii="宋体" w:hAnsi="宋体" w:cs="宋体"/>
          <w:b/>
          <w:bCs/>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cs="宋体"/>
          <w:color w:val="000000" w:themeColor="text1"/>
          <w:kern w:val="0"/>
          <w:sz w:val="24"/>
          <w:shd w:val="clear" w:color="auto" w:fill="FFFFFF"/>
          <w14:textFill>
            <w14:solidFill>
              <w14:schemeClr w14:val="tx1"/>
            </w14:solidFill>
          </w14:textFill>
        </w:rPr>
      </w:pPr>
    </w:p>
    <w:p>
      <w:pPr>
        <w:widowControl/>
        <w:shd w:val="clear" w:color="auto" w:fill="FFFFFF"/>
        <w:spacing w:line="360" w:lineRule="auto"/>
        <w:ind w:right="840" w:rightChars="4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公司（单位）名称：</w:t>
      </w:r>
    </w:p>
    <w:p>
      <w:pPr>
        <w:widowControl/>
        <w:shd w:val="clear" w:color="auto" w:fill="FFFFFF"/>
        <w:spacing w:line="360" w:lineRule="auto"/>
        <w:ind w:right="840" w:rightChars="400"/>
        <w:jc w:val="right"/>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日期：    年  月  日</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__________________</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1.产品如有型号，请在“产品名称”栏一并填写。</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2.生产厂名与厂址应与生产厂营业执照载明的相关信息保持一致。</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3.该产品的中国境内生产的组件成本占比相关要求实施前，“规定比例”栏可不填，下同。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4.该产品的关键组件要求实施前，“关键组件”栏可不填，下同。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5.该产品的关键工序要求实施前，“关键工序”栏可不填，下同。</w:t>
      </w:r>
    </w:p>
    <w:p>
      <w:pPr>
        <w:rPr>
          <w:rFonts w:hint="eastAsia" w:ascii="宋体" w:hAnsi="宋体" w:cs="宋体"/>
          <w:bCs/>
          <w:color w:val="000000" w:themeColor="text1"/>
          <w:kern w:val="0"/>
          <w:sz w:val="24"/>
          <w14:textFill>
            <w14:solidFill>
              <w14:schemeClr w14:val="tx1"/>
            </w14:solidFill>
          </w14:textFill>
        </w:rPr>
      </w:pPr>
    </w:p>
    <w:p>
      <w:pPr>
        <w:rPr>
          <w:rFonts w:hint="eastAsia" w:ascii="宋体" w:hAnsi="宋体" w:cs="宋体"/>
          <w:bCs/>
          <w:color w:val="000000" w:themeColor="text1"/>
          <w:kern w:val="0"/>
          <w:sz w:val="24"/>
          <w14:textFill>
            <w14:solidFill>
              <w14:schemeClr w14:val="tx1"/>
            </w14:solidFill>
          </w14:textFill>
        </w:rPr>
      </w:pP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2.符合要求的财政部会同有关部门规定的有关证明文件（如有）</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rPr>
          <w:color w:val="000000" w:themeColor="text1"/>
          <w14:textFill>
            <w14:solidFill>
              <w14:schemeClr w14:val="tx1"/>
            </w14:solidFill>
          </w14:textFill>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9"/>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9"/>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4" w:name="OLE_LINK9"/>
      <w:r>
        <w:rPr>
          <w:rFonts w:hint="eastAsia" w:ascii="宋体" w:hAnsi="宋体" w:cs="宋体"/>
          <w:b/>
          <w:color w:val="000000" w:themeColor="text1"/>
          <w:sz w:val="28"/>
          <w:szCs w:val="28"/>
          <w14:textFill>
            <w14:solidFill>
              <w14:schemeClr w14:val="tx1"/>
            </w14:solidFill>
          </w14:textFill>
        </w:rPr>
        <w:t>证明</w:t>
      </w:r>
      <w:bookmarkEnd w:id="44"/>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3"/>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9"/>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5" w:name="OLE_LINK10"/>
      <w:r>
        <w:rPr>
          <w:rFonts w:hint="eastAsia" w:ascii="宋体" w:hAnsi="宋体" w:cs="宋体"/>
          <w:b/>
          <w:color w:val="000000" w:themeColor="text1"/>
          <w:sz w:val="28"/>
          <w:szCs w:val="28"/>
          <w14:textFill>
            <w14:solidFill>
              <w14:schemeClr w14:val="tx1"/>
            </w14:solidFill>
          </w14:textFill>
        </w:rPr>
        <w:t>股权关系证明</w:t>
      </w:r>
      <w:bookmarkEnd w:id="45"/>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专家库资源；</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工作内容与思路；</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工作步骤及成果；</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8"/>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6" w:name="_Toc742"/>
      <w:bookmarkStart w:id="47" w:name="_Toc6251"/>
      <w:r>
        <w:rPr>
          <w:rFonts w:hint="eastAsia" w:ascii="宋体" w:hAnsi="宋体" w:cs="宋体"/>
          <w:b/>
          <w:bCs/>
          <w:color w:val="000000" w:themeColor="text1"/>
          <w:sz w:val="24"/>
          <w14:textFill>
            <w14:solidFill>
              <w14:schemeClr w14:val="tx1"/>
            </w14:solidFill>
          </w14:textFill>
        </w:rPr>
        <w:t>附件：相关政策</w:t>
      </w:r>
      <w:bookmarkEnd w:id="46"/>
      <w:bookmarkEnd w:id="47"/>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8"/>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8"/>
              <w:jc w:val="center"/>
              <w:rPr>
                <w:rFonts w:hint="eastAsia"/>
                <w:color w:val="000000" w:themeColor="text1"/>
                <w:sz w:val="24"/>
                <w:szCs w:val="24"/>
                <w14:textFill>
                  <w14:solidFill>
                    <w14:schemeClr w14:val="tx1"/>
                  </w14:solidFill>
                </w14:textFill>
              </w:rPr>
            </w:pPr>
          </w:p>
          <w:p>
            <w:pPr>
              <w:pStyle w:val="38"/>
              <w:jc w:val="center"/>
              <w:rPr>
                <w:rFonts w:hint="eastAsia"/>
                <w:color w:val="000000" w:themeColor="text1"/>
                <w:sz w:val="24"/>
                <w:szCs w:val="24"/>
                <w14:textFill>
                  <w14:solidFill>
                    <w14:schemeClr w14:val="tx1"/>
                  </w14:solidFill>
                </w14:textFill>
              </w:rPr>
            </w:pPr>
          </w:p>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0"/>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9"/>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8" w:name="sendNo"/>
      <w:r>
        <w:rPr>
          <w:rFonts w:hint="eastAsia"/>
          <w:color w:val="000000" w:themeColor="text1"/>
          <w14:textFill>
            <w14:solidFill>
              <w14:schemeClr w14:val="tx1"/>
            </w14:solidFill>
          </w14:textFill>
        </w:rPr>
        <w:t>财库〔</w:t>
      </w:r>
      <w:bookmarkEnd w:id="48"/>
      <w:r>
        <w:rPr>
          <w:rFonts w:hint="eastAsia"/>
          <w:color w:val="000000" w:themeColor="text1"/>
          <w14:textFill>
            <w14:solidFill>
              <w14:schemeClr w14:val="tx1"/>
            </w14:solidFill>
          </w14:textFill>
        </w:rPr>
        <w:t>2017〕141号</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9"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9"/>
      <w:r>
        <w:rPr>
          <w:rFonts w:hint="eastAsia"/>
          <w:color w:val="000000" w:themeColor="text1"/>
          <w14:textFill>
            <w14:solidFill>
              <w14:schemeClr w14:val="tx1"/>
            </w14:solidFill>
          </w14:textFill>
        </w:rPr>
        <w:t>：</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9"/>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9"/>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9"/>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9"/>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40"/>
          <w:rFonts w:hint="eastAsia"/>
          <w:b/>
          <w:bCs/>
          <w:color w:val="000000" w:themeColor="text1"/>
          <w14:textFill>
            <w14:solidFill>
              <w14:schemeClr w14:val="tx1"/>
            </w14:solidFill>
          </w14:textFill>
        </w:rPr>
        <w:t>残疾人福利性单位声明函</w:t>
      </w:r>
    </w:p>
    <w:p>
      <w:pPr>
        <w:pStyle w:val="3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40"/>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40"/>
          <w:rFonts w:hint="eastAsia"/>
          <w:color w:val="000000" w:themeColor="text1"/>
          <w14:textFill>
            <w14:solidFill>
              <w14:schemeClr w14:val="tx1"/>
            </w14:solidFill>
          </w14:textFill>
        </w:rPr>
        <w:t>本单位对上述声明的真实性负责。如有虚假，将依法承担相应责任。</w:t>
      </w:r>
    </w:p>
    <w:p>
      <w:pPr>
        <w:pStyle w:val="3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9"/>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40"/>
          <w:rFonts w:hint="eastAsia"/>
          <w:color w:val="000000" w:themeColor="text1"/>
          <w14:textFill>
            <w14:solidFill>
              <w14:schemeClr w14:val="tx1"/>
            </w14:solidFill>
          </w14:textFill>
        </w:rPr>
        <w:t>单位名称（盖章）：</w:t>
      </w:r>
    </w:p>
    <w:p>
      <w:pPr>
        <w:pStyle w:val="39"/>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40"/>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widowControl/>
        <w:tabs>
          <w:tab w:val="left" w:pos="640"/>
          <w:tab w:val="left" w:pos="840"/>
        </w:tabs>
        <w:spacing w:line="288" w:lineRule="auto"/>
        <w:ind w:right="26"/>
        <w:textAlignment w:val="bottom"/>
        <w:rPr>
          <w:rStyle w:val="40"/>
          <w:bCs/>
          <w:color w:val="000000" w:themeColor="text1"/>
          <w:szCs w:val="21"/>
          <w14:textFill>
            <w14:solidFill>
              <w14:schemeClr w14:val="tx1"/>
            </w14:solidFill>
          </w14:textFill>
        </w:rPr>
      </w:pPr>
    </w:p>
    <w:p>
      <w:pPr>
        <w:widowControl/>
        <w:tabs>
          <w:tab w:val="left" w:pos="640"/>
          <w:tab w:val="left" w:pos="840"/>
        </w:tabs>
        <w:spacing w:line="288" w:lineRule="auto"/>
        <w:ind w:right="26"/>
        <w:textAlignment w:val="bottom"/>
        <w:rPr>
          <w:rStyle w:val="40"/>
          <w:bCs/>
          <w:color w:val="000000" w:themeColor="text1"/>
          <w:szCs w:val="21"/>
          <w14:textFill>
            <w14:solidFill>
              <w14:schemeClr w14:val="tx1"/>
            </w14:solidFill>
          </w14:textFill>
        </w:rPr>
      </w:pPr>
    </w:p>
    <w:p>
      <w:pPr>
        <w:widowControl/>
        <w:tabs>
          <w:tab w:val="left" w:pos="640"/>
          <w:tab w:val="left" w:pos="840"/>
        </w:tabs>
        <w:spacing w:line="360" w:lineRule="auto"/>
        <w:ind w:right="26"/>
        <w:textAlignment w:val="bottom"/>
        <w:rPr>
          <w:rStyle w:val="40"/>
          <w:rFonts w:hint="eastAsia" w:ascii="宋体" w:hAnsi="宋体" w:cs="宋体"/>
          <w:bCs/>
          <w:color w:val="000000" w:themeColor="text1"/>
          <w:sz w:val="24"/>
          <w14:textFill>
            <w14:solidFill>
              <w14:schemeClr w14:val="tx1"/>
            </w14:solidFill>
          </w14:textFill>
        </w:rPr>
      </w:pPr>
      <w:r>
        <w:rPr>
          <w:rStyle w:val="40"/>
          <w:rFonts w:hint="eastAsia" w:ascii="宋体" w:hAnsi="宋体" w:cs="宋体"/>
          <w:bCs/>
          <w:color w:val="000000" w:themeColor="text1"/>
          <w:sz w:val="24"/>
          <w14:textFill>
            <w14:solidFill>
              <w14:schemeClr w14:val="tx1"/>
            </w14:solidFill>
          </w14:textFill>
        </w:rPr>
        <w:t>5，实施本国产品标准及相关政策的特殊规定</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国务院办公厅印发《关于在政府采购中实施本国产品标准及相关政策的通知》</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"http://www.mof.gov.cn/zhengwuxinxi/caizhengxinwen/202509/t20250930_3973725.htm" </w:instrText>
      </w:r>
      <w:r>
        <w:rPr>
          <w:color w:val="000000" w:themeColor="text1"/>
          <w14:textFill>
            <w14:solidFill>
              <w14:schemeClr w14:val="tx1"/>
            </w14:solidFill>
          </w14:textFill>
        </w:rPr>
        <w:fldChar w:fldCharType="separate"/>
      </w:r>
      <w:r>
        <w:rPr>
          <w:rStyle w:val="40"/>
          <w:rFonts w:hint="eastAsia"/>
          <w:bCs/>
          <w:color w:val="000000" w:themeColor="text1"/>
          <w14:textFill>
            <w14:solidFill>
              <w14:schemeClr w14:val="tx1"/>
            </w14:solidFill>
          </w14:textFill>
        </w:rPr>
        <w:t>http://www.mof.gov.cn/zhengwuxinxi/caizhengxinwen/202509/t20250930_3973725.htm</w:t>
      </w:r>
      <w:r>
        <w:rPr>
          <w:rStyle w:val="40"/>
          <w:rFonts w:hint="eastAsia"/>
          <w:bCs/>
          <w:color w:val="000000" w:themeColor="text1"/>
          <w14:textFill>
            <w14:solidFill>
              <w14:schemeClr w14:val="tx1"/>
            </w14:solidFill>
          </w14:textFill>
        </w:rPr>
        <w:fldChar w:fldCharType="end"/>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深圳市财政局关于贯彻落实政府采购本国产品标准及相关政策的通知</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https://www.sz.gov.cn/cn/xxgk/zfxxgj/tzgg/content/post_12577672.html</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财政部有关负责人就《关于在政府采购中实施本国产品标准及相关政策的通知》答记者问</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http://www.ccgp.gov.cn/zcfg/zcjd/202509/t20250930_25456987.htm</w:t>
      </w:r>
    </w:p>
    <w:p>
      <w:pPr>
        <w:rPr>
          <w:rFonts w:hint="eastAsia" w:ascii="宋体" w:hAnsi="宋体" w:cs="宋体"/>
          <w:color w:val="000000" w:themeColor="text1"/>
          <w:sz w:val="24"/>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511DBE-6D23-4530-8F69-9016BAF1441A}"/>
  </w:font>
  <w:font w:name="黑体">
    <w:panose1 w:val="02010609060101010101"/>
    <w:charset w:val="86"/>
    <w:family w:val="auto"/>
    <w:pitch w:val="default"/>
    <w:sig w:usb0="800002BF" w:usb1="38CF7CFA" w:usb2="00000016" w:usb3="00000000" w:csb0="00040001" w:csb1="00000000"/>
    <w:embedRegular r:id="rId2" w:fontKey="{A082975F-EECE-433F-AE51-1886E5BA4D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34E788E-E153-4D55-8EC8-500EDFA55335}"/>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000" w:usb1="00000000" w:usb2="00000000" w:usb3="00000000" w:csb0="00000000" w:csb1="00000000"/>
    <w:embedRegular r:id="rId4" w:fontKey="{D5E2726B-023B-4403-B0B9-A871A3C99F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8FC4C5C"/>
    <w:multiLevelType w:val="singleLevel"/>
    <w:tmpl w:val="A8FC4C5C"/>
    <w:lvl w:ilvl="0" w:tentative="0">
      <w:start w:val="2"/>
      <w:numFmt w:val="chineseCounting"/>
      <w:suff w:val="nothing"/>
      <w:lvlText w:val="（%1）"/>
      <w:lvlJc w:val="left"/>
      <w:rPr>
        <w:rFonts w:hint="eastAsia"/>
      </w:rPr>
    </w:lvl>
  </w:abstractNum>
  <w:abstractNum w:abstractNumId="4">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5"/>
  </w:num>
  <w:num w:numId="3">
    <w:abstractNumId w:val="2"/>
  </w:num>
  <w:num w:numId="4">
    <w:abstractNumId w:val="9"/>
  </w:num>
  <w:num w:numId="5">
    <w:abstractNumId w:val="3"/>
  </w:num>
  <w:num w:numId="6">
    <w:abstractNumId w:val="10"/>
  </w:num>
  <w:num w:numId="7">
    <w:abstractNumId w:val="4"/>
  </w:num>
  <w:num w:numId="8">
    <w:abstractNumId w:val="6"/>
  </w:num>
  <w:num w:numId="9">
    <w:abstractNumId w:val="1"/>
  </w:num>
  <w:num w:numId="10">
    <w:abstractNumId w:val="0"/>
  </w:num>
  <w:num w:numId="11">
    <w:abstractNumId w:val="7"/>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0A002F"/>
    <w:rsid w:val="001C60B0"/>
    <w:rsid w:val="001E102D"/>
    <w:rsid w:val="0037030E"/>
    <w:rsid w:val="003A4DB8"/>
    <w:rsid w:val="00441793"/>
    <w:rsid w:val="004A4302"/>
    <w:rsid w:val="004E616D"/>
    <w:rsid w:val="00537C28"/>
    <w:rsid w:val="006E4653"/>
    <w:rsid w:val="00771B68"/>
    <w:rsid w:val="007E735C"/>
    <w:rsid w:val="0089189B"/>
    <w:rsid w:val="008B73C2"/>
    <w:rsid w:val="00B82957"/>
    <w:rsid w:val="00BE6DA9"/>
    <w:rsid w:val="00C93875"/>
    <w:rsid w:val="00CC718A"/>
    <w:rsid w:val="00D23242"/>
    <w:rsid w:val="00D62CC9"/>
    <w:rsid w:val="00E747E3"/>
    <w:rsid w:val="00F46D15"/>
    <w:rsid w:val="00F72CA9"/>
    <w:rsid w:val="00FF40AC"/>
    <w:rsid w:val="01145951"/>
    <w:rsid w:val="011663ED"/>
    <w:rsid w:val="01211AD4"/>
    <w:rsid w:val="012515C4"/>
    <w:rsid w:val="012D0479"/>
    <w:rsid w:val="01433A3B"/>
    <w:rsid w:val="0157618B"/>
    <w:rsid w:val="019E3125"/>
    <w:rsid w:val="01B446F6"/>
    <w:rsid w:val="01D628BE"/>
    <w:rsid w:val="01EC0334"/>
    <w:rsid w:val="01EF572E"/>
    <w:rsid w:val="020236B3"/>
    <w:rsid w:val="020442FF"/>
    <w:rsid w:val="020B6FE8"/>
    <w:rsid w:val="020E3E06"/>
    <w:rsid w:val="02477318"/>
    <w:rsid w:val="025C1016"/>
    <w:rsid w:val="02A80FA1"/>
    <w:rsid w:val="02A926DE"/>
    <w:rsid w:val="02B81FC4"/>
    <w:rsid w:val="032558AB"/>
    <w:rsid w:val="032F4898"/>
    <w:rsid w:val="036839EA"/>
    <w:rsid w:val="036D7252"/>
    <w:rsid w:val="037800D1"/>
    <w:rsid w:val="037C7496"/>
    <w:rsid w:val="038D16A3"/>
    <w:rsid w:val="038E26A7"/>
    <w:rsid w:val="0396194E"/>
    <w:rsid w:val="03993BA4"/>
    <w:rsid w:val="03B24C65"/>
    <w:rsid w:val="03B44E81"/>
    <w:rsid w:val="03B54992"/>
    <w:rsid w:val="03BB1D6C"/>
    <w:rsid w:val="03D167CD"/>
    <w:rsid w:val="03E5503B"/>
    <w:rsid w:val="03FF0592"/>
    <w:rsid w:val="03FF56E1"/>
    <w:rsid w:val="040B5B34"/>
    <w:rsid w:val="040C3CF2"/>
    <w:rsid w:val="04191764"/>
    <w:rsid w:val="044E26AD"/>
    <w:rsid w:val="045A0087"/>
    <w:rsid w:val="04640655"/>
    <w:rsid w:val="046441B2"/>
    <w:rsid w:val="047D1CE0"/>
    <w:rsid w:val="048C5BE2"/>
    <w:rsid w:val="04972A57"/>
    <w:rsid w:val="049A4077"/>
    <w:rsid w:val="049D5915"/>
    <w:rsid w:val="04A919F3"/>
    <w:rsid w:val="04AC3B33"/>
    <w:rsid w:val="04D035F5"/>
    <w:rsid w:val="04D255BF"/>
    <w:rsid w:val="04E15802"/>
    <w:rsid w:val="04EC4753"/>
    <w:rsid w:val="050D4546"/>
    <w:rsid w:val="0532605E"/>
    <w:rsid w:val="054F4E62"/>
    <w:rsid w:val="05525F81"/>
    <w:rsid w:val="058F5A54"/>
    <w:rsid w:val="05A30D0A"/>
    <w:rsid w:val="05A77988"/>
    <w:rsid w:val="05D438B9"/>
    <w:rsid w:val="05E11832"/>
    <w:rsid w:val="05F15671"/>
    <w:rsid w:val="05F652DD"/>
    <w:rsid w:val="05F94DCD"/>
    <w:rsid w:val="060A7F0C"/>
    <w:rsid w:val="0616772D"/>
    <w:rsid w:val="06345E06"/>
    <w:rsid w:val="06386398"/>
    <w:rsid w:val="06416BB8"/>
    <w:rsid w:val="064424ED"/>
    <w:rsid w:val="06456265"/>
    <w:rsid w:val="065E0A30"/>
    <w:rsid w:val="065F7326"/>
    <w:rsid w:val="06640E4B"/>
    <w:rsid w:val="06CE1F71"/>
    <w:rsid w:val="06D01FD2"/>
    <w:rsid w:val="06D118A6"/>
    <w:rsid w:val="06E415DA"/>
    <w:rsid w:val="07000B16"/>
    <w:rsid w:val="070D0B30"/>
    <w:rsid w:val="07200C9D"/>
    <w:rsid w:val="073A5410"/>
    <w:rsid w:val="0754675F"/>
    <w:rsid w:val="076B39F3"/>
    <w:rsid w:val="076F5347"/>
    <w:rsid w:val="0775167C"/>
    <w:rsid w:val="07A0765A"/>
    <w:rsid w:val="07AA3F74"/>
    <w:rsid w:val="07BD13EE"/>
    <w:rsid w:val="07CB4548"/>
    <w:rsid w:val="07CF36C6"/>
    <w:rsid w:val="080A5070"/>
    <w:rsid w:val="084E684E"/>
    <w:rsid w:val="084F5179"/>
    <w:rsid w:val="089D5EE4"/>
    <w:rsid w:val="08AE6343"/>
    <w:rsid w:val="08AF2F0D"/>
    <w:rsid w:val="08AF79C5"/>
    <w:rsid w:val="08C45350"/>
    <w:rsid w:val="08C94F2B"/>
    <w:rsid w:val="08EF6AC2"/>
    <w:rsid w:val="09185F2E"/>
    <w:rsid w:val="091E5277"/>
    <w:rsid w:val="092C2AB7"/>
    <w:rsid w:val="093C394F"/>
    <w:rsid w:val="095505E7"/>
    <w:rsid w:val="096C4D6B"/>
    <w:rsid w:val="097479AD"/>
    <w:rsid w:val="09772BD9"/>
    <w:rsid w:val="09774987"/>
    <w:rsid w:val="097815DF"/>
    <w:rsid w:val="098E31D7"/>
    <w:rsid w:val="09C149B3"/>
    <w:rsid w:val="09D57431"/>
    <w:rsid w:val="09D9508C"/>
    <w:rsid w:val="09E75EDE"/>
    <w:rsid w:val="09F47D86"/>
    <w:rsid w:val="09F90D53"/>
    <w:rsid w:val="0A397E8E"/>
    <w:rsid w:val="0A3B3C06"/>
    <w:rsid w:val="0A3B3CB9"/>
    <w:rsid w:val="0A3D797F"/>
    <w:rsid w:val="0A3E54A5"/>
    <w:rsid w:val="0A570314"/>
    <w:rsid w:val="0A7F6940"/>
    <w:rsid w:val="0A904DFA"/>
    <w:rsid w:val="0A962578"/>
    <w:rsid w:val="0B1D330C"/>
    <w:rsid w:val="0B872ED2"/>
    <w:rsid w:val="0B8D66E4"/>
    <w:rsid w:val="0B9335CE"/>
    <w:rsid w:val="0BA12829"/>
    <w:rsid w:val="0BA650B0"/>
    <w:rsid w:val="0BB45AA2"/>
    <w:rsid w:val="0BBF43C3"/>
    <w:rsid w:val="0BCB720C"/>
    <w:rsid w:val="0BD2526E"/>
    <w:rsid w:val="0BD51E39"/>
    <w:rsid w:val="0BDC4F75"/>
    <w:rsid w:val="0BE85AA6"/>
    <w:rsid w:val="0BF0642E"/>
    <w:rsid w:val="0C23344D"/>
    <w:rsid w:val="0C2506CA"/>
    <w:rsid w:val="0C393981"/>
    <w:rsid w:val="0C3B7EEE"/>
    <w:rsid w:val="0C4310EE"/>
    <w:rsid w:val="0C956E62"/>
    <w:rsid w:val="0CA03970"/>
    <w:rsid w:val="0CEE48A7"/>
    <w:rsid w:val="0D0B2017"/>
    <w:rsid w:val="0D136775"/>
    <w:rsid w:val="0D244BFF"/>
    <w:rsid w:val="0D373A0B"/>
    <w:rsid w:val="0D4E1EA3"/>
    <w:rsid w:val="0D582EF3"/>
    <w:rsid w:val="0D5D3E94"/>
    <w:rsid w:val="0D6214AA"/>
    <w:rsid w:val="0D63594E"/>
    <w:rsid w:val="0D703BC7"/>
    <w:rsid w:val="0D907DC5"/>
    <w:rsid w:val="0D9F44AC"/>
    <w:rsid w:val="0DA25D4B"/>
    <w:rsid w:val="0DAC6849"/>
    <w:rsid w:val="0DCF21C8"/>
    <w:rsid w:val="0DDA54E4"/>
    <w:rsid w:val="0DFE5677"/>
    <w:rsid w:val="0E034A3B"/>
    <w:rsid w:val="0E19425F"/>
    <w:rsid w:val="0E19600D"/>
    <w:rsid w:val="0E2624D8"/>
    <w:rsid w:val="0E2F3A82"/>
    <w:rsid w:val="0E356BBF"/>
    <w:rsid w:val="0E4219DB"/>
    <w:rsid w:val="0E793654"/>
    <w:rsid w:val="0E87566C"/>
    <w:rsid w:val="0EA97268"/>
    <w:rsid w:val="0EAF071F"/>
    <w:rsid w:val="0EC046DA"/>
    <w:rsid w:val="0ECE71DE"/>
    <w:rsid w:val="0ED35847"/>
    <w:rsid w:val="0ED40186"/>
    <w:rsid w:val="0ED802FF"/>
    <w:rsid w:val="0EE20AF5"/>
    <w:rsid w:val="0F072309"/>
    <w:rsid w:val="0F0942D3"/>
    <w:rsid w:val="0F0E3698"/>
    <w:rsid w:val="0F2033CB"/>
    <w:rsid w:val="0F6A2898"/>
    <w:rsid w:val="0F6B6D3C"/>
    <w:rsid w:val="0F851480"/>
    <w:rsid w:val="0FA1450C"/>
    <w:rsid w:val="0FC14BAE"/>
    <w:rsid w:val="0FDC3796"/>
    <w:rsid w:val="0FF74205"/>
    <w:rsid w:val="10076107"/>
    <w:rsid w:val="1008458B"/>
    <w:rsid w:val="100D4B83"/>
    <w:rsid w:val="1064624E"/>
    <w:rsid w:val="106D0892"/>
    <w:rsid w:val="10795489"/>
    <w:rsid w:val="108F25B6"/>
    <w:rsid w:val="10947BCD"/>
    <w:rsid w:val="11286567"/>
    <w:rsid w:val="11292A0B"/>
    <w:rsid w:val="1131366D"/>
    <w:rsid w:val="113D64B6"/>
    <w:rsid w:val="11447845"/>
    <w:rsid w:val="11511F61"/>
    <w:rsid w:val="11AC7198"/>
    <w:rsid w:val="11B22B48"/>
    <w:rsid w:val="11BD75F7"/>
    <w:rsid w:val="11E20D72"/>
    <w:rsid w:val="11E46932"/>
    <w:rsid w:val="121C256F"/>
    <w:rsid w:val="124318AA"/>
    <w:rsid w:val="12631F4C"/>
    <w:rsid w:val="126E3EB0"/>
    <w:rsid w:val="12747CB6"/>
    <w:rsid w:val="129C720C"/>
    <w:rsid w:val="12CD5618"/>
    <w:rsid w:val="12D9220E"/>
    <w:rsid w:val="12EF70B7"/>
    <w:rsid w:val="12F17B2E"/>
    <w:rsid w:val="13157F9E"/>
    <w:rsid w:val="136071FB"/>
    <w:rsid w:val="1363353B"/>
    <w:rsid w:val="13660293"/>
    <w:rsid w:val="13737F6D"/>
    <w:rsid w:val="137B7981"/>
    <w:rsid w:val="138959E3"/>
    <w:rsid w:val="138F7287"/>
    <w:rsid w:val="139B1132"/>
    <w:rsid w:val="139B74C4"/>
    <w:rsid w:val="13A16D74"/>
    <w:rsid w:val="13C056B4"/>
    <w:rsid w:val="13E87CB7"/>
    <w:rsid w:val="13EB3FA7"/>
    <w:rsid w:val="140C1FE5"/>
    <w:rsid w:val="141650CD"/>
    <w:rsid w:val="141D437D"/>
    <w:rsid w:val="141D612B"/>
    <w:rsid w:val="142179C9"/>
    <w:rsid w:val="145533A6"/>
    <w:rsid w:val="14740441"/>
    <w:rsid w:val="148443FC"/>
    <w:rsid w:val="1497412F"/>
    <w:rsid w:val="149F2FE4"/>
    <w:rsid w:val="14A423A8"/>
    <w:rsid w:val="14E32ED1"/>
    <w:rsid w:val="14EC25CE"/>
    <w:rsid w:val="150C0679"/>
    <w:rsid w:val="151307D7"/>
    <w:rsid w:val="153100AC"/>
    <w:rsid w:val="1542409B"/>
    <w:rsid w:val="154F67B8"/>
    <w:rsid w:val="155F2669"/>
    <w:rsid w:val="156009C5"/>
    <w:rsid w:val="157306F8"/>
    <w:rsid w:val="158D6BDD"/>
    <w:rsid w:val="15D33824"/>
    <w:rsid w:val="15D849FF"/>
    <w:rsid w:val="15E92BC7"/>
    <w:rsid w:val="15F66C34"/>
    <w:rsid w:val="15FD3709"/>
    <w:rsid w:val="160464D3"/>
    <w:rsid w:val="16157A01"/>
    <w:rsid w:val="161D6647"/>
    <w:rsid w:val="16493207"/>
    <w:rsid w:val="164B0365"/>
    <w:rsid w:val="16685D83"/>
    <w:rsid w:val="166938A9"/>
    <w:rsid w:val="167A7865"/>
    <w:rsid w:val="167F6351"/>
    <w:rsid w:val="168B1A72"/>
    <w:rsid w:val="16C32C88"/>
    <w:rsid w:val="16C358AF"/>
    <w:rsid w:val="16D637FC"/>
    <w:rsid w:val="16E96798"/>
    <w:rsid w:val="16F76FA7"/>
    <w:rsid w:val="172A3039"/>
    <w:rsid w:val="1763654B"/>
    <w:rsid w:val="1773288D"/>
    <w:rsid w:val="178D1D96"/>
    <w:rsid w:val="17966920"/>
    <w:rsid w:val="17B40B54"/>
    <w:rsid w:val="17CA65CA"/>
    <w:rsid w:val="17DD00AB"/>
    <w:rsid w:val="17F35B20"/>
    <w:rsid w:val="180B1483"/>
    <w:rsid w:val="180C273E"/>
    <w:rsid w:val="183459BE"/>
    <w:rsid w:val="183D7B1A"/>
    <w:rsid w:val="1840688C"/>
    <w:rsid w:val="184F3D45"/>
    <w:rsid w:val="18BE7B6B"/>
    <w:rsid w:val="18D019BE"/>
    <w:rsid w:val="18E37943"/>
    <w:rsid w:val="18FA239B"/>
    <w:rsid w:val="190B2632"/>
    <w:rsid w:val="191C4C03"/>
    <w:rsid w:val="19353F17"/>
    <w:rsid w:val="194D3428"/>
    <w:rsid w:val="19575C3B"/>
    <w:rsid w:val="195B397D"/>
    <w:rsid w:val="19611C8D"/>
    <w:rsid w:val="19622F5E"/>
    <w:rsid w:val="19882298"/>
    <w:rsid w:val="19946E8F"/>
    <w:rsid w:val="199E39C2"/>
    <w:rsid w:val="19A8293B"/>
    <w:rsid w:val="19B4308D"/>
    <w:rsid w:val="19D41982"/>
    <w:rsid w:val="19E219A9"/>
    <w:rsid w:val="19E73463"/>
    <w:rsid w:val="1A332204"/>
    <w:rsid w:val="1A7F3E24"/>
    <w:rsid w:val="1A9A5D1C"/>
    <w:rsid w:val="1AB60E8A"/>
    <w:rsid w:val="1AC217DA"/>
    <w:rsid w:val="1AFE2C2B"/>
    <w:rsid w:val="1B1F09DB"/>
    <w:rsid w:val="1B222279"/>
    <w:rsid w:val="1B226512"/>
    <w:rsid w:val="1B461503"/>
    <w:rsid w:val="1B6F1962"/>
    <w:rsid w:val="1B764FD5"/>
    <w:rsid w:val="1B982FF3"/>
    <w:rsid w:val="1BD619E1"/>
    <w:rsid w:val="1BD971F4"/>
    <w:rsid w:val="1BDA2117"/>
    <w:rsid w:val="1BDB6FF7"/>
    <w:rsid w:val="1BEA548C"/>
    <w:rsid w:val="1C0F2CE1"/>
    <w:rsid w:val="1C224C26"/>
    <w:rsid w:val="1C541A06"/>
    <w:rsid w:val="1C623275"/>
    <w:rsid w:val="1C762226"/>
    <w:rsid w:val="1C901B90"/>
    <w:rsid w:val="1CA8197B"/>
    <w:rsid w:val="1CC57360"/>
    <w:rsid w:val="1D0D31E0"/>
    <w:rsid w:val="1D1C78C7"/>
    <w:rsid w:val="1D526E45"/>
    <w:rsid w:val="1D7F1C04"/>
    <w:rsid w:val="1D864D41"/>
    <w:rsid w:val="1DC64109"/>
    <w:rsid w:val="1DD10C77"/>
    <w:rsid w:val="1DD821DB"/>
    <w:rsid w:val="1DD84EE2"/>
    <w:rsid w:val="1DE21BFC"/>
    <w:rsid w:val="1DEA52D0"/>
    <w:rsid w:val="1E2702D2"/>
    <w:rsid w:val="1E2C58E8"/>
    <w:rsid w:val="1E731769"/>
    <w:rsid w:val="1EB052DD"/>
    <w:rsid w:val="1EC575F3"/>
    <w:rsid w:val="1ECC0E79"/>
    <w:rsid w:val="1EFB350D"/>
    <w:rsid w:val="1F126AC2"/>
    <w:rsid w:val="1F1840BF"/>
    <w:rsid w:val="1F2760B0"/>
    <w:rsid w:val="1F503858"/>
    <w:rsid w:val="1F515A39"/>
    <w:rsid w:val="1F5E41C7"/>
    <w:rsid w:val="1F69532E"/>
    <w:rsid w:val="1F7C63FB"/>
    <w:rsid w:val="1F9803AC"/>
    <w:rsid w:val="1FB12584"/>
    <w:rsid w:val="1FFD411B"/>
    <w:rsid w:val="2023302E"/>
    <w:rsid w:val="20250841"/>
    <w:rsid w:val="203D01A7"/>
    <w:rsid w:val="204D1B46"/>
    <w:rsid w:val="2087367A"/>
    <w:rsid w:val="209F2A54"/>
    <w:rsid w:val="20B47E17"/>
    <w:rsid w:val="20D73ACA"/>
    <w:rsid w:val="20FD1BD4"/>
    <w:rsid w:val="20FD356C"/>
    <w:rsid w:val="211B1C44"/>
    <w:rsid w:val="212E5E1B"/>
    <w:rsid w:val="21556F04"/>
    <w:rsid w:val="215C4736"/>
    <w:rsid w:val="21671CF6"/>
    <w:rsid w:val="217557F8"/>
    <w:rsid w:val="218D2B42"/>
    <w:rsid w:val="218E0668"/>
    <w:rsid w:val="21B856E5"/>
    <w:rsid w:val="21E93AF0"/>
    <w:rsid w:val="21ED1832"/>
    <w:rsid w:val="2221328A"/>
    <w:rsid w:val="227B6E3E"/>
    <w:rsid w:val="228D764F"/>
    <w:rsid w:val="229C6DE9"/>
    <w:rsid w:val="22BB36DF"/>
    <w:rsid w:val="22CA3922"/>
    <w:rsid w:val="22D64075"/>
    <w:rsid w:val="22E76282"/>
    <w:rsid w:val="230E7CB2"/>
    <w:rsid w:val="231150AD"/>
    <w:rsid w:val="233E412D"/>
    <w:rsid w:val="233E7DBC"/>
    <w:rsid w:val="2349026B"/>
    <w:rsid w:val="23906919"/>
    <w:rsid w:val="23BD5235"/>
    <w:rsid w:val="23C465C3"/>
    <w:rsid w:val="23CD1D77"/>
    <w:rsid w:val="23F635E7"/>
    <w:rsid w:val="24281889"/>
    <w:rsid w:val="24577437"/>
    <w:rsid w:val="246D0EF3"/>
    <w:rsid w:val="24961D0D"/>
    <w:rsid w:val="24B403E6"/>
    <w:rsid w:val="24C90A33"/>
    <w:rsid w:val="24F074D1"/>
    <w:rsid w:val="25022231"/>
    <w:rsid w:val="25055DB0"/>
    <w:rsid w:val="251A0B90"/>
    <w:rsid w:val="251A3303"/>
    <w:rsid w:val="2547125A"/>
    <w:rsid w:val="25545725"/>
    <w:rsid w:val="25710085"/>
    <w:rsid w:val="25853B30"/>
    <w:rsid w:val="2593449F"/>
    <w:rsid w:val="25C32FD6"/>
    <w:rsid w:val="25CA1509"/>
    <w:rsid w:val="25EC437E"/>
    <w:rsid w:val="260450DB"/>
    <w:rsid w:val="260E7FC9"/>
    <w:rsid w:val="261E645E"/>
    <w:rsid w:val="264F486A"/>
    <w:rsid w:val="26625BC2"/>
    <w:rsid w:val="269E208E"/>
    <w:rsid w:val="26A050C5"/>
    <w:rsid w:val="26A54F0B"/>
    <w:rsid w:val="26BE19EF"/>
    <w:rsid w:val="26D7485F"/>
    <w:rsid w:val="26E02441"/>
    <w:rsid w:val="26E054C2"/>
    <w:rsid w:val="270645C5"/>
    <w:rsid w:val="2707406D"/>
    <w:rsid w:val="271052F8"/>
    <w:rsid w:val="27191DB9"/>
    <w:rsid w:val="275639D6"/>
    <w:rsid w:val="27807BE0"/>
    <w:rsid w:val="2781787A"/>
    <w:rsid w:val="279D1605"/>
    <w:rsid w:val="27B5694E"/>
    <w:rsid w:val="27BA2942"/>
    <w:rsid w:val="27CE5C62"/>
    <w:rsid w:val="27DF39CB"/>
    <w:rsid w:val="27F76F67"/>
    <w:rsid w:val="27FE6547"/>
    <w:rsid w:val="28355CE1"/>
    <w:rsid w:val="283C7070"/>
    <w:rsid w:val="28440A5B"/>
    <w:rsid w:val="284C045D"/>
    <w:rsid w:val="285048C9"/>
    <w:rsid w:val="28846049"/>
    <w:rsid w:val="28B16468"/>
    <w:rsid w:val="28E31299"/>
    <w:rsid w:val="28EF4F44"/>
    <w:rsid w:val="290556B4"/>
    <w:rsid w:val="290F208E"/>
    <w:rsid w:val="29235B3A"/>
    <w:rsid w:val="29257B04"/>
    <w:rsid w:val="292A6EC8"/>
    <w:rsid w:val="294778BF"/>
    <w:rsid w:val="29540304"/>
    <w:rsid w:val="295C0655"/>
    <w:rsid w:val="296950CB"/>
    <w:rsid w:val="29695C42"/>
    <w:rsid w:val="29765A25"/>
    <w:rsid w:val="297F5466"/>
    <w:rsid w:val="298F4F7D"/>
    <w:rsid w:val="29A053DC"/>
    <w:rsid w:val="29A5570A"/>
    <w:rsid w:val="29A63C37"/>
    <w:rsid w:val="29B570DA"/>
    <w:rsid w:val="29D62BAC"/>
    <w:rsid w:val="29F00112"/>
    <w:rsid w:val="2A247DBB"/>
    <w:rsid w:val="2A353B5D"/>
    <w:rsid w:val="2A677CA8"/>
    <w:rsid w:val="2A697EC4"/>
    <w:rsid w:val="2A900FAD"/>
    <w:rsid w:val="2A9071FF"/>
    <w:rsid w:val="2A9C2D33"/>
    <w:rsid w:val="2AA119FC"/>
    <w:rsid w:val="2AE553C9"/>
    <w:rsid w:val="2AF27EBA"/>
    <w:rsid w:val="2AF7102C"/>
    <w:rsid w:val="2AFC0D9C"/>
    <w:rsid w:val="2B145D39"/>
    <w:rsid w:val="2B2226E2"/>
    <w:rsid w:val="2B45623B"/>
    <w:rsid w:val="2B794137"/>
    <w:rsid w:val="2B7F70A5"/>
    <w:rsid w:val="2B8C5C18"/>
    <w:rsid w:val="2B960845"/>
    <w:rsid w:val="2BB1742D"/>
    <w:rsid w:val="2BBF0C1C"/>
    <w:rsid w:val="2BC41327"/>
    <w:rsid w:val="2BC730F4"/>
    <w:rsid w:val="2BC74EA2"/>
    <w:rsid w:val="2BFA5278"/>
    <w:rsid w:val="2C005095"/>
    <w:rsid w:val="2C131E96"/>
    <w:rsid w:val="2C17011F"/>
    <w:rsid w:val="2C1D2D14"/>
    <w:rsid w:val="2C2220D9"/>
    <w:rsid w:val="2C2B3086"/>
    <w:rsid w:val="2C387B4E"/>
    <w:rsid w:val="2C525562"/>
    <w:rsid w:val="2C610E53"/>
    <w:rsid w:val="2C755D0D"/>
    <w:rsid w:val="2CA13945"/>
    <w:rsid w:val="2CAC2A7B"/>
    <w:rsid w:val="2CB951EB"/>
    <w:rsid w:val="2CC24314"/>
    <w:rsid w:val="2CDD07AF"/>
    <w:rsid w:val="2CF0667B"/>
    <w:rsid w:val="2CF90D9F"/>
    <w:rsid w:val="2D430676"/>
    <w:rsid w:val="2D4B565F"/>
    <w:rsid w:val="2D69418A"/>
    <w:rsid w:val="2D9B2143"/>
    <w:rsid w:val="2D9E319D"/>
    <w:rsid w:val="2D9F35F4"/>
    <w:rsid w:val="2DAF47F9"/>
    <w:rsid w:val="2DB33930"/>
    <w:rsid w:val="2DB86843"/>
    <w:rsid w:val="2DBB0A37"/>
    <w:rsid w:val="2DE55AB4"/>
    <w:rsid w:val="2DE57862"/>
    <w:rsid w:val="2DED474D"/>
    <w:rsid w:val="2DFE6E37"/>
    <w:rsid w:val="2E1741F6"/>
    <w:rsid w:val="2E36630F"/>
    <w:rsid w:val="2E823302"/>
    <w:rsid w:val="2EC102CF"/>
    <w:rsid w:val="2ED31DB0"/>
    <w:rsid w:val="2EDD0C2B"/>
    <w:rsid w:val="2F223C93"/>
    <w:rsid w:val="2F3445FD"/>
    <w:rsid w:val="2F535856"/>
    <w:rsid w:val="2F57653D"/>
    <w:rsid w:val="2F6B1FE9"/>
    <w:rsid w:val="2F762E67"/>
    <w:rsid w:val="2FAC4ADB"/>
    <w:rsid w:val="2FFD236F"/>
    <w:rsid w:val="2FFE2E5D"/>
    <w:rsid w:val="301F52AD"/>
    <w:rsid w:val="302428C3"/>
    <w:rsid w:val="3034552F"/>
    <w:rsid w:val="30413E8E"/>
    <w:rsid w:val="304271ED"/>
    <w:rsid w:val="3075313F"/>
    <w:rsid w:val="30760C45"/>
    <w:rsid w:val="30963095"/>
    <w:rsid w:val="30A9101A"/>
    <w:rsid w:val="30AE4883"/>
    <w:rsid w:val="30F11D05"/>
    <w:rsid w:val="30F45B82"/>
    <w:rsid w:val="30FA3624"/>
    <w:rsid w:val="310426F5"/>
    <w:rsid w:val="311A5A74"/>
    <w:rsid w:val="312D57A8"/>
    <w:rsid w:val="312E5FEB"/>
    <w:rsid w:val="31442AF1"/>
    <w:rsid w:val="314A45AB"/>
    <w:rsid w:val="31927D00"/>
    <w:rsid w:val="31A6555A"/>
    <w:rsid w:val="31BE28A4"/>
    <w:rsid w:val="31C76D4C"/>
    <w:rsid w:val="31D356B0"/>
    <w:rsid w:val="31E00A6C"/>
    <w:rsid w:val="31F462C5"/>
    <w:rsid w:val="31FE21A5"/>
    <w:rsid w:val="32144BB9"/>
    <w:rsid w:val="32220E91"/>
    <w:rsid w:val="322A0611"/>
    <w:rsid w:val="32463916"/>
    <w:rsid w:val="324A23F5"/>
    <w:rsid w:val="326276D3"/>
    <w:rsid w:val="32851613"/>
    <w:rsid w:val="32954E27"/>
    <w:rsid w:val="32B3444F"/>
    <w:rsid w:val="32BF7DFB"/>
    <w:rsid w:val="32C97752"/>
    <w:rsid w:val="32E1603D"/>
    <w:rsid w:val="32F02F31"/>
    <w:rsid w:val="33044C2E"/>
    <w:rsid w:val="331A7FAD"/>
    <w:rsid w:val="33323549"/>
    <w:rsid w:val="33751688"/>
    <w:rsid w:val="3381002D"/>
    <w:rsid w:val="338A7FAD"/>
    <w:rsid w:val="339C4E66"/>
    <w:rsid w:val="33B71CA0"/>
    <w:rsid w:val="33C57F19"/>
    <w:rsid w:val="33ED018B"/>
    <w:rsid w:val="33FB1B8D"/>
    <w:rsid w:val="34060532"/>
    <w:rsid w:val="34207846"/>
    <w:rsid w:val="34305F32"/>
    <w:rsid w:val="3434236D"/>
    <w:rsid w:val="34433534"/>
    <w:rsid w:val="34916467"/>
    <w:rsid w:val="349A75F8"/>
    <w:rsid w:val="34B232D3"/>
    <w:rsid w:val="34BD5AEB"/>
    <w:rsid w:val="34C46423"/>
    <w:rsid w:val="34EB7E53"/>
    <w:rsid w:val="34EE34A0"/>
    <w:rsid w:val="35156C7E"/>
    <w:rsid w:val="35213875"/>
    <w:rsid w:val="352E5358"/>
    <w:rsid w:val="353A4937"/>
    <w:rsid w:val="353A66E5"/>
    <w:rsid w:val="353F5AA9"/>
    <w:rsid w:val="35586B6B"/>
    <w:rsid w:val="35675000"/>
    <w:rsid w:val="35861157"/>
    <w:rsid w:val="358838F4"/>
    <w:rsid w:val="35A3428A"/>
    <w:rsid w:val="35BE328B"/>
    <w:rsid w:val="35C30A55"/>
    <w:rsid w:val="35C661CB"/>
    <w:rsid w:val="35D07049"/>
    <w:rsid w:val="35E11256"/>
    <w:rsid w:val="35EF65E1"/>
    <w:rsid w:val="35F74A58"/>
    <w:rsid w:val="35FE5964"/>
    <w:rsid w:val="36034D29"/>
    <w:rsid w:val="3609300A"/>
    <w:rsid w:val="36201D7F"/>
    <w:rsid w:val="362C191E"/>
    <w:rsid w:val="364B4CD7"/>
    <w:rsid w:val="365E5169"/>
    <w:rsid w:val="366D4BC8"/>
    <w:rsid w:val="366E760D"/>
    <w:rsid w:val="367B6FB5"/>
    <w:rsid w:val="369066FC"/>
    <w:rsid w:val="369334DC"/>
    <w:rsid w:val="36A75FFC"/>
    <w:rsid w:val="36AC7588"/>
    <w:rsid w:val="36C21C3F"/>
    <w:rsid w:val="36D33C63"/>
    <w:rsid w:val="36F318CB"/>
    <w:rsid w:val="37023232"/>
    <w:rsid w:val="372A42BA"/>
    <w:rsid w:val="375E2A17"/>
    <w:rsid w:val="37704A11"/>
    <w:rsid w:val="377744E3"/>
    <w:rsid w:val="37847F8D"/>
    <w:rsid w:val="3795529C"/>
    <w:rsid w:val="379E11AD"/>
    <w:rsid w:val="37E42938"/>
    <w:rsid w:val="37F708BD"/>
    <w:rsid w:val="38082ACA"/>
    <w:rsid w:val="38242B87"/>
    <w:rsid w:val="38314519"/>
    <w:rsid w:val="38336D98"/>
    <w:rsid w:val="386C3059"/>
    <w:rsid w:val="3891486E"/>
    <w:rsid w:val="38C509BB"/>
    <w:rsid w:val="38E60960"/>
    <w:rsid w:val="38F512A1"/>
    <w:rsid w:val="39406294"/>
    <w:rsid w:val="39416F45"/>
    <w:rsid w:val="394A3E0E"/>
    <w:rsid w:val="394B1EE3"/>
    <w:rsid w:val="396B1563"/>
    <w:rsid w:val="396E1053"/>
    <w:rsid w:val="399F7A55"/>
    <w:rsid w:val="39A4152E"/>
    <w:rsid w:val="39E3546E"/>
    <w:rsid w:val="3A257964"/>
    <w:rsid w:val="3A3A5061"/>
    <w:rsid w:val="3A3C6A5B"/>
    <w:rsid w:val="3A3D67D4"/>
    <w:rsid w:val="3A4678DA"/>
    <w:rsid w:val="3A4727AD"/>
    <w:rsid w:val="3A555D6F"/>
    <w:rsid w:val="3A571AE7"/>
    <w:rsid w:val="3A6F0BDF"/>
    <w:rsid w:val="3A8328DC"/>
    <w:rsid w:val="3A86417A"/>
    <w:rsid w:val="3A8D375B"/>
    <w:rsid w:val="3AAA60BB"/>
    <w:rsid w:val="3AD84A09"/>
    <w:rsid w:val="3AE214AE"/>
    <w:rsid w:val="3B0D21A6"/>
    <w:rsid w:val="3B124BB9"/>
    <w:rsid w:val="3B2220F5"/>
    <w:rsid w:val="3B2319C9"/>
    <w:rsid w:val="3B247C1B"/>
    <w:rsid w:val="3B5878C5"/>
    <w:rsid w:val="3B7A5A8D"/>
    <w:rsid w:val="3B903503"/>
    <w:rsid w:val="3BA05290"/>
    <w:rsid w:val="3BB0325D"/>
    <w:rsid w:val="3BB13950"/>
    <w:rsid w:val="3BEFBBF2"/>
    <w:rsid w:val="3C045EE9"/>
    <w:rsid w:val="3C092149"/>
    <w:rsid w:val="3C2459F9"/>
    <w:rsid w:val="3C3519B4"/>
    <w:rsid w:val="3C3A2B60"/>
    <w:rsid w:val="3C4B567C"/>
    <w:rsid w:val="3C681D8A"/>
    <w:rsid w:val="3C6C6886"/>
    <w:rsid w:val="3C710A9B"/>
    <w:rsid w:val="3C736028"/>
    <w:rsid w:val="3C740B22"/>
    <w:rsid w:val="3C860462"/>
    <w:rsid w:val="3C942B7F"/>
    <w:rsid w:val="3C9613C2"/>
    <w:rsid w:val="3CA134EE"/>
    <w:rsid w:val="3CA37266"/>
    <w:rsid w:val="3CA803D8"/>
    <w:rsid w:val="3CA8662A"/>
    <w:rsid w:val="3CAB3899"/>
    <w:rsid w:val="3CE75344"/>
    <w:rsid w:val="3CF4361D"/>
    <w:rsid w:val="3CF76527"/>
    <w:rsid w:val="3D2F0AF9"/>
    <w:rsid w:val="3D315030"/>
    <w:rsid w:val="3D385C00"/>
    <w:rsid w:val="3D3A1978"/>
    <w:rsid w:val="3D463DBE"/>
    <w:rsid w:val="3D4B05F7"/>
    <w:rsid w:val="3D536F54"/>
    <w:rsid w:val="3D7F365D"/>
    <w:rsid w:val="3D80667C"/>
    <w:rsid w:val="3D8F1598"/>
    <w:rsid w:val="3D931DA2"/>
    <w:rsid w:val="3D934BE4"/>
    <w:rsid w:val="3D995F73"/>
    <w:rsid w:val="3DA212CB"/>
    <w:rsid w:val="3DB65977"/>
    <w:rsid w:val="3DE2791A"/>
    <w:rsid w:val="3DF02037"/>
    <w:rsid w:val="3DFD7B27"/>
    <w:rsid w:val="3E027FBC"/>
    <w:rsid w:val="3E0B50C2"/>
    <w:rsid w:val="3E0E4BB3"/>
    <w:rsid w:val="3E22515D"/>
    <w:rsid w:val="3E263CAA"/>
    <w:rsid w:val="3E396CAE"/>
    <w:rsid w:val="3E506F79"/>
    <w:rsid w:val="3E614CE2"/>
    <w:rsid w:val="3E78202C"/>
    <w:rsid w:val="3E7D047A"/>
    <w:rsid w:val="3EA62247"/>
    <w:rsid w:val="3EC82FB3"/>
    <w:rsid w:val="3ED05615"/>
    <w:rsid w:val="3EDC6A5F"/>
    <w:rsid w:val="3F03223E"/>
    <w:rsid w:val="3F0F473E"/>
    <w:rsid w:val="3F250AB4"/>
    <w:rsid w:val="3F2F6B8F"/>
    <w:rsid w:val="3F367F1D"/>
    <w:rsid w:val="3F6251B6"/>
    <w:rsid w:val="3F7E3CCE"/>
    <w:rsid w:val="3F9115F7"/>
    <w:rsid w:val="3FB3156E"/>
    <w:rsid w:val="3FB53538"/>
    <w:rsid w:val="3FB65AD9"/>
    <w:rsid w:val="3FBA0B4E"/>
    <w:rsid w:val="3FD339BE"/>
    <w:rsid w:val="3FDB4C7A"/>
    <w:rsid w:val="3FE05723"/>
    <w:rsid w:val="40185875"/>
    <w:rsid w:val="402C0554"/>
    <w:rsid w:val="403D6978"/>
    <w:rsid w:val="40452C81"/>
    <w:rsid w:val="40582115"/>
    <w:rsid w:val="405C776F"/>
    <w:rsid w:val="405D1A2A"/>
    <w:rsid w:val="405E0525"/>
    <w:rsid w:val="40646D0C"/>
    <w:rsid w:val="40955117"/>
    <w:rsid w:val="40AD420F"/>
    <w:rsid w:val="40BA710F"/>
    <w:rsid w:val="40E4515D"/>
    <w:rsid w:val="410762AC"/>
    <w:rsid w:val="41151DB4"/>
    <w:rsid w:val="412E1B74"/>
    <w:rsid w:val="41601F71"/>
    <w:rsid w:val="41780CC1"/>
    <w:rsid w:val="41932D5F"/>
    <w:rsid w:val="41A05B22"/>
    <w:rsid w:val="41AF2209"/>
    <w:rsid w:val="41C95079"/>
    <w:rsid w:val="41D61543"/>
    <w:rsid w:val="41EA3241"/>
    <w:rsid w:val="41FF4F3E"/>
    <w:rsid w:val="420A6C99"/>
    <w:rsid w:val="422A188F"/>
    <w:rsid w:val="42312C1E"/>
    <w:rsid w:val="423408FB"/>
    <w:rsid w:val="42415557"/>
    <w:rsid w:val="42925DB2"/>
    <w:rsid w:val="42B52A5A"/>
    <w:rsid w:val="42C121F4"/>
    <w:rsid w:val="42EB4309"/>
    <w:rsid w:val="42F16099"/>
    <w:rsid w:val="433429C6"/>
    <w:rsid w:val="43515CE6"/>
    <w:rsid w:val="435C016E"/>
    <w:rsid w:val="436D237B"/>
    <w:rsid w:val="437159C8"/>
    <w:rsid w:val="43780F84"/>
    <w:rsid w:val="43AE09CA"/>
    <w:rsid w:val="43B91888"/>
    <w:rsid w:val="43C95804"/>
    <w:rsid w:val="4403491A"/>
    <w:rsid w:val="440920A4"/>
    <w:rsid w:val="445826D6"/>
    <w:rsid w:val="44703ED1"/>
    <w:rsid w:val="447F4114"/>
    <w:rsid w:val="448917EC"/>
    <w:rsid w:val="44A2710B"/>
    <w:rsid w:val="44BE2144"/>
    <w:rsid w:val="44C1472D"/>
    <w:rsid w:val="44CD30D2"/>
    <w:rsid w:val="44D3620E"/>
    <w:rsid w:val="44E4041B"/>
    <w:rsid w:val="44FC7513"/>
    <w:rsid w:val="4504461A"/>
    <w:rsid w:val="450D39DC"/>
    <w:rsid w:val="45141548"/>
    <w:rsid w:val="452C0D9A"/>
    <w:rsid w:val="452F78E8"/>
    <w:rsid w:val="45686B2D"/>
    <w:rsid w:val="457E261E"/>
    <w:rsid w:val="457E78C3"/>
    <w:rsid w:val="457F0202"/>
    <w:rsid w:val="457F1EF2"/>
    <w:rsid w:val="45806396"/>
    <w:rsid w:val="45846C1E"/>
    <w:rsid w:val="45DB3EF9"/>
    <w:rsid w:val="45E85CE9"/>
    <w:rsid w:val="45FD1795"/>
    <w:rsid w:val="46032B23"/>
    <w:rsid w:val="46317690"/>
    <w:rsid w:val="463A1ECC"/>
    <w:rsid w:val="46A41C10"/>
    <w:rsid w:val="46A77952"/>
    <w:rsid w:val="46B81CA9"/>
    <w:rsid w:val="46BC1650"/>
    <w:rsid w:val="46E62229"/>
    <w:rsid w:val="46ED1809"/>
    <w:rsid w:val="46FA3F26"/>
    <w:rsid w:val="47024B89"/>
    <w:rsid w:val="470C6541"/>
    <w:rsid w:val="47134FE8"/>
    <w:rsid w:val="47266AC9"/>
    <w:rsid w:val="47811F51"/>
    <w:rsid w:val="479C322F"/>
    <w:rsid w:val="47BD00A0"/>
    <w:rsid w:val="47C84024"/>
    <w:rsid w:val="47EFCFA3"/>
    <w:rsid w:val="47F40975"/>
    <w:rsid w:val="47F60B91"/>
    <w:rsid w:val="48054931"/>
    <w:rsid w:val="481366AF"/>
    <w:rsid w:val="482F5E51"/>
    <w:rsid w:val="483B0352"/>
    <w:rsid w:val="48671147"/>
    <w:rsid w:val="486758C4"/>
    <w:rsid w:val="487C41DD"/>
    <w:rsid w:val="488C2ACF"/>
    <w:rsid w:val="488E4926"/>
    <w:rsid w:val="488F7C16"/>
    <w:rsid w:val="48931F3C"/>
    <w:rsid w:val="48AA54D8"/>
    <w:rsid w:val="48D32C81"/>
    <w:rsid w:val="4901159C"/>
    <w:rsid w:val="49153299"/>
    <w:rsid w:val="49180694"/>
    <w:rsid w:val="495B760C"/>
    <w:rsid w:val="49677321"/>
    <w:rsid w:val="4974292D"/>
    <w:rsid w:val="498B5C77"/>
    <w:rsid w:val="499D7C4A"/>
    <w:rsid w:val="49B27967"/>
    <w:rsid w:val="49CA6C64"/>
    <w:rsid w:val="49DE7B2F"/>
    <w:rsid w:val="49DF0B35"/>
    <w:rsid w:val="49EF5898"/>
    <w:rsid w:val="4A0D488A"/>
    <w:rsid w:val="4A0D5D1E"/>
    <w:rsid w:val="4A2A75AB"/>
    <w:rsid w:val="4A3855BE"/>
    <w:rsid w:val="4A4554B8"/>
    <w:rsid w:val="4A5E5DDF"/>
    <w:rsid w:val="4A7F6F7D"/>
    <w:rsid w:val="4A9511DA"/>
    <w:rsid w:val="4AC36325"/>
    <w:rsid w:val="4AC705C3"/>
    <w:rsid w:val="4ACF1226"/>
    <w:rsid w:val="4AD4683C"/>
    <w:rsid w:val="4AD60806"/>
    <w:rsid w:val="4AE253FD"/>
    <w:rsid w:val="4AF54F29"/>
    <w:rsid w:val="4B007631"/>
    <w:rsid w:val="4B232DA2"/>
    <w:rsid w:val="4B296B88"/>
    <w:rsid w:val="4B5670C1"/>
    <w:rsid w:val="4B9A5CD8"/>
    <w:rsid w:val="4BA72908"/>
    <w:rsid w:val="4BCD6803"/>
    <w:rsid w:val="4C1E1B11"/>
    <w:rsid w:val="4C352DFF"/>
    <w:rsid w:val="4C5424D5"/>
    <w:rsid w:val="4C63431C"/>
    <w:rsid w:val="4C637F6F"/>
    <w:rsid w:val="4C7D7357"/>
    <w:rsid w:val="4C7E73A7"/>
    <w:rsid w:val="4C891FD4"/>
    <w:rsid w:val="4C982217"/>
    <w:rsid w:val="4CA010CC"/>
    <w:rsid w:val="4CEC2563"/>
    <w:rsid w:val="4CF17B79"/>
    <w:rsid w:val="4D0072CE"/>
    <w:rsid w:val="4D0C636D"/>
    <w:rsid w:val="4D1D67F6"/>
    <w:rsid w:val="4D343C52"/>
    <w:rsid w:val="4D562C80"/>
    <w:rsid w:val="4D6640C3"/>
    <w:rsid w:val="4D6B3488"/>
    <w:rsid w:val="4D7560B4"/>
    <w:rsid w:val="4D77225E"/>
    <w:rsid w:val="4D7D31BB"/>
    <w:rsid w:val="4D930C30"/>
    <w:rsid w:val="4D9E721C"/>
    <w:rsid w:val="4DAB1AD6"/>
    <w:rsid w:val="4E06707A"/>
    <w:rsid w:val="4E5C54C6"/>
    <w:rsid w:val="4E661EA1"/>
    <w:rsid w:val="4E77005B"/>
    <w:rsid w:val="4ECC5774"/>
    <w:rsid w:val="4EE73FDF"/>
    <w:rsid w:val="4EEB4A7F"/>
    <w:rsid w:val="4F0B7849"/>
    <w:rsid w:val="4F1A44F5"/>
    <w:rsid w:val="4F3A01B4"/>
    <w:rsid w:val="4F3A75B6"/>
    <w:rsid w:val="4F561F16"/>
    <w:rsid w:val="4F585C8E"/>
    <w:rsid w:val="4F5876FA"/>
    <w:rsid w:val="4F6208BA"/>
    <w:rsid w:val="4F7A5C04"/>
    <w:rsid w:val="4F8C3B89"/>
    <w:rsid w:val="4F936CC6"/>
    <w:rsid w:val="4F9812E6"/>
    <w:rsid w:val="4FBD3723"/>
    <w:rsid w:val="50137E07"/>
    <w:rsid w:val="501D6F9B"/>
    <w:rsid w:val="501E0C85"/>
    <w:rsid w:val="50371D47"/>
    <w:rsid w:val="50402E5B"/>
    <w:rsid w:val="50760AC1"/>
    <w:rsid w:val="507C44FD"/>
    <w:rsid w:val="509314F5"/>
    <w:rsid w:val="50B45146"/>
    <w:rsid w:val="50B91612"/>
    <w:rsid w:val="50C57353"/>
    <w:rsid w:val="50EC2B32"/>
    <w:rsid w:val="50ED2406"/>
    <w:rsid w:val="50FD73A0"/>
    <w:rsid w:val="51037E7B"/>
    <w:rsid w:val="511676E7"/>
    <w:rsid w:val="51625CF9"/>
    <w:rsid w:val="51890380"/>
    <w:rsid w:val="51932FAD"/>
    <w:rsid w:val="51AB479B"/>
    <w:rsid w:val="51F003FF"/>
    <w:rsid w:val="52036385"/>
    <w:rsid w:val="522119B0"/>
    <w:rsid w:val="522602C5"/>
    <w:rsid w:val="523227C6"/>
    <w:rsid w:val="52376968"/>
    <w:rsid w:val="52662470"/>
    <w:rsid w:val="5268268C"/>
    <w:rsid w:val="527252B8"/>
    <w:rsid w:val="527E1EAF"/>
    <w:rsid w:val="52B551A5"/>
    <w:rsid w:val="52BB0A0D"/>
    <w:rsid w:val="52C13B4A"/>
    <w:rsid w:val="52D7511B"/>
    <w:rsid w:val="52DD4E28"/>
    <w:rsid w:val="52DE1FCB"/>
    <w:rsid w:val="531A2310"/>
    <w:rsid w:val="532A1B08"/>
    <w:rsid w:val="532F4F57"/>
    <w:rsid w:val="53400F13"/>
    <w:rsid w:val="535844AE"/>
    <w:rsid w:val="53603363"/>
    <w:rsid w:val="536852EA"/>
    <w:rsid w:val="538452A3"/>
    <w:rsid w:val="5386726D"/>
    <w:rsid w:val="538961A4"/>
    <w:rsid w:val="539E42B0"/>
    <w:rsid w:val="53A45945"/>
    <w:rsid w:val="53A6324B"/>
    <w:rsid w:val="53B45F49"/>
    <w:rsid w:val="53CB1124"/>
    <w:rsid w:val="53EE6BC1"/>
    <w:rsid w:val="540445A3"/>
    <w:rsid w:val="54104D89"/>
    <w:rsid w:val="5428123A"/>
    <w:rsid w:val="54297BF9"/>
    <w:rsid w:val="54324CFF"/>
    <w:rsid w:val="544B176B"/>
    <w:rsid w:val="54776BB6"/>
    <w:rsid w:val="547846DC"/>
    <w:rsid w:val="5479292E"/>
    <w:rsid w:val="54891120"/>
    <w:rsid w:val="54915D12"/>
    <w:rsid w:val="549F7EBB"/>
    <w:rsid w:val="54BB7C66"/>
    <w:rsid w:val="54C17E31"/>
    <w:rsid w:val="54F71AA5"/>
    <w:rsid w:val="54FA3343"/>
    <w:rsid w:val="551654C9"/>
    <w:rsid w:val="551E34D6"/>
    <w:rsid w:val="55264138"/>
    <w:rsid w:val="553B5952"/>
    <w:rsid w:val="553D7E00"/>
    <w:rsid w:val="554B4D08"/>
    <w:rsid w:val="55515659"/>
    <w:rsid w:val="5566710A"/>
    <w:rsid w:val="55853555"/>
    <w:rsid w:val="558E2409"/>
    <w:rsid w:val="55B160F8"/>
    <w:rsid w:val="55BB6615"/>
    <w:rsid w:val="55E42029"/>
    <w:rsid w:val="55F81F79"/>
    <w:rsid w:val="56010E2D"/>
    <w:rsid w:val="560721BC"/>
    <w:rsid w:val="56293EE0"/>
    <w:rsid w:val="56450EDB"/>
    <w:rsid w:val="568E6439"/>
    <w:rsid w:val="56900687"/>
    <w:rsid w:val="56E12A0D"/>
    <w:rsid w:val="56E322E1"/>
    <w:rsid w:val="56EE0C86"/>
    <w:rsid w:val="56F02C50"/>
    <w:rsid w:val="572B18A4"/>
    <w:rsid w:val="573E39BB"/>
    <w:rsid w:val="57596A47"/>
    <w:rsid w:val="575D6537"/>
    <w:rsid w:val="576176AA"/>
    <w:rsid w:val="57822B16"/>
    <w:rsid w:val="579B7990"/>
    <w:rsid w:val="579E26AC"/>
    <w:rsid w:val="57A53A3A"/>
    <w:rsid w:val="57AC6B77"/>
    <w:rsid w:val="57AF0E5C"/>
    <w:rsid w:val="57CA16F3"/>
    <w:rsid w:val="57E82F61"/>
    <w:rsid w:val="57E91B79"/>
    <w:rsid w:val="58191461"/>
    <w:rsid w:val="581E3FA7"/>
    <w:rsid w:val="583D33C0"/>
    <w:rsid w:val="585F008D"/>
    <w:rsid w:val="586438F5"/>
    <w:rsid w:val="587F6039"/>
    <w:rsid w:val="58A7742D"/>
    <w:rsid w:val="58D17250"/>
    <w:rsid w:val="58DF2F7C"/>
    <w:rsid w:val="58F31C0A"/>
    <w:rsid w:val="58F5454D"/>
    <w:rsid w:val="58F76517"/>
    <w:rsid w:val="5903310E"/>
    <w:rsid w:val="590B5B1F"/>
    <w:rsid w:val="590D1897"/>
    <w:rsid w:val="5919401E"/>
    <w:rsid w:val="591E1BC3"/>
    <w:rsid w:val="5957546F"/>
    <w:rsid w:val="595C637A"/>
    <w:rsid w:val="596671F9"/>
    <w:rsid w:val="59691FED"/>
    <w:rsid w:val="597162CA"/>
    <w:rsid w:val="597638E0"/>
    <w:rsid w:val="597B2CC1"/>
    <w:rsid w:val="598C3730"/>
    <w:rsid w:val="59914276"/>
    <w:rsid w:val="59BD32BD"/>
    <w:rsid w:val="59D33627"/>
    <w:rsid w:val="59D46859"/>
    <w:rsid w:val="59E22D24"/>
    <w:rsid w:val="5A094F9B"/>
    <w:rsid w:val="5A19111B"/>
    <w:rsid w:val="5A276988"/>
    <w:rsid w:val="5A2C317E"/>
    <w:rsid w:val="5A3C190B"/>
    <w:rsid w:val="5A5B0D0C"/>
    <w:rsid w:val="5A5D23AA"/>
    <w:rsid w:val="5A61633E"/>
    <w:rsid w:val="5A775C92"/>
    <w:rsid w:val="5A8C2C8F"/>
    <w:rsid w:val="5A8D7F61"/>
    <w:rsid w:val="5A981634"/>
    <w:rsid w:val="5A9A6AF6"/>
    <w:rsid w:val="5AA1498D"/>
    <w:rsid w:val="5AA41CEA"/>
    <w:rsid w:val="5AD54636"/>
    <w:rsid w:val="5AD54E03"/>
    <w:rsid w:val="5AE91E90"/>
    <w:rsid w:val="5AF26F96"/>
    <w:rsid w:val="5AFD5D09"/>
    <w:rsid w:val="5B0B3659"/>
    <w:rsid w:val="5B3E2BC0"/>
    <w:rsid w:val="5B6360E6"/>
    <w:rsid w:val="5B793560"/>
    <w:rsid w:val="5B977B3E"/>
    <w:rsid w:val="5B9B5880"/>
    <w:rsid w:val="5B9E0ECC"/>
    <w:rsid w:val="5BA54009"/>
    <w:rsid w:val="5BCF63A9"/>
    <w:rsid w:val="5C050F4B"/>
    <w:rsid w:val="5C2C4F2D"/>
    <w:rsid w:val="5C5679F9"/>
    <w:rsid w:val="5C700ABB"/>
    <w:rsid w:val="5C7120A1"/>
    <w:rsid w:val="5C797243"/>
    <w:rsid w:val="5C806824"/>
    <w:rsid w:val="5CB52971"/>
    <w:rsid w:val="5CD32DF8"/>
    <w:rsid w:val="5CD4149F"/>
    <w:rsid w:val="5CF323B1"/>
    <w:rsid w:val="5CFD7E74"/>
    <w:rsid w:val="5D2B343B"/>
    <w:rsid w:val="5D4D6706"/>
    <w:rsid w:val="5D63417B"/>
    <w:rsid w:val="5D6972B8"/>
    <w:rsid w:val="5D731EE5"/>
    <w:rsid w:val="5D775E79"/>
    <w:rsid w:val="5D850596"/>
    <w:rsid w:val="5D8B36D2"/>
    <w:rsid w:val="5D8F4F70"/>
    <w:rsid w:val="5D924A61"/>
    <w:rsid w:val="5DA327CA"/>
    <w:rsid w:val="5DAF116F"/>
    <w:rsid w:val="5DB449D7"/>
    <w:rsid w:val="5DBA7B13"/>
    <w:rsid w:val="5DD30284"/>
    <w:rsid w:val="5DF74B2E"/>
    <w:rsid w:val="5E162F9C"/>
    <w:rsid w:val="5E4C10B3"/>
    <w:rsid w:val="5E4C4C10"/>
    <w:rsid w:val="5E5166CA"/>
    <w:rsid w:val="5E5B30A5"/>
    <w:rsid w:val="5E6957C1"/>
    <w:rsid w:val="5E8545C5"/>
    <w:rsid w:val="5E875C48"/>
    <w:rsid w:val="5EC7698C"/>
    <w:rsid w:val="5ECB7E0E"/>
    <w:rsid w:val="5EE70977"/>
    <w:rsid w:val="5EF84D97"/>
    <w:rsid w:val="5F17346F"/>
    <w:rsid w:val="5F5A270B"/>
    <w:rsid w:val="5F661984"/>
    <w:rsid w:val="5F8D3732"/>
    <w:rsid w:val="5FAB70A8"/>
    <w:rsid w:val="5FD217D5"/>
    <w:rsid w:val="5FFC0099"/>
    <w:rsid w:val="602045A6"/>
    <w:rsid w:val="60310561"/>
    <w:rsid w:val="60365B77"/>
    <w:rsid w:val="603C0CB4"/>
    <w:rsid w:val="605D1356"/>
    <w:rsid w:val="608B78E2"/>
    <w:rsid w:val="609B1E7E"/>
    <w:rsid w:val="60B85F03"/>
    <w:rsid w:val="60C767CF"/>
    <w:rsid w:val="60DC361E"/>
    <w:rsid w:val="60F33A68"/>
    <w:rsid w:val="61016185"/>
    <w:rsid w:val="6110461A"/>
    <w:rsid w:val="612956DC"/>
    <w:rsid w:val="612A4D6D"/>
    <w:rsid w:val="613227E3"/>
    <w:rsid w:val="613B24C6"/>
    <w:rsid w:val="614C4F26"/>
    <w:rsid w:val="615564D1"/>
    <w:rsid w:val="616650DA"/>
    <w:rsid w:val="616933C9"/>
    <w:rsid w:val="61A15272"/>
    <w:rsid w:val="61A20385"/>
    <w:rsid w:val="61B74A96"/>
    <w:rsid w:val="61C4171F"/>
    <w:rsid w:val="61DD30D7"/>
    <w:rsid w:val="61F93300"/>
    <w:rsid w:val="61F96E5C"/>
    <w:rsid w:val="621D48D8"/>
    <w:rsid w:val="622B7232"/>
    <w:rsid w:val="624A77E6"/>
    <w:rsid w:val="62854B94"/>
    <w:rsid w:val="62B64D4D"/>
    <w:rsid w:val="62F80177"/>
    <w:rsid w:val="631E435E"/>
    <w:rsid w:val="631F6D97"/>
    <w:rsid w:val="63213CF4"/>
    <w:rsid w:val="63215412"/>
    <w:rsid w:val="633345F0"/>
    <w:rsid w:val="63500CFE"/>
    <w:rsid w:val="63A177AC"/>
    <w:rsid w:val="63AC7EFE"/>
    <w:rsid w:val="63B079EF"/>
    <w:rsid w:val="63B86816"/>
    <w:rsid w:val="63C94F54"/>
    <w:rsid w:val="63D86F45"/>
    <w:rsid w:val="63F60FCB"/>
    <w:rsid w:val="64177A6E"/>
    <w:rsid w:val="6420377A"/>
    <w:rsid w:val="643E149E"/>
    <w:rsid w:val="644606A8"/>
    <w:rsid w:val="644F5459"/>
    <w:rsid w:val="6450412D"/>
    <w:rsid w:val="645F0EE1"/>
    <w:rsid w:val="64602371"/>
    <w:rsid w:val="648570CD"/>
    <w:rsid w:val="64961430"/>
    <w:rsid w:val="64994970"/>
    <w:rsid w:val="649E1F3D"/>
    <w:rsid w:val="64B928D3"/>
    <w:rsid w:val="64CA053B"/>
    <w:rsid w:val="64CA0F84"/>
    <w:rsid w:val="64CA31F0"/>
    <w:rsid w:val="64D771FD"/>
    <w:rsid w:val="64D911C7"/>
    <w:rsid w:val="64DA367B"/>
    <w:rsid w:val="64DD4813"/>
    <w:rsid w:val="64E14962"/>
    <w:rsid w:val="64F61D79"/>
    <w:rsid w:val="65241F3A"/>
    <w:rsid w:val="65282833"/>
    <w:rsid w:val="652E26F9"/>
    <w:rsid w:val="65366619"/>
    <w:rsid w:val="65416DD3"/>
    <w:rsid w:val="65727C4B"/>
    <w:rsid w:val="658554FB"/>
    <w:rsid w:val="65883BF7"/>
    <w:rsid w:val="658B6DC7"/>
    <w:rsid w:val="659A0956"/>
    <w:rsid w:val="659E34C7"/>
    <w:rsid w:val="659F7D1B"/>
    <w:rsid w:val="65AA3925"/>
    <w:rsid w:val="65B01973"/>
    <w:rsid w:val="65C94D98"/>
    <w:rsid w:val="65E676F8"/>
    <w:rsid w:val="6603474E"/>
    <w:rsid w:val="660B3602"/>
    <w:rsid w:val="660C6F8D"/>
    <w:rsid w:val="661C75BD"/>
    <w:rsid w:val="662D5327"/>
    <w:rsid w:val="667C62AE"/>
    <w:rsid w:val="668F2A3A"/>
    <w:rsid w:val="66903B07"/>
    <w:rsid w:val="669058B5"/>
    <w:rsid w:val="66A23F66"/>
    <w:rsid w:val="66AD4998"/>
    <w:rsid w:val="66B5531C"/>
    <w:rsid w:val="66BA7997"/>
    <w:rsid w:val="66E14363"/>
    <w:rsid w:val="66E16111"/>
    <w:rsid w:val="670A38BA"/>
    <w:rsid w:val="672524A2"/>
    <w:rsid w:val="673301D2"/>
    <w:rsid w:val="673B3A73"/>
    <w:rsid w:val="676A395C"/>
    <w:rsid w:val="67713939"/>
    <w:rsid w:val="67BFA9FE"/>
    <w:rsid w:val="67CD5013"/>
    <w:rsid w:val="67DD2D7C"/>
    <w:rsid w:val="680F19A3"/>
    <w:rsid w:val="681C38A5"/>
    <w:rsid w:val="684C2884"/>
    <w:rsid w:val="68623328"/>
    <w:rsid w:val="68660FC4"/>
    <w:rsid w:val="68662D72"/>
    <w:rsid w:val="68A33BCF"/>
    <w:rsid w:val="68AB7651"/>
    <w:rsid w:val="68B61551"/>
    <w:rsid w:val="68C65329"/>
    <w:rsid w:val="68D60C2D"/>
    <w:rsid w:val="68D90E35"/>
    <w:rsid w:val="690802CD"/>
    <w:rsid w:val="690C1B6B"/>
    <w:rsid w:val="692F585A"/>
    <w:rsid w:val="6931512E"/>
    <w:rsid w:val="699FA0B1"/>
    <w:rsid w:val="69EE74C3"/>
    <w:rsid w:val="69FF3DA6"/>
    <w:rsid w:val="6A0A597F"/>
    <w:rsid w:val="6A250690"/>
    <w:rsid w:val="6A5938E3"/>
    <w:rsid w:val="6A5C267E"/>
    <w:rsid w:val="6A617C95"/>
    <w:rsid w:val="6A8169BA"/>
    <w:rsid w:val="6A9516EC"/>
    <w:rsid w:val="6AA803E7"/>
    <w:rsid w:val="6AAF57D6"/>
    <w:rsid w:val="6AB73D58"/>
    <w:rsid w:val="6AD14E1A"/>
    <w:rsid w:val="6AE90161"/>
    <w:rsid w:val="6B014ED0"/>
    <w:rsid w:val="6B054AC4"/>
    <w:rsid w:val="6B2947D1"/>
    <w:rsid w:val="6B4F5D3F"/>
    <w:rsid w:val="6B6413BD"/>
    <w:rsid w:val="6B7E03D2"/>
    <w:rsid w:val="6B865960"/>
    <w:rsid w:val="6BA5042F"/>
    <w:rsid w:val="6BB87D88"/>
    <w:rsid w:val="6BD60F99"/>
    <w:rsid w:val="6BD910A1"/>
    <w:rsid w:val="6BE26BB3"/>
    <w:rsid w:val="6BF30DC0"/>
    <w:rsid w:val="6BF95CAB"/>
    <w:rsid w:val="6BFF0DBE"/>
    <w:rsid w:val="6BFF8A38"/>
    <w:rsid w:val="6C0A54C0"/>
    <w:rsid w:val="6C4B29AA"/>
    <w:rsid w:val="6C507FC1"/>
    <w:rsid w:val="6C702411"/>
    <w:rsid w:val="6C7C2B64"/>
    <w:rsid w:val="6C7F2654"/>
    <w:rsid w:val="6CBD73A9"/>
    <w:rsid w:val="6D0D3798"/>
    <w:rsid w:val="6D360A56"/>
    <w:rsid w:val="6D4F40E1"/>
    <w:rsid w:val="6D746AAD"/>
    <w:rsid w:val="6D79369D"/>
    <w:rsid w:val="6D866288"/>
    <w:rsid w:val="6DA47CF5"/>
    <w:rsid w:val="6DA5433C"/>
    <w:rsid w:val="6DC34565"/>
    <w:rsid w:val="6DE210EC"/>
    <w:rsid w:val="6E0A1704"/>
    <w:rsid w:val="6E113780"/>
    <w:rsid w:val="6E11552E"/>
    <w:rsid w:val="6E315BD0"/>
    <w:rsid w:val="6E3631E6"/>
    <w:rsid w:val="6E495542"/>
    <w:rsid w:val="6E510B61"/>
    <w:rsid w:val="6E70494A"/>
    <w:rsid w:val="6E7855AD"/>
    <w:rsid w:val="6E7D42EE"/>
    <w:rsid w:val="6ECD3B4B"/>
    <w:rsid w:val="6ED24CBD"/>
    <w:rsid w:val="6ED26B2E"/>
    <w:rsid w:val="6EF70BC7"/>
    <w:rsid w:val="6EF94940"/>
    <w:rsid w:val="6F03756C"/>
    <w:rsid w:val="6F062BB9"/>
    <w:rsid w:val="6F0C1D3D"/>
    <w:rsid w:val="6F5558EE"/>
    <w:rsid w:val="6F644604"/>
    <w:rsid w:val="6F751AEC"/>
    <w:rsid w:val="6F7B1AEF"/>
    <w:rsid w:val="6F8C57B4"/>
    <w:rsid w:val="6F997ED1"/>
    <w:rsid w:val="6FAA5C3A"/>
    <w:rsid w:val="6FB72105"/>
    <w:rsid w:val="6FBA7D43"/>
    <w:rsid w:val="6FC565D0"/>
    <w:rsid w:val="6FED5B27"/>
    <w:rsid w:val="70080B73"/>
    <w:rsid w:val="703025E3"/>
    <w:rsid w:val="703379DD"/>
    <w:rsid w:val="70343C8D"/>
    <w:rsid w:val="703D260A"/>
    <w:rsid w:val="707216B3"/>
    <w:rsid w:val="708C533F"/>
    <w:rsid w:val="709A7A5C"/>
    <w:rsid w:val="70A64653"/>
    <w:rsid w:val="70B52AE8"/>
    <w:rsid w:val="70B7060E"/>
    <w:rsid w:val="70BC3E77"/>
    <w:rsid w:val="70F3716D"/>
    <w:rsid w:val="70F829D5"/>
    <w:rsid w:val="711A1966"/>
    <w:rsid w:val="711C7DEE"/>
    <w:rsid w:val="712612F0"/>
    <w:rsid w:val="715A543E"/>
    <w:rsid w:val="71A14E1B"/>
    <w:rsid w:val="71A87053"/>
    <w:rsid w:val="71B132B0"/>
    <w:rsid w:val="71BB5EDC"/>
    <w:rsid w:val="71CA611F"/>
    <w:rsid w:val="71CB5851"/>
    <w:rsid w:val="72101EA0"/>
    <w:rsid w:val="7218332F"/>
    <w:rsid w:val="72322114"/>
    <w:rsid w:val="724F1FEB"/>
    <w:rsid w:val="72757DB1"/>
    <w:rsid w:val="72783DCD"/>
    <w:rsid w:val="727E484F"/>
    <w:rsid w:val="728F462D"/>
    <w:rsid w:val="729B7F48"/>
    <w:rsid w:val="72AE77EF"/>
    <w:rsid w:val="72B017B9"/>
    <w:rsid w:val="72BB1F0C"/>
    <w:rsid w:val="72D1172F"/>
    <w:rsid w:val="72F316A6"/>
    <w:rsid w:val="73020FF3"/>
    <w:rsid w:val="73267CCD"/>
    <w:rsid w:val="73685BF0"/>
    <w:rsid w:val="739048A5"/>
    <w:rsid w:val="73B21B10"/>
    <w:rsid w:val="73B862A1"/>
    <w:rsid w:val="73B93EE5"/>
    <w:rsid w:val="73BC5F3C"/>
    <w:rsid w:val="73E86D31"/>
    <w:rsid w:val="73FB2F08"/>
    <w:rsid w:val="745F28C4"/>
    <w:rsid w:val="74634609"/>
    <w:rsid w:val="747C78F7"/>
    <w:rsid w:val="747F7695"/>
    <w:rsid w:val="7483115A"/>
    <w:rsid w:val="749B0247"/>
    <w:rsid w:val="74A964C0"/>
    <w:rsid w:val="74AB5D69"/>
    <w:rsid w:val="74CE5F27"/>
    <w:rsid w:val="74DF6386"/>
    <w:rsid w:val="750A2372"/>
    <w:rsid w:val="750E6C6B"/>
    <w:rsid w:val="75324707"/>
    <w:rsid w:val="753D283B"/>
    <w:rsid w:val="756E14B8"/>
    <w:rsid w:val="75864A53"/>
    <w:rsid w:val="75CF06D9"/>
    <w:rsid w:val="75D1787A"/>
    <w:rsid w:val="75DF032D"/>
    <w:rsid w:val="75FC2F67"/>
    <w:rsid w:val="760140DA"/>
    <w:rsid w:val="76045978"/>
    <w:rsid w:val="760F4A49"/>
    <w:rsid w:val="76133B2A"/>
    <w:rsid w:val="763F4E59"/>
    <w:rsid w:val="76530DD9"/>
    <w:rsid w:val="767A350B"/>
    <w:rsid w:val="76A77C3C"/>
    <w:rsid w:val="76BA6FD4"/>
    <w:rsid w:val="77083846"/>
    <w:rsid w:val="775A6197"/>
    <w:rsid w:val="7789082B"/>
    <w:rsid w:val="779A2861"/>
    <w:rsid w:val="77BD0907"/>
    <w:rsid w:val="77DE0B76"/>
    <w:rsid w:val="77F205C7"/>
    <w:rsid w:val="78120820"/>
    <w:rsid w:val="78126A72"/>
    <w:rsid w:val="781400F4"/>
    <w:rsid w:val="78144598"/>
    <w:rsid w:val="783B1B25"/>
    <w:rsid w:val="783E6762"/>
    <w:rsid w:val="785610A2"/>
    <w:rsid w:val="78615304"/>
    <w:rsid w:val="78840C72"/>
    <w:rsid w:val="789B25C4"/>
    <w:rsid w:val="78D76F87"/>
    <w:rsid w:val="78E21FA1"/>
    <w:rsid w:val="78F148D9"/>
    <w:rsid w:val="78F357D1"/>
    <w:rsid w:val="78FF6FF6"/>
    <w:rsid w:val="79226841"/>
    <w:rsid w:val="793F73F3"/>
    <w:rsid w:val="794B223C"/>
    <w:rsid w:val="79752E15"/>
    <w:rsid w:val="7999158E"/>
    <w:rsid w:val="79C63670"/>
    <w:rsid w:val="79C75A4A"/>
    <w:rsid w:val="79D51B05"/>
    <w:rsid w:val="79F71A7C"/>
    <w:rsid w:val="79FBC26C"/>
    <w:rsid w:val="7A08012D"/>
    <w:rsid w:val="7A0F3269"/>
    <w:rsid w:val="7A1B6D05"/>
    <w:rsid w:val="7A1E0906"/>
    <w:rsid w:val="7A41719B"/>
    <w:rsid w:val="7A4A7B5C"/>
    <w:rsid w:val="7A4C320B"/>
    <w:rsid w:val="7A536C4F"/>
    <w:rsid w:val="7A5E1074"/>
    <w:rsid w:val="7A637111"/>
    <w:rsid w:val="7A644541"/>
    <w:rsid w:val="7A856043"/>
    <w:rsid w:val="7AA716F4"/>
    <w:rsid w:val="7AAA2F92"/>
    <w:rsid w:val="7AAE4C6D"/>
    <w:rsid w:val="7AC9574D"/>
    <w:rsid w:val="7ACA5211"/>
    <w:rsid w:val="7AE30F47"/>
    <w:rsid w:val="7AED7F62"/>
    <w:rsid w:val="7B000A80"/>
    <w:rsid w:val="7B0C77A9"/>
    <w:rsid w:val="7B26FDEF"/>
    <w:rsid w:val="7B3D416D"/>
    <w:rsid w:val="7B450F0D"/>
    <w:rsid w:val="7B475882"/>
    <w:rsid w:val="7B4E6013"/>
    <w:rsid w:val="7B713AB0"/>
    <w:rsid w:val="7B753A39"/>
    <w:rsid w:val="7B7F6999"/>
    <w:rsid w:val="7B8B5094"/>
    <w:rsid w:val="7B8E2477"/>
    <w:rsid w:val="7BB4552D"/>
    <w:rsid w:val="7BB5399C"/>
    <w:rsid w:val="7BBC487D"/>
    <w:rsid w:val="7BBDA76D"/>
    <w:rsid w:val="7C044924"/>
    <w:rsid w:val="7C1D11E6"/>
    <w:rsid w:val="7C233619"/>
    <w:rsid w:val="7C5238E1"/>
    <w:rsid w:val="7C547659"/>
    <w:rsid w:val="7CB63E70"/>
    <w:rsid w:val="7CE7399F"/>
    <w:rsid w:val="7D0F532E"/>
    <w:rsid w:val="7D162B61"/>
    <w:rsid w:val="7D226E2B"/>
    <w:rsid w:val="7D3ECE3A"/>
    <w:rsid w:val="7D515947"/>
    <w:rsid w:val="7D5176F5"/>
    <w:rsid w:val="7D6452D1"/>
    <w:rsid w:val="7D781125"/>
    <w:rsid w:val="7D8628FA"/>
    <w:rsid w:val="7D943A85"/>
    <w:rsid w:val="7DA41F1A"/>
    <w:rsid w:val="7DA57A41"/>
    <w:rsid w:val="7DAF266D"/>
    <w:rsid w:val="7DB05310"/>
    <w:rsid w:val="7DC77AC8"/>
    <w:rsid w:val="7DE42E8D"/>
    <w:rsid w:val="7DF12C86"/>
    <w:rsid w:val="7E0712F2"/>
    <w:rsid w:val="7E1D1CCD"/>
    <w:rsid w:val="7E292420"/>
    <w:rsid w:val="7E355268"/>
    <w:rsid w:val="7E546F05"/>
    <w:rsid w:val="7E786F03"/>
    <w:rsid w:val="7EA06B86"/>
    <w:rsid w:val="7EA877E8"/>
    <w:rsid w:val="7EAA7A04"/>
    <w:rsid w:val="7EAF6DC9"/>
    <w:rsid w:val="7EB25E33"/>
    <w:rsid w:val="7EBA2687"/>
    <w:rsid w:val="7EC42148"/>
    <w:rsid w:val="7ECB34D7"/>
    <w:rsid w:val="7ED24865"/>
    <w:rsid w:val="7EE33B7E"/>
    <w:rsid w:val="7EEF3F71"/>
    <w:rsid w:val="7EF43FBB"/>
    <w:rsid w:val="7F01339C"/>
    <w:rsid w:val="7F160BF6"/>
    <w:rsid w:val="7F364DF4"/>
    <w:rsid w:val="7F36750F"/>
    <w:rsid w:val="7F4339B5"/>
    <w:rsid w:val="7F482E61"/>
    <w:rsid w:val="7F5B0CFF"/>
    <w:rsid w:val="7FA2248A"/>
    <w:rsid w:val="7FDD39BD"/>
    <w:rsid w:val="7FEBE7FD"/>
    <w:rsid w:val="7FF627D5"/>
    <w:rsid w:val="976D5941"/>
    <w:rsid w:val="A3FD92CF"/>
    <w:rsid w:val="B5EFDE07"/>
    <w:rsid w:val="BD57B4CD"/>
    <w:rsid w:val="DDBF0320"/>
    <w:rsid w:val="DEAEA6F3"/>
    <w:rsid w:val="F7FD13E2"/>
    <w:rsid w:val="FF754F1F"/>
    <w:rsid w:val="FF7D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spacing w:before="260" w:after="260"/>
      <w:outlineLvl w:val="2"/>
    </w:pPr>
    <w:rPr>
      <w:rFonts w:ascii="宋体" w:hAnsi="宋体"/>
      <w:szCs w:val="32"/>
    </w:rPr>
  </w:style>
  <w:style w:type="paragraph" w:styleId="7">
    <w:name w:val="heading 6"/>
    <w:basedOn w:val="1"/>
    <w:next w:val="1"/>
    <w:qFormat/>
    <w:uiPriority w:val="0"/>
    <w:pPr>
      <w:spacing w:before="60" w:after="60" w:line="360" w:lineRule="auto"/>
      <w:outlineLvl w:val="5"/>
    </w:pPr>
    <w:rPr>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 w:val="24"/>
    </w:rPr>
  </w:style>
  <w:style w:type="paragraph" w:styleId="3">
    <w:name w:val="Body Text 2"/>
    <w:basedOn w:val="1"/>
    <w:qFormat/>
    <w:uiPriority w:val="99"/>
    <w:pPr>
      <w:spacing w:before="240"/>
    </w:pPr>
    <w:rPr>
      <w:rFonts w:ascii="Calibri" w:hAnsi="Calibri"/>
      <w:color w:val="FF0000"/>
    </w:rPr>
  </w:style>
  <w:style w:type="paragraph" w:styleId="8">
    <w:name w:val="index 8"/>
    <w:basedOn w:val="1"/>
    <w:next w:val="1"/>
    <w:qFormat/>
    <w:uiPriority w:val="0"/>
    <w:pPr>
      <w:ind w:left="2940"/>
    </w:pPr>
  </w:style>
  <w:style w:type="paragraph" w:styleId="9">
    <w:name w:val="Normal Indent"/>
    <w:basedOn w:val="1"/>
    <w:next w:val="10"/>
    <w:qFormat/>
    <w:uiPriority w:val="0"/>
    <w:pPr>
      <w:ind w:firstLine="420" w:firstLineChars="200"/>
    </w:pPr>
    <w:rPr>
      <w:szCs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annotation text"/>
    <w:basedOn w:val="1"/>
    <w:link w:val="44"/>
    <w:unhideWhenUsed/>
    <w:qFormat/>
    <w:uiPriority w:val="0"/>
    <w:pPr>
      <w:jc w:val="left"/>
    </w:pPr>
    <w:rPr>
      <w:kern w:val="0"/>
      <w:sz w:val="20"/>
    </w:rPr>
  </w:style>
  <w:style w:type="paragraph" w:styleId="12">
    <w:name w:val="Body Text Indent"/>
    <w:basedOn w:val="1"/>
    <w:unhideWhenUsed/>
    <w:qFormat/>
    <w:uiPriority w:val="99"/>
    <w:pPr>
      <w:spacing w:after="120"/>
      <w:ind w:left="420" w:leftChars="200"/>
    </w:pPr>
    <w:rPr>
      <w:kern w:val="0"/>
      <w:sz w:val="20"/>
      <w:szCs w:val="20"/>
    </w:rPr>
  </w:style>
  <w:style w:type="paragraph" w:styleId="13">
    <w:name w:val="Plain Text"/>
    <w:basedOn w:val="1"/>
    <w:qFormat/>
    <w:uiPriority w:val="0"/>
    <w:rPr>
      <w:rFonts w:ascii="宋体" w:hAnsi="Courier New"/>
    </w:rPr>
  </w:style>
  <w:style w:type="paragraph" w:styleId="14">
    <w:name w:val="Balloon Text"/>
    <w:basedOn w:val="1"/>
    <w:unhideWhenUsed/>
    <w:qFormat/>
    <w:uiPriority w:val="99"/>
    <w:rPr>
      <w:sz w:val="18"/>
      <w:szCs w:val="18"/>
    </w:rPr>
  </w:style>
  <w:style w:type="paragraph" w:styleId="15">
    <w:name w:val="header"/>
    <w:basedOn w:val="1"/>
    <w:link w:val="43"/>
    <w:qFormat/>
    <w:uiPriority w:val="0"/>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qFormat/>
    <w:uiPriority w:val="0"/>
    <w:pPr>
      <w:spacing w:line="600" w:lineRule="exact"/>
      <w:ind w:firstLine="880" w:firstLineChars="200"/>
    </w:pPr>
    <w:rPr>
      <w:rFonts w:eastAsia="仿宋_GB2312"/>
      <w:sz w:val="32"/>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11"/>
    <w:next w:val="11"/>
    <w:link w:val="45"/>
    <w:qFormat/>
    <w:uiPriority w:val="0"/>
    <w:rPr>
      <w:b/>
      <w:bCs/>
      <w:kern w:val="2"/>
      <w:sz w:val="21"/>
    </w:rPr>
  </w:style>
  <w:style w:type="paragraph" w:styleId="22">
    <w:name w:val="Body Text First Indent"/>
    <w:basedOn w:val="2"/>
    <w:qFormat/>
    <w:uiPriority w:val="0"/>
    <w:pPr>
      <w:snapToGrid w:val="0"/>
      <w:spacing w:line="560" w:lineRule="exact"/>
      <w:ind w:firstLine="200" w:firstLineChars="200"/>
    </w:pPr>
    <w:rPr>
      <w:rFonts w:ascii="仿宋" w:hAnsi="仿宋" w:cs="仿宋"/>
    </w:rPr>
  </w:style>
  <w:style w:type="paragraph" w:styleId="23">
    <w:name w:val="Body Text First Indent 2"/>
    <w:basedOn w:val="12"/>
    <w:semiHidden/>
    <w:qFormat/>
    <w:uiPriority w:val="0"/>
    <w:pPr>
      <w:ind w:firstLine="420" w:firstLineChars="200"/>
    </w:pPr>
    <w:rPr>
      <w:szCs w:val="24"/>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FollowedHyperlink"/>
    <w:basedOn w:val="26"/>
    <w:qFormat/>
    <w:uiPriority w:val="0"/>
    <w:rPr>
      <w:color w:val="800080"/>
      <w:u w:val="none"/>
    </w:rPr>
  </w:style>
  <w:style w:type="character" w:styleId="30">
    <w:name w:val="Hyperlink"/>
    <w:basedOn w:val="26"/>
    <w:qFormat/>
    <w:uiPriority w:val="0"/>
    <w:rPr>
      <w:color w:val="0000FF"/>
      <w:u w:val="none"/>
    </w:rPr>
  </w:style>
  <w:style w:type="character" w:styleId="31">
    <w:name w:val="annotation reference"/>
    <w:basedOn w:val="26"/>
    <w:qFormat/>
    <w:uiPriority w:val="0"/>
    <w:rPr>
      <w:sz w:val="21"/>
      <w:szCs w:val="21"/>
    </w:rPr>
  </w:style>
  <w:style w:type="paragraph" w:customStyle="1" w:styleId="32">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3">
    <w:name w:val="正文格式"/>
    <w:basedOn w:val="12"/>
    <w:qFormat/>
    <w:uiPriority w:val="99"/>
    <w:pPr>
      <w:spacing w:after="0" w:line="360" w:lineRule="auto"/>
      <w:ind w:left="0" w:leftChars="0" w:firstLine="600"/>
    </w:pPr>
    <w:rPr>
      <w:rFonts w:eastAsia="仿宋_GB2312"/>
      <w:sz w:val="30"/>
      <w:szCs w:val="30"/>
    </w:rPr>
  </w:style>
  <w:style w:type="paragraph" w:styleId="3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5">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6">
    <w:name w:val="List Paragraph"/>
    <w:basedOn w:val="1"/>
    <w:qFormat/>
    <w:uiPriority w:val="34"/>
    <w:pPr>
      <w:ind w:firstLine="420" w:firstLineChars="200"/>
    </w:pPr>
  </w:style>
  <w:style w:type="character" w:customStyle="1" w:styleId="37">
    <w:name w:val="NormalCharacter"/>
    <w:qFormat/>
    <w:uiPriority w:val="0"/>
    <w:rPr>
      <w:kern w:val="2"/>
      <w:sz w:val="21"/>
      <w:szCs w:val="24"/>
      <w:lang w:val="en-US" w:eastAsia="zh-CN" w:bidi="ar-SA"/>
    </w:rPr>
  </w:style>
  <w:style w:type="paragraph" w:customStyle="1" w:styleId="38">
    <w:name w:val="Table Paragraph"/>
    <w:basedOn w:val="1"/>
    <w:qFormat/>
    <w:uiPriority w:val="0"/>
    <w:pPr>
      <w:autoSpaceDE w:val="0"/>
      <w:autoSpaceDN w:val="0"/>
      <w:jc w:val="left"/>
    </w:pPr>
    <w:rPr>
      <w:rFonts w:ascii="宋体" w:hAnsi="宋体" w:cs="宋体"/>
      <w:kern w:val="0"/>
      <w:sz w:val="22"/>
      <w:szCs w:val="22"/>
    </w:rPr>
  </w:style>
  <w:style w:type="paragraph" w:customStyle="1" w:styleId="3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qowt-font5-gb2312"/>
    <w:qFormat/>
    <w:uiPriority w:val="0"/>
  </w:style>
  <w:style w:type="paragraph" w:customStyle="1" w:styleId="41">
    <w:name w:val="msolistparagraph"/>
    <w:basedOn w:val="1"/>
    <w:qFormat/>
    <w:uiPriority w:val="0"/>
    <w:pPr>
      <w:ind w:firstLine="420" w:firstLineChars="200"/>
    </w:pPr>
  </w:style>
  <w:style w:type="paragraph" w:customStyle="1" w:styleId="4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3">
    <w:name w:val="页眉 字符"/>
    <w:basedOn w:val="26"/>
    <w:link w:val="15"/>
    <w:qFormat/>
    <w:uiPriority w:val="0"/>
    <w:rPr>
      <w:kern w:val="2"/>
      <w:sz w:val="18"/>
      <w:szCs w:val="18"/>
    </w:rPr>
  </w:style>
  <w:style w:type="character" w:customStyle="1" w:styleId="44">
    <w:name w:val="批注文字 字符"/>
    <w:basedOn w:val="26"/>
    <w:link w:val="11"/>
    <w:qFormat/>
    <w:uiPriority w:val="0"/>
    <w:rPr>
      <w:szCs w:val="24"/>
    </w:rPr>
  </w:style>
  <w:style w:type="character" w:customStyle="1" w:styleId="45">
    <w:name w:val="批注主题 字符"/>
    <w:basedOn w:val="44"/>
    <w:link w:val="21"/>
    <w:qFormat/>
    <w:uiPriority w:val="0"/>
    <w:rPr>
      <w:b/>
      <w:bCs/>
      <w:kern w:val="2"/>
      <w:sz w:val="21"/>
      <w:szCs w:val="24"/>
    </w:rPr>
  </w:style>
  <w:style w:type="paragraph" w:customStyle="1" w:styleId="46">
    <w:name w:val="9前海 正文"/>
    <w:basedOn w:val="47"/>
    <w:qFormat/>
    <w:uiPriority w:val="0"/>
    <w:pPr>
      <w:ind w:firstLine="640"/>
    </w:pPr>
    <w:rPr>
      <w:rFonts w:ascii="仿宋_GB2312" w:eastAsia="仿宋_GB2312"/>
    </w:rPr>
  </w:style>
  <w:style w:type="paragraph" w:customStyle="1" w:styleId="47">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8">
    <w:name w:val="列出段落2"/>
    <w:basedOn w:val="1"/>
    <w:qFormat/>
    <w:uiPriority w:val="34"/>
    <w:pPr>
      <w:ind w:firstLine="420" w:firstLineChars="200"/>
    </w:pPr>
  </w:style>
  <w:style w:type="paragraph" w:customStyle="1" w:styleId="49">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50">
    <w:name w:val="No Spacing"/>
    <w:qFormat/>
    <w:uiPriority w:val="1"/>
    <w:pPr>
      <w:adjustRightInd w:val="0"/>
      <w:snapToGrid w:val="0"/>
      <w:jc w:val="center"/>
    </w:pPr>
    <w:rPr>
      <w:rFonts w:ascii="Tahoma" w:hAnsi="Tahoma" w:eastAsia="宋体" w:cstheme="minorBidi"/>
      <w:sz w:val="21"/>
      <w:szCs w:val="22"/>
      <w:lang w:val="en-US" w:eastAsia="zh-CN" w:bidi="ar-SA"/>
    </w:rPr>
  </w:style>
  <w:style w:type="paragraph" w:customStyle="1" w:styleId="51">
    <w:name w:val="Other|1"/>
    <w:basedOn w:val="1"/>
    <w:qFormat/>
    <w:uiPriority w:val="0"/>
    <w:pPr>
      <w:spacing w:line="300" w:lineRule="auto"/>
      <w:ind w:firstLine="400"/>
    </w:pPr>
    <w:rPr>
      <w:rFonts w:ascii="宋体" w:hAnsi="宋体" w:cs="宋体"/>
      <w:lang w:val="zh-TW" w:eastAsia="zh-TW" w:bidi="zh-TW"/>
    </w:r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26728</Words>
  <Characters>27798</Characters>
  <Lines>1806</Lines>
  <Paragraphs>1663</Paragraphs>
  <TotalTime>33</TotalTime>
  <ScaleCrop>false</ScaleCrop>
  <LinksUpToDate>false</LinksUpToDate>
  <CharactersWithSpaces>28269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2025-02-15T17:50:00Z</dcterms:created>
  <dc:creator>黎俊</dc:creator>
  <cp:lastModifiedBy>黎俊</cp:lastModifiedBy>
  <cp:lastPrinted>2025-09-29T16:37:00Z</cp:lastPrinted>
  <dcterms:modified xsi:type="dcterms:W3CDTF">2026-03-30T08:23:43Z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