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BD5E3">
      <w:pPr>
        <w:ind w:right="-1"/>
        <w:jc w:val="center"/>
        <w:rPr>
          <w:rFonts w:eastAsia="黑体" w:cs="黑体"/>
          <w:b/>
          <w:bCs/>
          <w:i/>
          <w:iCs/>
          <w:color w:val="FF0000"/>
          <w:sz w:val="44"/>
          <w:szCs w:val="44"/>
        </w:rPr>
      </w:pPr>
    </w:p>
    <w:p w14:paraId="0F0C63BD">
      <w:pPr>
        <w:pStyle w:val="2"/>
      </w:pPr>
    </w:p>
    <w:p w14:paraId="47610979"/>
    <w:p w14:paraId="4C161824">
      <w:pPr>
        <w:pStyle w:val="2"/>
      </w:pPr>
    </w:p>
    <w:p w14:paraId="71039E3D">
      <w:pPr>
        <w:ind w:right="-1"/>
        <w:jc w:val="center"/>
        <w:rPr>
          <w:rFonts w:eastAsia="黑体"/>
          <w:sz w:val="52"/>
          <w:szCs w:val="52"/>
        </w:rPr>
      </w:pPr>
    </w:p>
    <w:p w14:paraId="30B59949">
      <w:pPr>
        <w:ind w:right="-1"/>
        <w:jc w:val="center"/>
        <w:rPr>
          <w:rFonts w:eastAsia="黑体"/>
          <w:sz w:val="52"/>
          <w:szCs w:val="52"/>
        </w:rPr>
      </w:pPr>
      <w:r>
        <w:rPr>
          <w:rFonts w:hint="eastAsia" w:eastAsia="黑体" w:cs="黑体"/>
          <w:sz w:val="52"/>
          <w:szCs w:val="52"/>
        </w:rPr>
        <w:t>【货物类】</w:t>
      </w:r>
    </w:p>
    <w:p w14:paraId="1F00CB4A"/>
    <w:p w14:paraId="1851A26D">
      <w:pPr>
        <w:rPr>
          <w:sz w:val="44"/>
          <w:szCs w:val="44"/>
        </w:rPr>
      </w:pPr>
    </w:p>
    <w:p w14:paraId="4F2D9133">
      <w:pPr>
        <w:rPr>
          <w:sz w:val="44"/>
          <w:szCs w:val="44"/>
        </w:rPr>
      </w:pPr>
    </w:p>
    <w:p w14:paraId="41594F8A">
      <w:pPr>
        <w:jc w:val="center"/>
        <w:rPr>
          <w:b/>
          <w:bCs/>
          <w:sz w:val="44"/>
          <w:szCs w:val="44"/>
        </w:rPr>
      </w:pPr>
      <w:r>
        <w:rPr>
          <w:rFonts w:hint="eastAsia" w:cs="宋体"/>
          <w:b/>
          <w:bCs/>
          <w:sz w:val="44"/>
          <w:szCs w:val="44"/>
        </w:rPr>
        <w:t xml:space="preserve">项目编号：   </w:t>
      </w:r>
    </w:p>
    <w:p w14:paraId="186700B7">
      <w:pPr>
        <w:pStyle w:val="2"/>
      </w:pPr>
    </w:p>
    <w:p w14:paraId="39C7C409"/>
    <w:p w14:paraId="10C1E5FA">
      <w:pPr>
        <w:rPr>
          <w:sz w:val="52"/>
          <w:szCs w:val="52"/>
        </w:rPr>
      </w:pPr>
    </w:p>
    <w:p w14:paraId="1C1FEA01">
      <w:pPr>
        <w:rPr>
          <w:sz w:val="52"/>
          <w:szCs w:val="52"/>
        </w:rPr>
      </w:pPr>
      <w:r>
        <w:rPr>
          <w:rFonts w:hint="eastAsia"/>
          <w:sz w:val="52"/>
          <w:szCs w:val="52"/>
        </w:rPr>
        <w:t xml:space="preserve"> </w:t>
      </w:r>
    </w:p>
    <w:p w14:paraId="4898D21C">
      <w:pPr>
        <w:rPr>
          <w:sz w:val="52"/>
          <w:szCs w:val="52"/>
        </w:rPr>
      </w:pPr>
    </w:p>
    <w:p w14:paraId="12C73864">
      <w:pPr>
        <w:ind w:right="-1"/>
        <w:jc w:val="center"/>
        <w:rPr>
          <w:b/>
          <w:bCs/>
          <w:sz w:val="52"/>
          <w:szCs w:val="52"/>
        </w:rPr>
      </w:pPr>
      <w:bookmarkStart w:id="0" w:name="OLE_LINK25"/>
      <w:r>
        <w:rPr>
          <w:rFonts w:hint="eastAsia" w:cs="宋体"/>
          <w:b/>
          <w:bCs/>
          <w:sz w:val="52"/>
          <w:szCs w:val="52"/>
        </w:rPr>
        <w:t>更换石岩基地UPS电池</w:t>
      </w:r>
      <w:r>
        <w:rPr>
          <w:rFonts w:hint="eastAsia" w:cs="宋体"/>
          <w:b/>
          <w:bCs/>
          <w:sz w:val="52"/>
          <w:szCs w:val="52"/>
          <w:lang w:val="en-US" w:eastAsia="zh-CN"/>
        </w:rPr>
        <w:t>组</w:t>
      </w:r>
      <w:r>
        <w:rPr>
          <w:rFonts w:hint="eastAsia" w:cs="宋体"/>
          <w:b/>
          <w:bCs/>
          <w:sz w:val="52"/>
          <w:szCs w:val="52"/>
        </w:rPr>
        <w:t>项目</w:t>
      </w:r>
      <w:bookmarkEnd w:id="0"/>
    </w:p>
    <w:p w14:paraId="7ECBBACC">
      <w:pPr>
        <w:jc w:val="center"/>
        <w:rPr>
          <w:b/>
          <w:bCs/>
          <w:sz w:val="52"/>
          <w:szCs w:val="52"/>
        </w:rPr>
      </w:pPr>
    </w:p>
    <w:p w14:paraId="49120EE3">
      <w:pPr>
        <w:jc w:val="center"/>
        <w:rPr>
          <w:b/>
          <w:bCs/>
          <w:sz w:val="52"/>
          <w:szCs w:val="52"/>
        </w:rPr>
      </w:pPr>
    </w:p>
    <w:p w14:paraId="32D38AAA">
      <w:pPr>
        <w:rPr>
          <w:b/>
          <w:bCs/>
          <w:sz w:val="52"/>
          <w:szCs w:val="52"/>
        </w:rPr>
      </w:pPr>
    </w:p>
    <w:p w14:paraId="74D8D9A7">
      <w:pPr>
        <w:jc w:val="center"/>
        <w:rPr>
          <w:b/>
          <w:bCs/>
          <w:sz w:val="52"/>
          <w:szCs w:val="52"/>
        </w:rPr>
      </w:pPr>
      <w:r>
        <w:rPr>
          <w:rFonts w:hint="eastAsia" w:cs="宋体"/>
          <w:b/>
          <w:bCs/>
          <w:sz w:val="52"/>
          <w:szCs w:val="52"/>
        </w:rPr>
        <w:t>招标文件</w:t>
      </w:r>
    </w:p>
    <w:p w14:paraId="3B9D3BB9">
      <w:pPr>
        <w:jc w:val="center"/>
        <w:rPr>
          <w:b/>
          <w:bCs/>
          <w:i/>
          <w:iCs/>
          <w:color w:val="FF0000"/>
          <w:sz w:val="32"/>
          <w:szCs w:val="32"/>
        </w:rPr>
      </w:pPr>
    </w:p>
    <w:p w14:paraId="29F5BB07">
      <w:pPr>
        <w:rPr>
          <w:sz w:val="52"/>
          <w:szCs w:val="52"/>
        </w:rPr>
      </w:pPr>
    </w:p>
    <w:p w14:paraId="4C69C85A">
      <w:pPr>
        <w:rPr>
          <w:sz w:val="52"/>
          <w:szCs w:val="52"/>
        </w:rPr>
      </w:pPr>
    </w:p>
    <w:p w14:paraId="3245D007">
      <w:pPr>
        <w:rPr>
          <w:sz w:val="52"/>
          <w:szCs w:val="52"/>
        </w:rPr>
      </w:pPr>
    </w:p>
    <w:p w14:paraId="68858CA8">
      <w:pPr>
        <w:jc w:val="center"/>
        <w:rPr>
          <w:sz w:val="44"/>
          <w:szCs w:val="44"/>
        </w:rPr>
      </w:pPr>
      <w:r>
        <w:rPr>
          <w:rFonts w:hint="eastAsia" w:cs="宋体"/>
          <w:b/>
          <w:bCs/>
          <w:sz w:val="44"/>
          <w:szCs w:val="44"/>
        </w:rPr>
        <w:t>深圳市广播电视技术中心</w:t>
      </w:r>
    </w:p>
    <w:p w14:paraId="377D4D0E">
      <w:pPr>
        <w:jc w:val="center"/>
        <w:rPr>
          <w:sz w:val="44"/>
          <w:szCs w:val="44"/>
        </w:rPr>
      </w:pPr>
    </w:p>
    <w:p w14:paraId="3D5C2D6D">
      <w:pPr>
        <w:jc w:val="center"/>
        <w:rPr>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sectPr>
      </w:pPr>
      <w:r>
        <w:rPr>
          <w:rFonts w:hint="eastAsia" w:cs="宋体"/>
          <w:sz w:val="44"/>
          <w:szCs w:val="44"/>
        </w:rPr>
        <w:t>二〇二六年X月</w:t>
      </w:r>
      <w:r>
        <w:rPr>
          <w:sz w:val="44"/>
          <w:szCs w:val="44"/>
        </w:rPr>
        <w:cr/>
      </w:r>
    </w:p>
    <w:p w14:paraId="368A401A">
      <w:pPr>
        <w:pStyle w:val="19"/>
      </w:pPr>
      <w:r>
        <w:rPr>
          <w:rFonts w:hint="eastAsia"/>
        </w:rPr>
        <w:t>关键信息</w:t>
      </w:r>
    </w:p>
    <w:p w14:paraId="6CF23E0B">
      <w:pPr>
        <w:pStyle w:val="20"/>
        <w:jc w:val="center"/>
        <w:rPr>
          <w:rFonts w:ascii="Times New Roman" w:hAnsi="Times New Roman"/>
        </w:rPr>
      </w:pPr>
      <w:r>
        <w:rPr>
          <w:rFonts w:hint="eastAsia" w:ascii="Times New Roman" w:hAnsi="Times New Roman" w:cs="黑体"/>
        </w:rPr>
        <w:t>投标须知前附表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26"/>
        <w:gridCol w:w="6097"/>
      </w:tblGrid>
      <w:tr w14:paraId="457F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626" w:type="dxa"/>
          </w:tcPr>
          <w:p w14:paraId="500254F1">
            <w:pPr>
              <w:spacing w:line="360" w:lineRule="auto"/>
              <w:jc w:val="center"/>
            </w:pPr>
            <w:r>
              <w:rPr>
                <w:rFonts w:hint="eastAsia" w:cs="宋体"/>
              </w:rPr>
              <w:t>项目类型</w:t>
            </w:r>
          </w:p>
        </w:tc>
        <w:tc>
          <w:tcPr>
            <w:tcW w:w="6097" w:type="dxa"/>
          </w:tcPr>
          <w:p w14:paraId="1C3BB754">
            <w:pPr>
              <w:spacing w:line="360" w:lineRule="auto"/>
              <w:jc w:val="center"/>
            </w:pPr>
            <w:r>
              <w:rPr>
                <w:rFonts w:hint="eastAsia" w:cs="宋体"/>
              </w:rPr>
              <w:t>货物类</w:t>
            </w:r>
          </w:p>
        </w:tc>
      </w:tr>
      <w:tr w14:paraId="7822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626" w:type="dxa"/>
          </w:tcPr>
          <w:p w14:paraId="7B6F2552">
            <w:pPr>
              <w:spacing w:line="360" w:lineRule="auto"/>
              <w:jc w:val="center"/>
            </w:pPr>
            <w:r>
              <w:rPr>
                <w:rFonts w:hint="eastAsia" w:cs="宋体"/>
              </w:rPr>
              <w:t>采购方式</w:t>
            </w:r>
          </w:p>
        </w:tc>
        <w:tc>
          <w:tcPr>
            <w:tcW w:w="6097" w:type="dxa"/>
          </w:tcPr>
          <w:p w14:paraId="5CD7D199">
            <w:pPr>
              <w:spacing w:line="360" w:lineRule="auto"/>
              <w:jc w:val="center"/>
            </w:pPr>
            <w:r>
              <w:rPr>
                <w:rFonts w:hint="eastAsia" w:cs="宋体"/>
              </w:rPr>
              <w:t>公开招标</w:t>
            </w:r>
          </w:p>
        </w:tc>
      </w:tr>
      <w:tr w14:paraId="7E24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2626" w:type="dxa"/>
          </w:tcPr>
          <w:p w14:paraId="30823589">
            <w:pPr>
              <w:spacing w:line="360" w:lineRule="auto"/>
              <w:jc w:val="center"/>
            </w:pPr>
            <w:r>
              <w:rPr>
                <w:rFonts w:hint="eastAsia" w:cs="宋体"/>
              </w:rPr>
              <w:t>货币类型</w:t>
            </w:r>
          </w:p>
        </w:tc>
        <w:tc>
          <w:tcPr>
            <w:tcW w:w="6097" w:type="dxa"/>
          </w:tcPr>
          <w:p w14:paraId="465C3630">
            <w:pPr>
              <w:spacing w:line="360" w:lineRule="auto"/>
              <w:jc w:val="center"/>
            </w:pPr>
            <w:r>
              <w:rPr>
                <w:rFonts w:hint="eastAsia" w:cs="宋体"/>
              </w:rPr>
              <w:t>人民币</w:t>
            </w:r>
          </w:p>
        </w:tc>
      </w:tr>
      <w:tr w14:paraId="331B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626" w:type="dxa"/>
          </w:tcPr>
          <w:p w14:paraId="63540FB5">
            <w:pPr>
              <w:spacing w:line="360" w:lineRule="auto"/>
              <w:jc w:val="center"/>
              <w:rPr>
                <w:b/>
                <w:bCs/>
              </w:rPr>
            </w:pPr>
            <w:r>
              <w:rPr>
                <w:rFonts w:hint="eastAsia" w:cs="宋体"/>
                <w:b/>
                <w:bCs/>
              </w:rPr>
              <w:t>预算限额</w:t>
            </w:r>
          </w:p>
        </w:tc>
        <w:tc>
          <w:tcPr>
            <w:tcW w:w="6097" w:type="dxa"/>
          </w:tcPr>
          <w:p w14:paraId="63A5F359">
            <w:pPr>
              <w:spacing w:line="360" w:lineRule="auto"/>
              <w:jc w:val="center"/>
              <w:rPr>
                <w:b/>
                <w:bCs/>
              </w:rPr>
            </w:pPr>
            <w:r>
              <w:rPr>
                <w:rFonts w:hint="eastAsia"/>
                <w:b/>
                <w:bCs/>
              </w:rPr>
              <w:t>382</w:t>
            </w:r>
            <w:r>
              <w:rPr>
                <w:b/>
                <w:bCs/>
              </w:rPr>
              <w:t>,</w:t>
            </w:r>
            <w:r>
              <w:rPr>
                <w:rFonts w:hint="eastAsia"/>
                <w:b/>
                <w:bCs/>
              </w:rPr>
              <w:t>0</w:t>
            </w:r>
            <w:r>
              <w:rPr>
                <w:b/>
                <w:bCs/>
              </w:rPr>
              <w:t>00.00</w:t>
            </w:r>
            <w:r>
              <w:rPr>
                <w:rFonts w:hint="eastAsia"/>
                <w:b/>
                <w:bCs/>
              </w:rPr>
              <w:t>元整</w:t>
            </w:r>
          </w:p>
        </w:tc>
      </w:tr>
      <w:tr w14:paraId="46D9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626" w:type="dxa"/>
            <w:tcMar>
              <w:top w:w="-1" w:type="dxa"/>
              <w:left w:w="-1" w:type="dxa"/>
              <w:bottom w:w="-1" w:type="dxa"/>
              <w:right w:w="-1" w:type="dxa"/>
            </w:tcMar>
          </w:tcPr>
          <w:p w14:paraId="360AE265">
            <w:pPr>
              <w:spacing w:line="360" w:lineRule="auto"/>
              <w:jc w:val="center"/>
              <w:rPr>
                <w:b/>
                <w:bCs/>
              </w:rPr>
            </w:pPr>
            <w:r>
              <w:rPr>
                <w:rFonts w:hint="eastAsia" w:cs="宋体"/>
                <w:b/>
                <w:bCs/>
              </w:rPr>
              <w:t>投标保证金</w:t>
            </w:r>
          </w:p>
        </w:tc>
        <w:tc>
          <w:tcPr>
            <w:tcW w:w="6097" w:type="dxa"/>
            <w:tcMar>
              <w:top w:w="-1" w:type="dxa"/>
              <w:left w:w="-1" w:type="dxa"/>
              <w:bottom w:w="-1" w:type="dxa"/>
              <w:right w:w="-1" w:type="dxa"/>
            </w:tcMar>
          </w:tcPr>
          <w:p w14:paraId="7315A57C">
            <w:pPr>
              <w:spacing w:line="360" w:lineRule="auto"/>
              <w:jc w:val="center"/>
              <w:rPr>
                <w:b/>
                <w:bCs/>
                <w:snapToGrid w:val="0"/>
                <w:u w:val="single"/>
                <w:lang w:val="zh-CN"/>
              </w:rPr>
            </w:pPr>
            <w:r>
              <w:rPr>
                <w:rFonts w:hint="eastAsia" w:cs="宋体"/>
                <w:b/>
                <w:bCs/>
              </w:rPr>
              <w:t>本项目无需缴纳投标保证金</w:t>
            </w:r>
          </w:p>
        </w:tc>
      </w:tr>
      <w:tr w14:paraId="60C5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626" w:type="dxa"/>
            <w:vAlign w:val="center"/>
          </w:tcPr>
          <w:p w14:paraId="0920A7C4">
            <w:pPr>
              <w:spacing w:line="360" w:lineRule="auto"/>
              <w:jc w:val="center"/>
            </w:pPr>
            <w:r>
              <w:rPr>
                <w:rFonts w:hint="eastAsia" w:cs="宋体"/>
              </w:rPr>
              <w:t>投标人的替代方案</w:t>
            </w:r>
          </w:p>
        </w:tc>
        <w:tc>
          <w:tcPr>
            <w:tcW w:w="6097" w:type="dxa"/>
            <w:vAlign w:val="center"/>
          </w:tcPr>
          <w:p w14:paraId="45879DF5">
            <w:pPr>
              <w:spacing w:line="360" w:lineRule="auto"/>
              <w:jc w:val="center"/>
              <w:rPr>
                <w:u w:val="single"/>
              </w:rPr>
            </w:pPr>
            <w:r>
              <w:rPr>
                <w:rFonts w:hint="eastAsia" w:cs="宋体"/>
              </w:rPr>
              <w:t>不允许</w:t>
            </w:r>
          </w:p>
        </w:tc>
      </w:tr>
      <w:tr w14:paraId="17F7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626" w:type="dxa"/>
            <w:vAlign w:val="center"/>
          </w:tcPr>
          <w:p w14:paraId="76D57974">
            <w:pPr>
              <w:spacing w:line="360" w:lineRule="auto"/>
              <w:jc w:val="center"/>
            </w:pPr>
            <w:r>
              <w:rPr>
                <w:rFonts w:hint="eastAsia" w:cs="宋体"/>
              </w:rPr>
              <w:t>投标有效期</w:t>
            </w:r>
          </w:p>
        </w:tc>
        <w:tc>
          <w:tcPr>
            <w:tcW w:w="6097" w:type="dxa"/>
            <w:vAlign w:val="center"/>
          </w:tcPr>
          <w:p w14:paraId="4952D2C8">
            <w:pPr>
              <w:spacing w:line="360" w:lineRule="auto"/>
              <w:jc w:val="center"/>
            </w:pPr>
            <w:r>
              <w:t>90</w:t>
            </w:r>
            <w:r>
              <w:rPr>
                <w:rFonts w:hint="eastAsia" w:cs="宋体"/>
              </w:rPr>
              <w:t>天</w:t>
            </w:r>
          </w:p>
        </w:tc>
      </w:tr>
      <w:tr w14:paraId="227F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26" w:type="dxa"/>
            <w:vAlign w:val="center"/>
          </w:tcPr>
          <w:p w14:paraId="02EF7910">
            <w:pPr>
              <w:spacing w:line="360" w:lineRule="auto"/>
              <w:jc w:val="center"/>
            </w:pPr>
            <w:r>
              <w:rPr>
                <w:rFonts w:hint="eastAsia" w:cs="宋体"/>
              </w:rPr>
              <w:t>履约担保金额</w:t>
            </w:r>
          </w:p>
        </w:tc>
        <w:tc>
          <w:tcPr>
            <w:tcW w:w="6097" w:type="dxa"/>
            <w:vAlign w:val="center"/>
          </w:tcPr>
          <w:p w14:paraId="65DDEB99">
            <w:pPr>
              <w:spacing w:line="360" w:lineRule="auto"/>
              <w:jc w:val="center"/>
            </w:pPr>
            <w:r>
              <w:rPr>
                <w:rFonts w:hint="eastAsia" w:cs="宋体"/>
              </w:rPr>
              <w:t>无</w:t>
            </w:r>
          </w:p>
        </w:tc>
      </w:tr>
      <w:tr w14:paraId="27BF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2626" w:type="dxa"/>
            <w:vAlign w:val="center"/>
          </w:tcPr>
          <w:p w14:paraId="096A3A6A">
            <w:pPr>
              <w:spacing w:line="360" w:lineRule="auto"/>
              <w:jc w:val="center"/>
            </w:pPr>
            <w:r>
              <w:rPr>
                <w:rFonts w:hint="eastAsia" w:cs="宋体"/>
              </w:rPr>
              <w:t>代理服务费</w:t>
            </w:r>
          </w:p>
        </w:tc>
        <w:tc>
          <w:tcPr>
            <w:tcW w:w="6097" w:type="dxa"/>
            <w:vAlign w:val="center"/>
          </w:tcPr>
          <w:p w14:paraId="04BF1893">
            <w:pPr>
              <w:spacing w:line="360" w:lineRule="auto"/>
              <w:jc w:val="center"/>
            </w:pPr>
          </w:p>
        </w:tc>
      </w:tr>
      <w:tr w14:paraId="3035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2626" w:type="dxa"/>
            <w:vAlign w:val="center"/>
          </w:tcPr>
          <w:p w14:paraId="15A46139">
            <w:pPr>
              <w:spacing w:line="360" w:lineRule="auto"/>
              <w:jc w:val="center"/>
            </w:pPr>
            <w:r>
              <w:rPr>
                <w:rFonts w:hint="eastAsia" w:cs="宋体"/>
              </w:rPr>
              <w:t>投标文件份数</w:t>
            </w:r>
          </w:p>
        </w:tc>
        <w:tc>
          <w:tcPr>
            <w:tcW w:w="6097" w:type="dxa"/>
            <w:vAlign w:val="center"/>
          </w:tcPr>
          <w:p w14:paraId="35AF37DC">
            <w:pPr>
              <w:spacing w:line="360" w:lineRule="auto"/>
              <w:jc w:val="center"/>
            </w:pPr>
            <w:r>
              <w:rPr>
                <w:rFonts w:hint="eastAsia" w:cs="宋体"/>
              </w:rPr>
              <w:t>一正四副（及电子文档一份）</w:t>
            </w:r>
          </w:p>
        </w:tc>
      </w:tr>
    </w:tbl>
    <w:p w14:paraId="1F4654F7">
      <w:pPr>
        <w:pStyle w:val="20"/>
        <w:jc w:val="center"/>
        <w:rPr>
          <w:rFonts w:ascii="Times New Roman" w:hAnsi="Times New Roman"/>
          <w:sz w:val="36"/>
          <w:szCs w:val="36"/>
        </w:rPr>
      </w:pPr>
      <w:r>
        <w:rPr>
          <w:rFonts w:hint="eastAsia" w:ascii="Times New Roman" w:hAnsi="Times New Roman" w:cs="黑体"/>
          <w:sz w:val="36"/>
          <w:szCs w:val="36"/>
        </w:rPr>
        <w:t>投标文件初审表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1"/>
        <w:gridCol w:w="7408"/>
      </w:tblGrid>
      <w:tr w14:paraId="68D0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89" w:type="dxa"/>
            <w:gridSpan w:val="2"/>
          </w:tcPr>
          <w:p w14:paraId="7EFC2CC5">
            <w:pPr>
              <w:jc w:val="center"/>
            </w:pPr>
            <w:r>
              <w:rPr>
                <w:rFonts w:hint="eastAsia" w:cs="宋体"/>
              </w:rPr>
              <w:t>资格性检查表</w:t>
            </w:r>
          </w:p>
        </w:tc>
      </w:tr>
      <w:tr w14:paraId="56E6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tcPr>
          <w:p w14:paraId="6E9E60C8">
            <w:pPr>
              <w:jc w:val="center"/>
              <w:textAlignment w:val="top"/>
            </w:pPr>
            <w:r>
              <w:rPr>
                <w:rFonts w:ascii="宋体" w:hAnsi="宋体" w:cs="宋体"/>
              </w:rPr>
              <w:t>1</w:t>
            </w:r>
          </w:p>
        </w:tc>
        <w:tc>
          <w:tcPr>
            <w:tcW w:w="7408" w:type="dxa"/>
            <w:tcMar>
              <w:top w:w="-1" w:type="dxa"/>
              <w:left w:w="-1" w:type="dxa"/>
              <w:bottom w:w="-1" w:type="dxa"/>
              <w:right w:w="-1" w:type="dxa"/>
            </w:tcMar>
          </w:tcPr>
          <w:p w14:paraId="68E2CF4D">
            <w:pPr>
              <w:jc w:val="left"/>
              <w:textAlignment w:val="top"/>
            </w:pPr>
            <w:r>
              <w:rPr>
                <w:rFonts w:ascii="宋体" w:hAnsi="宋体" w:cs="宋体"/>
              </w:rPr>
              <w:t>投标人不</w:t>
            </w:r>
            <w:r>
              <w:rPr>
                <w:rFonts w:hint="eastAsia" w:ascii="宋体" w:hAnsi="宋体" w:cs="宋体"/>
              </w:rPr>
              <w:t>符合</w:t>
            </w:r>
            <w:r>
              <w:rPr>
                <w:rFonts w:ascii="宋体" w:hAnsi="宋体" w:cs="宋体"/>
              </w:rPr>
              <w:t>资格要求，或未提交相应的资格证明资料（详见招标公告</w:t>
            </w:r>
            <w:r>
              <w:rPr>
                <w:rFonts w:hint="eastAsia" w:ascii="宋体" w:hAnsi="宋体"/>
              </w:rPr>
              <w:t>投标人资格要求，即申请人的资格要求</w:t>
            </w:r>
            <w:r>
              <w:rPr>
                <w:rFonts w:ascii="宋体" w:hAnsi="宋体" w:cs="宋体"/>
              </w:rPr>
              <w:t>）</w:t>
            </w:r>
          </w:p>
        </w:tc>
      </w:tr>
      <w:tr w14:paraId="6BEC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tcPr>
          <w:p w14:paraId="5EA5BA9B">
            <w:pPr>
              <w:jc w:val="center"/>
            </w:pPr>
            <w:r>
              <w:t>2</w:t>
            </w:r>
          </w:p>
        </w:tc>
        <w:tc>
          <w:tcPr>
            <w:tcW w:w="7408" w:type="dxa"/>
            <w:tcMar>
              <w:top w:w="-1" w:type="dxa"/>
              <w:left w:w="-1" w:type="dxa"/>
              <w:bottom w:w="-1" w:type="dxa"/>
              <w:right w:w="-1" w:type="dxa"/>
            </w:tcMar>
          </w:tcPr>
          <w:p w14:paraId="1874A90E">
            <w:r>
              <w:rPr>
                <w:rFonts w:hint="eastAsia" w:cs="宋体"/>
              </w:rPr>
              <w:t>投标人不具备国家有关法律规定的有关资质的；</w:t>
            </w:r>
          </w:p>
        </w:tc>
      </w:tr>
      <w:tr w14:paraId="5C57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789" w:type="dxa"/>
            <w:gridSpan w:val="2"/>
            <w:vAlign w:val="center"/>
          </w:tcPr>
          <w:p w14:paraId="52F163B5">
            <w:pPr>
              <w:jc w:val="center"/>
            </w:pPr>
            <w:r>
              <w:rPr>
                <w:rFonts w:hint="eastAsia" w:cs="宋体"/>
              </w:rPr>
              <w:t>符合性检查表</w:t>
            </w:r>
          </w:p>
        </w:tc>
      </w:tr>
      <w:tr w14:paraId="46B1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43195423">
            <w:pPr>
              <w:jc w:val="center"/>
            </w:pPr>
            <w:r>
              <w:t>1</w:t>
            </w:r>
          </w:p>
        </w:tc>
        <w:tc>
          <w:tcPr>
            <w:tcW w:w="7408" w:type="dxa"/>
            <w:tcMar>
              <w:top w:w="-1" w:type="dxa"/>
              <w:left w:w="-1" w:type="dxa"/>
              <w:bottom w:w="-1" w:type="dxa"/>
              <w:right w:w="-1" w:type="dxa"/>
            </w:tcMar>
          </w:tcPr>
          <w:p w14:paraId="6330604A">
            <w:r>
              <w:rPr>
                <w:rFonts w:hint="eastAsia"/>
              </w:rPr>
              <w:t>将一个包或一个标段的内容拆开投标；</w:t>
            </w:r>
          </w:p>
        </w:tc>
      </w:tr>
      <w:tr w14:paraId="67B7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23AC8ED1">
            <w:pPr>
              <w:jc w:val="center"/>
            </w:pPr>
            <w:r>
              <w:t>2</w:t>
            </w:r>
          </w:p>
        </w:tc>
        <w:tc>
          <w:tcPr>
            <w:tcW w:w="7408" w:type="dxa"/>
            <w:tcMar>
              <w:top w:w="-1" w:type="dxa"/>
              <w:left w:w="-1" w:type="dxa"/>
              <w:bottom w:w="-1" w:type="dxa"/>
              <w:right w:w="-1" w:type="dxa"/>
            </w:tcMar>
          </w:tcPr>
          <w:p w14:paraId="0E49D417">
            <w:r>
              <w:rPr>
                <w:rFonts w:hint="eastAsia"/>
              </w:rPr>
              <w:t>对同一项目投标时，提供两套以上的投标方案（招标文件另有规定的除外）；</w:t>
            </w:r>
          </w:p>
        </w:tc>
      </w:tr>
      <w:tr w14:paraId="10DC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1B70F142">
            <w:pPr>
              <w:jc w:val="center"/>
            </w:pPr>
            <w:r>
              <w:t>3</w:t>
            </w:r>
          </w:p>
        </w:tc>
        <w:tc>
          <w:tcPr>
            <w:tcW w:w="7408" w:type="dxa"/>
            <w:tcMar>
              <w:top w:w="-1" w:type="dxa"/>
              <w:left w:w="-1" w:type="dxa"/>
              <w:bottom w:w="-1" w:type="dxa"/>
              <w:right w:w="-1" w:type="dxa"/>
            </w:tcMar>
          </w:tcPr>
          <w:p w14:paraId="1A3EBB13">
            <w:r>
              <w:rPr>
                <w:rFonts w:hint="eastAsia"/>
              </w:rPr>
              <w:t>投标报价高于财政预算限额（最高投标限价）的；</w:t>
            </w:r>
          </w:p>
        </w:tc>
      </w:tr>
      <w:tr w14:paraId="1AA9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71084AF0">
            <w:pPr>
              <w:jc w:val="center"/>
            </w:pPr>
            <w:r>
              <w:t>4</w:t>
            </w:r>
          </w:p>
        </w:tc>
        <w:tc>
          <w:tcPr>
            <w:tcW w:w="7408" w:type="dxa"/>
            <w:tcMar>
              <w:top w:w="-1" w:type="dxa"/>
              <w:left w:w="-1" w:type="dxa"/>
              <w:bottom w:w="-1" w:type="dxa"/>
              <w:right w:w="-1" w:type="dxa"/>
            </w:tcMar>
          </w:tcPr>
          <w:p w14:paraId="12B23686">
            <w:r>
              <w:rPr>
                <w:rFonts w:hint="eastAsia"/>
              </w:rPr>
              <w:t>同一项目出现两个及以上报价，且按规定无法确定哪个是有效报价；</w:t>
            </w:r>
          </w:p>
        </w:tc>
      </w:tr>
      <w:tr w14:paraId="77F4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4A10B924">
            <w:pPr>
              <w:jc w:val="center"/>
            </w:pPr>
            <w:r>
              <w:t>5</w:t>
            </w:r>
          </w:p>
        </w:tc>
        <w:tc>
          <w:tcPr>
            <w:tcW w:w="7408" w:type="dxa"/>
            <w:tcMar>
              <w:top w:w="-1" w:type="dxa"/>
              <w:left w:w="-1" w:type="dxa"/>
              <w:bottom w:w="-1" w:type="dxa"/>
              <w:right w:w="-1" w:type="dxa"/>
            </w:tcMar>
          </w:tcPr>
          <w:p w14:paraId="39E5AFA1">
            <w:pPr>
              <w:textAlignment w:val="top"/>
              <w:rPr>
                <w:rFonts w:hint="eastAsia" w:ascii="宋体" w:hAnsi="宋体" w:cs="宋体"/>
                <w:kern w:val="2"/>
              </w:rPr>
            </w:pPr>
            <w:r>
              <w:rPr>
                <w:rFonts w:hint="eastAsia" w:ascii="宋体" w:hAnsi="宋体" w:cs="宋体"/>
                <w:kern w:val="2"/>
              </w:rPr>
              <w:t>评审中出现下列情形之一的，评审委员会应当启动异常低价投标（响应）审查程序：</w:t>
            </w:r>
          </w:p>
          <w:p w14:paraId="7B425B4D">
            <w:pPr>
              <w:textAlignment w:val="top"/>
              <w:rPr>
                <w:rFonts w:hint="eastAsia" w:ascii="宋体" w:hAnsi="宋体" w:cs="宋体"/>
                <w:kern w:val="2"/>
              </w:rPr>
            </w:pPr>
            <w:r>
              <w:rPr>
                <w:rFonts w:hint="eastAsia" w:ascii="宋体" w:hAnsi="宋体" w:cs="宋体"/>
                <w:kern w:val="2"/>
              </w:rPr>
              <w:t>1.</w:t>
            </w:r>
            <w:bookmarkStart w:id="1" w:name="OLE_LINK6"/>
            <w:r>
              <w:rPr>
                <w:rFonts w:hint="eastAsia" w:ascii="宋体" w:hAnsi="宋体" w:cs="宋体"/>
                <w:kern w:val="2"/>
              </w:rPr>
              <w:t>投标（响应）报价低于全部通过符合性审查供应商投标（响应）报价平均值65%的</w:t>
            </w:r>
            <w:bookmarkEnd w:id="1"/>
            <w:r>
              <w:rPr>
                <w:rFonts w:hint="eastAsia" w:ascii="宋体" w:hAnsi="宋体" w:cs="宋体"/>
                <w:kern w:val="2"/>
              </w:rPr>
              <w:t>，即投标（响应）报价&lt;全部通过符合性审查供应商投标（响应）报价平均值×65%；</w:t>
            </w:r>
          </w:p>
          <w:p w14:paraId="158C1C10">
            <w:pPr>
              <w:textAlignment w:val="top"/>
              <w:rPr>
                <w:rFonts w:hint="eastAsia" w:ascii="宋体" w:hAnsi="宋体" w:cs="宋体"/>
                <w:kern w:val="2"/>
              </w:rPr>
            </w:pPr>
            <w:r>
              <w:rPr>
                <w:rFonts w:hint="eastAsia" w:ascii="宋体" w:hAnsi="宋体" w:cs="宋体"/>
                <w:kern w:val="2"/>
              </w:rPr>
              <w:t>2.投标（响应）报价低于通过符合性审查的次低报价供应商投标（响应）报价65%的，即投标（响应）报价&lt;通过符合性审查的次低报价供应商投标（响应）报价×65%；</w:t>
            </w:r>
          </w:p>
          <w:p w14:paraId="1D867080">
            <w:pPr>
              <w:textAlignment w:val="top"/>
              <w:rPr>
                <w:rFonts w:hint="eastAsia" w:ascii="宋体" w:hAnsi="宋体" w:cs="宋体"/>
                <w:kern w:val="2"/>
              </w:rPr>
            </w:pPr>
            <w:r>
              <w:rPr>
                <w:rFonts w:hint="eastAsia" w:ascii="宋体" w:hAnsi="宋体" w:cs="宋体"/>
                <w:kern w:val="2"/>
              </w:rPr>
              <w:t>3.投标（响应）报价低于采购项目最高限价65%的，即投标（响应）报价&lt;采购项目最高限价×65%；</w:t>
            </w:r>
          </w:p>
          <w:p w14:paraId="2C704D9D">
            <w:pPr>
              <w:textAlignment w:val="top"/>
              <w:rPr>
                <w:rFonts w:hint="eastAsia" w:ascii="宋体" w:hAnsi="宋体" w:cs="宋体"/>
                <w:kern w:val="2"/>
              </w:rPr>
            </w:pPr>
            <w:r>
              <w:rPr>
                <w:rFonts w:hint="eastAsia" w:ascii="宋体" w:hAnsi="宋体" w:cs="宋体"/>
                <w:kern w:val="2"/>
              </w:rPr>
              <w:t>4.评审委员会基于专业判断，认为供应商报价过低，有可能影响产品质量或者不能诚信履约的其他情形。</w:t>
            </w:r>
          </w:p>
          <w:p w14:paraId="2C77F1C8">
            <w:pPr>
              <w:textAlignment w:val="top"/>
              <w:rPr>
                <w:rFonts w:hint="eastAsia" w:ascii="宋体" w:hAnsi="宋体" w:cs="宋体"/>
                <w:kern w:val="2"/>
              </w:rPr>
            </w:pPr>
          </w:p>
          <w:p w14:paraId="67597650">
            <w:pPr>
              <w:textAlignment w:val="top"/>
              <w:rPr>
                <w:rFonts w:hint="eastAsia" w:ascii="宋体" w:hAnsi="宋体" w:cs="宋体"/>
                <w:kern w:val="2"/>
              </w:rPr>
            </w:pPr>
            <w:r>
              <w:rPr>
                <w:rFonts w:hint="eastAsia" w:ascii="宋体" w:hAnsi="宋体" w:cs="宋体"/>
                <w:kern w:val="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013605C">
            <w:pPr>
              <w:textAlignment w:val="top"/>
              <w:rPr>
                <w:rFonts w:hint="eastAsia" w:ascii="宋体" w:hAnsi="宋体" w:cs="宋体"/>
                <w:kern w:val="2"/>
              </w:rPr>
            </w:pPr>
          </w:p>
          <w:p w14:paraId="7AC0FE27">
            <w:r>
              <w:rPr>
                <w:rFonts w:hint="eastAsia" w:ascii="宋体" w:hAnsi="宋体" w:cs="宋体"/>
                <w:kern w:val="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506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2E9C9415">
            <w:pPr>
              <w:jc w:val="center"/>
            </w:pPr>
            <w:r>
              <w:rPr>
                <w:rFonts w:hint="eastAsia"/>
              </w:rPr>
              <w:t>6</w:t>
            </w:r>
          </w:p>
        </w:tc>
        <w:tc>
          <w:tcPr>
            <w:tcW w:w="7408" w:type="dxa"/>
            <w:tcMar>
              <w:top w:w="-1" w:type="dxa"/>
              <w:left w:w="-1" w:type="dxa"/>
              <w:bottom w:w="-1" w:type="dxa"/>
              <w:right w:w="-1" w:type="dxa"/>
            </w:tcMar>
          </w:tcPr>
          <w:p w14:paraId="6E56F9FF">
            <w:r>
              <w:rPr>
                <w:rFonts w:hint="eastAsia" w:cs="宋体"/>
              </w:rPr>
              <w:t>投标文件载明的交货期或服务期限不满足招标文件规定的；</w:t>
            </w:r>
          </w:p>
        </w:tc>
      </w:tr>
      <w:tr w14:paraId="6378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33C62E74">
            <w:pPr>
              <w:jc w:val="center"/>
            </w:pPr>
            <w:r>
              <w:rPr>
                <w:rFonts w:hint="eastAsia"/>
              </w:rPr>
              <w:t>7</w:t>
            </w:r>
          </w:p>
        </w:tc>
        <w:tc>
          <w:tcPr>
            <w:tcW w:w="7408" w:type="dxa"/>
            <w:tcMar>
              <w:top w:w="-1" w:type="dxa"/>
              <w:left w:w="-1" w:type="dxa"/>
              <w:bottom w:w="-1" w:type="dxa"/>
              <w:right w:w="-1" w:type="dxa"/>
            </w:tcMar>
          </w:tcPr>
          <w:p w14:paraId="6AE31D81">
            <w:pPr>
              <w:rPr>
                <w:rFonts w:cs="宋体"/>
              </w:rPr>
            </w:pPr>
            <w:r>
              <w:rPr>
                <w:rFonts w:hint="eastAsia" w:cs="宋体"/>
              </w:rPr>
              <w:t>投标文件载明的免费保修期低于招标文件规定的期限的；</w:t>
            </w:r>
          </w:p>
        </w:tc>
      </w:tr>
      <w:tr w14:paraId="4A49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7E6D126D">
            <w:pPr>
              <w:jc w:val="center"/>
            </w:pPr>
            <w:r>
              <w:rPr>
                <w:rFonts w:hint="eastAsia"/>
              </w:rPr>
              <w:t>8</w:t>
            </w:r>
          </w:p>
        </w:tc>
        <w:tc>
          <w:tcPr>
            <w:tcW w:w="7408" w:type="dxa"/>
            <w:tcMar>
              <w:top w:w="-1" w:type="dxa"/>
              <w:left w:w="-1" w:type="dxa"/>
              <w:bottom w:w="-1" w:type="dxa"/>
              <w:right w:w="-1" w:type="dxa"/>
            </w:tcMar>
          </w:tcPr>
          <w:p w14:paraId="0575E8DE">
            <w:r>
              <w:rPr>
                <w:rFonts w:hint="eastAsia"/>
              </w:rPr>
              <w:t>投标报价有严重缺漏项目；</w:t>
            </w:r>
          </w:p>
        </w:tc>
      </w:tr>
      <w:tr w14:paraId="3267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0B43CF1F">
            <w:pPr>
              <w:jc w:val="center"/>
            </w:pPr>
            <w:r>
              <w:rPr>
                <w:rFonts w:hint="eastAsia"/>
              </w:rPr>
              <w:t>9</w:t>
            </w:r>
          </w:p>
        </w:tc>
        <w:tc>
          <w:tcPr>
            <w:tcW w:w="7408" w:type="dxa"/>
            <w:tcMar>
              <w:top w:w="-1" w:type="dxa"/>
              <w:left w:w="-1" w:type="dxa"/>
              <w:bottom w:w="-1" w:type="dxa"/>
              <w:right w:w="-1" w:type="dxa"/>
            </w:tcMar>
          </w:tcPr>
          <w:p w14:paraId="3E6FDC3D">
            <w:r>
              <w:rPr>
                <w:rFonts w:hint="eastAsia" w:cs="宋体"/>
              </w:rPr>
              <w:t>所投产品、工程、服务在质量、技术、方案等方面没有实质性满足招标文件要求（是否实质性满足招标文件要求，由评标委员会来做出评判）；</w:t>
            </w:r>
          </w:p>
        </w:tc>
      </w:tr>
      <w:tr w14:paraId="215F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0E7D03C4">
            <w:pPr>
              <w:jc w:val="center"/>
            </w:pPr>
            <w:r>
              <w:rPr>
                <w:rFonts w:hint="eastAsia"/>
              </w:rPr>
              <w:t>10</w:t>
            </w:r>
          </w:p>
        </w:tc>
        <w:tc>
          <w:tcPr>
            <w:tcW w:w="7408" w:type="dxa"/>
            <w:tcMar>
              <w:top w:w="-1" w:type="dxa"/>
              <w:left w:w="-1" w:type="dxa"/>
              <w:bottom w:w="-1" w:type="dxa"/>
              <w:right w:w="-1" w:type="dxa"/>
            </w:tcMar>
          </w:tcPr>
          <w:p w14:paraId="73674CF6">
            <w:r>
              <w:rPr>
                <w:rFonts w:hint="eastAsia"/>
              </w:rPr>
              <w:t>未按招标文件所提供的样式填写《投标函》；未按招标文件所提供的《政府采购投标及履约承诺函》进行承诺；未按招标文件对投标文件组成的要求提供投标文件的（投标文件组成不完整）；</w:t>
            </w:r>
          </w:p>
        </w:tc>
      </w:tr>
      <w:tr w14:paraId="066C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81" w:type="dxa"/>
            <w:tcMar>
              <w:top w:w="-1" w:type="dxa"/>
              <w:left w:w="-1" w:type="dxa"/>
              <w:bottom w:w="-1" w:type="dxa"/>
              <w:right w:w="-1" w:type="dxa"/>
            </w:tcMar>
            <w:vAlign w:val="center"/>
          </w:tcPr>
          <w:p w14:paraId="2943E674">
            <w:pPr>
              <w:jc w:val="center"/>
            </w:pPr>
            <w:r>
              <w:rPr>
                <w:rFonts w:hint="eastAsia"/>
              </w:rPr>
              <w:t>11</w:t>
            </w:r>
          </w:p>
        </w:tc>
        <w:tc>
          <w:tcPr>
            <w:tcW w:w="7408" w:type="dxa"/>
            <w:tcMar>
              <w:top w:w="-1" w:type="dxa"/>
              <w:left w:w="-1" w:type="dxa"/>
              <w:bottom w:w="-1" w:type="dxa"/>
              <w:right w:w="-1" w:type="dxa"/>
            </w:tcMar>
          </w:tcPr>
          <w:p w14:paraId="2705D300">
            <w:r>
              <w:rPr>
                <w:rFonts w:hint="eastAsia" w:cs="宋体"/>
              </w:rPr>
              <w:t>法律、法规规定的其他情形。</w:t>
            </w:r>
          </w:p>
        </w:tc>
      </w:tr>
    </w:tbl>
    <w:p w14:paraId="202B0369"/>
    <w:p w14:paraId="56F615B3">
      <w:pPr>
        <w:keepNext/>
        <w:keepLines/>
        <w:widowControl w:val="0"/>
        <w:adjustRightInd w:val="0"/>
        <w:spacing w:before="260" w:after="260"/>
        <w:ind w:left="3360" w:firstLine="420"/>
        <w:textAlignment w:val="baseline"/>
        <w:outlineLvl w:val="1"/>
        <w:rPr>
          <w:rFonts w:cs="黑体"/>
          <w:sz w:val="36"/>
          <w:szCs w:val="36"/>
        </w:rPr>
      </w:pPr>
      <w:r>
        <w:rPr>
          <w:rFonts w:hint="eastAsia" w:cs="黑体"/>
          <w:sz w:val="36"/>
          <w:szCs w:val="36"/>
        </w:rPr>
        <w:t>评标信息</w:t>
      </w:r>
    </w:p>
    <w:p w14:paraId="61BEE161">
      <w:pPr>
        <w:widowControl w:val="0"/>
        <w:spacing w:line="360" w:lineRule="auto"/>
        <w:ind w:firstLine="480" w:firstLineChars="200"/>
        <w:rPr>
          <w:rFonts w:ascii="Calibri" w:hAnsi="Calibri"/>
          <w:kern w:val="2"/>
          <w:sz w:val="24"/>
          <w:szCs w:val="24"/>
        </w:rPr>
      </w:pPr>
      <w:r>
        <w:rPr>
          <w:rFonts w:hint="eastAsia" w:ascii="Calibri" w:hAnsi="Calibri"/>
          <w:kern w:val="2"/>
          <w:sz w:val="24"/>
          <w:szCs w:val="24"/>
        </w:rPr>
        <w:t>本项目评标方法：</w:t>
      </w:r>
      <w:r>
        <w:rPr>
          <w:rFonts w:ascii="Calibri" w:hAnsi="Calibri"/>
          <w:kern w:val="2"/>
          <w:sz w:val="24"/>
          <w:szCs w:val="24"/>
        </w:rPr>
        <w:t>综合评分法，综合评分法是指投标文件满足招标文件全部实质性要求，且按照评审因素的量化指标评审得分最高的投标人为中标候选人的评标方法。</w:t>
      </w:r>
    </w:p>
    <w:p w14:paraId="0D08E52F">
      <w:pPr>
        <w:widowControl w:val="0"/>
        <w:spacing w:line="360" w:lineRule="auto"/>
        <w:ind w:firstLine="435"/>
        <w:rPr>
          <w:rFonts w:ascii="Calibri" w:hAnsi="Calibri"/>
          <w:kern w:val="2"/>
          <w:sz w:val="24"/>
          <w:szCs w:val="24"/>
        </w:rPr>
      </w:pPr>
      <w:r>
        <w:rPr>
          <w:rFonts w:ascii="Calibri" w:hAnsi="Calibri"/>
          <w:kern w:val="2"/>
          <w:sz w:val="24"/>
          <w:szCs w:val="24"/>
        </w:rPr>
        <w:t>采用低价优先法计算，即满足招标文件要求且投标价格最低的投标报价为评标基准价，其价格分为满分。其他投标人的价格分统一按照下列公式计算：</w:t>
      </w:r>
    </w:p>
    <w:p w14:paraId="6070E9BE">
      <w:pPr>
        <w:widowControl w:val="0"/>
        <w:spacing w:line="360" w:lineRule="auto"/>
        <w:ind w:firstLine="435"/>
        <w:rPr>
          <w:rFonts w:ascii="Calibri" w:hAnsi="Calibri"/>
          <w:kern w:val="2"/>
          <w:sz w:val="24"/>
          <w:szCs w:val="24"/>
        </w:rPr>
      </w:pPr>
      <w:r>
        <w:rPr>
          <w:rFonts w:ascii="Calibri" w:hAnsi="Calibri"/>
          <w:kern w:val="2"/>
          <w:sz w:val="24"/>
          <w:szCs w:val="24"/>
        </w:rPr>
        <w:t>投标报价得分=(评标基准价／投标报价)×</w:t>
      </w:r>
      <w:r>
        <w:rPr>
          <w:rFonts w:hint="eastAsia" w:ascii="Calibri" w:hAnsi="Calibri"/>
          <w:kern w:val="2"/>
          <w:sz w:val="24"/>
          <w:szCs w:val="24"/>
        </w:rPr>
        <w:t>3</w:t>
      </w:r>
      <w:r>
        <w:rPr>
          <w:rFonts w:ascii="Calibri" w:hAnsi="Calibri"/>
          <w:kern w:val="2"/>
          <w:sz w:val="24"/>
          <w:szCs w:val="24"/>
        </w:rPr>
        <w:t xml:space="preserve">0 </w:t>
      </w:r>
    </w:p>
    <w:p w14:paraId="2139CD40">
      <w:pPr>
        <w:widowControl w:val="0"/>
        <w:spacing w:line="360" w:lineRule="auto"/>
        <w:ind w:firstLine="435"/>
        <w:rPr>
          <w:rFonts w:ascii="Calibri" w:hAnsi="Calibri"/>
          <w:kern w:val="2"/>
          <w:sz w:val="24"/>
          <w:szCs w:val="24"/>
        </w:rPr>
      </w:pPr>
      <w:r>
        <w:rPr>
          <w:rFonts w:ascii="Calibri" w:hAnsi="Calibri"/>
          <w:kern w:val="2"/>
          <w:sz w:val="24"/>
          <w:szCs w:val="24"/>
        </w:rPr>
        <w:t>评标总得分＝F1×A1＋F2×A2＋……＋Fn×An</w:t>
      </w:r>
    </w:p>
    <w:p w14:paraId="0609741E">
      <w:pPr>
        <w:widowControl w:val="0"/>
        <w:spacing w:line="360" w:lineRule="auto"/>
        <w:ind w:firstLine="435"/>
        <w:rPr>
          <w:rFonts w:ascii="Calibri" w:hAnsi="Calibri"/>
          <w:kern w:val="2"/>
          <w:sz w:val="24"/>
          <w:szCs w:val="24"/>
        </w:rPr>
      </w:pPr>
      <w:r>
        <w:rPr>
          <w:rFonts w:ascii="Calibri" w:hAnsi="Calibri"/>
          <w:kern w:val="2"/>
          <w:sz w:val="24"/>
          <w:szCs w:val="24"/>
        </w:rPr>
        <w:t>F1、F2……Fn分别为各项评审因素的得分；</w:t>
      </w:r>
    </w:p>
    <w:p w14:paraId="4BE36887">
      <w:pPr>
        <w:widowControl w:val="0"/>
        <w:spacing w:line="360" w:lineRule="auto"/>
        <w:ind w:firstLine="435"/>
        <w:rPr>
          <w:rFonts w:ascii="Calibri" w:hAnsi="Calibri"/>
          <w:kern w:val="2"/>
          <w:sz w:val="24"/>
          <w:szCs w:val="24"/>
        </w:rPr>
      </w:pPr>
      <w:r>
        <w:rPr>
          <w:rFonts w:ascii="Calibri" w:hAnsi="Calibri"/>
          <w:kern w:val="2"/>
          <w:sz w:val="24"/>
          <w:szCs w:val="24"/>
        </w:rPr>
        <w:t>A1、A2、……An 分别为各项评审因素所占的权重(A1＋A2＋……＋An＝1)。</w:t>
      </w:r>
    </w:p>
    <w:p w14:paraId="5DE03441">
      <w:pPr>
        <w:widowControl w:val="0"/>
        <w:spacing w:line="360" w:lineRule="auto"/>
        <w:ind w:firstLine="435"/>
        <w:rPr>
          <w:rFonts w:ascii="Calibri" w:hAnsi="Calibri"/>
          <w:kern w:val="2"/>
          <w:sz w:val="24"/>
          <w:szCs w:val="24"/>
        </w:rPr>
      </w:pPr>
      <w:r>
        <w:rPr>
          <w:rFonts w:ascii="Calibri" w:hAnsi="Calibri"/>
          <w:kern w:val="2"/>
          <w:sz w:val="24"/>
          <w:szCs w:val="24"/>
        </w:rPr>
        <w:t>评标过程中，不得去掉报价中的最高报价和最低报价。</w:t>
      </w:r>
    </w:p>
    <w:p w14:paraId="38BDEF20">
      <w:pPr>
        <w:spacing w:line="360" w:lineRule="auto"/>
        <w:ind w:firstLine="420"/>
        <w:rPr>
          <w:rFonts w:cs="宋体"/>
          <w:sz w:val="24"/>
          <w:szCs w:val="24"/>
        </w:rPr>
      </w:pPr>
      <w:r>
        <w:rPr>
          <w:rFonts w:ascii="Calibri" w:hAnsi="Calibri"/>
          <w:kern w:val="2"/>
          <w:sz w:val="24"/>
          <w:szCs w:val="24"/>
        </w:rPr>
        <w:t>此方法适用于货物类、服务类、工程类项目。</w:t>
      </w:r>
    </w:p>
    <w:tbl>
      <w:tblPr>
        <w:tblStyle w:val="1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56"/>
        <w:gridCol w:w="1370"/>
        <w:gridCol w:w="851"/>
        <w:gridCol w:w="5103"/>
      </w:tblGrid>
      <w:tr w14:paraId="7E93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23FE5F35">
            <w:pPr>
              <w:widowControl w:val="0"/>
              <w:jc w:val="center"/>
              <w:rPr>
                <w:rFonts w:hint="eastAsia" w:ascii="宋体" w:hAnsi="宋体"/>
                <w:kern w:val="2"/>
              </w:rPr>
            </w:pPr>
            <w:r>
              <w:rPr>
                <w:rFonts w:hint="eastAsia" w:ascii="宋体" w:hAnsi="宋体"/>
                <w:kern w:val="2"/>
              </w:rPr>
              <w:t>序号</w:t>
            </w:r>
          </w:p>
        </w:tc>
        <w:tc>
          <w:tcPr>
            <w:tcW w:w="2977" w:type="dxa"/>
            <w:gridSpan w:val="3"/>
            <w:vAlign w:val="center"/>
          </w:tcPr>
          <w:p w14:paraId="131BC2DC">
            <w:pPr>
              <w:widowControl w:val="0"/>
              <w:jc w:val="center"/>
              <w:rPr>
                <w:rFonts w:hint="eastAsia" w:ascii="宋体" w:hAnsi="宋体"/>
                <w:kern w:val="2"/>
              </w:rPr>
            </w:pPr>
            <w:r>
              <w:rPr>
                <w:rFonts w:hint="eastAsia" w:ascii="宋体" w:hAnsi="宋体"/>
                <w:kern w:val="2"/>
              </w:rPr>
              <w:t>评分项</w:t>
            </w:r>
          </w:p>
        </w:tc>
        <w:tc>
          <w:tcPr>
            <w:tcW w:w="5103" w:type="dxa"/>
            <w:vAlign w:val="center"/>
          </w:tcPr>
          <w:p w14:paraId="210FA9B5">
            <w:pPr>
              <w:widowControl w:val="0"/>
              <w:jc w:val="center"/>
              <w:rPr>
                <w:rFonts w:hint="eastAsia" w:ascii="宋体" w:hAnsi="宋体"/>
                <w:kern w:val="2"/>
              </w:rPr>
            </w:pPr>
            <w:r>
              <w:rPr>
                <w:rFonts w:hint="eastAsia" w:ascii="宋体" w:hAnsi="宋体"/>
                <w:kern w:val="2"/>
              </w:rPr>
              <w:t>权重</w:t>
            </w:r>
          </w:p>
        </w:tc>
      </w:tr>
      <w:tr w14:paraId="1DB9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55212F8A">
            <w:pPr>
              <w:widowControl w:val="0"/>
              <w:jc w:val="center"/>
              <w:rPr>
                <w:rFonts w:hint="eastAsia" w:ascii="宋体" w:hAnsi="宋体"/>
                <w:b/>
                <w:kern w:val="2"/>
              </w:rPr>
            </w:pPr>
            <w:r>
              <w:rPr>
                <w:rFonts w:ascii="宋体" w:hAnsi="宋体"/>
                <w:b/>
                <w:kern w:val="2"/>
              </w:rPr>
              <w:t>1</w:t>
            </w:r>
          </w:p>
        </w:tc>
        <w:tc>
          <w:tcPr>
            <w:tcW w:w="2977" w:type="dxa"/>
            <w:gridSpan w:val="3"/>
            <w:vAlign w:val="center"/>
          </w:tcPr>
          <w:p w14:paraId="5BDE1AF9">
            <w:pPr>
              <w:widowControl w:val="0"/>
              <w:jc w:val="center"/>
              <w:rPr>
                <w:rFonts w:hint="eastAsia" w:ascii="宋体" w:hAnsi="宋体"/>
                <w:b/>
                <w:kern w:val="2"/>
              </w:rPr>
            </w:pPr>
            <w:r>
              <w:rPr>
                <w:rFonts w:hint="eastAsia" w:ascii="宋体" w:hAnsi="宋体"/>
                <w:b/>
                <w:kern w:val="2"/>
              </w:rPr>
              <w:t>价格</w:t>
            </w:r>
          </w:p>
        </w:tc>
        <w:tc>
          <w:tcPr>
            <w:tcW w:w="5103" w:type="dxa"/>
            <w:vAlign w:val="center"/>
          </w:tcPr>
          <w:p w14:paraId="3BF4CDDF">
            <w:pPr>
              <w:widowControl w:val="0"/>
              <w:jc w:val="center"/>
              <w:rPr>
                <w:rFonts w:hint="eastAsia" w:ascii="宋体" w:hAnsi="宋体"/>
                <w:b/>
                <w:kern w:val="2"/>
              </w:rPr>
            </w:pPr>
            <w:r>
              <w:rPr>
                <w:rFonts w:hint="eastAsia" w:ascii="宋体" w:hAnsi="宋体"/>
                <w:b/>
                <w:kern w:val="2"/>
              </w:rPr>
              <w:t>30</w:t>
            </w:r>
          </w:p>
        </w:tc>
      </w:tr>
      <w:tr w14:paraId="0E31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restart"/>
            <w:vAlign w:val="center"/>
          </w:tcPr>
          <w:p w14:paraId="4CADEB54">
            <w:pPr>
              <w:widowControl w:val="0"/>
              <w:jc w:val="center"/>
              <w:rPr>
                <w:rFonts w:hint="eastAsia" w:ascii="宋体" w:hAnsi="宋体"/>
                <w:b/>
                <w:kern w:val="2"/>
              </w:rPr>
            </w:pPr>
            <w:r>
              <w:rPr>
                <w:rFonts w:ascii="宋体" w:hAnsi="宋体"/>
                <w:b/>
                <w:kern w:val="2"/>
              </w:rPr>
              <w:t>2</w:t>
            </w:r>
          </w:p>
        </w:tc>
        <w:tc>
          <w:tcPr>
            <w:tcW w:w="2977" w:type="dxa"/>
            <w:gridSpan w:val="3"/>
            <w:vAlign w:val="center"/>
          </w:tcPr>
          <w:p w14:paraId="7943870B">
            <w:pPr>
              <w:widowControl w:val="0"/>
              <w:jc w:val="center"/>
              <w:rPr>
                <w:rFonts w:hint="eastAsia" w:ascii="宋体" w:hAnsi="宋体"/>
                <w:b/>
                <w:kern w:val="2"/>
              </w:rPr>
            </w:pPr>
            <w:r>
              <w:rPr>
                <w:rFonts w:hint="eastAsia" w:ascii="宋体" w:hAnsi="宋体"/>
                <w:b/>
                <w:kern w:val="2"/>
              </w:rPr>
              <w:t>技术部分</w:t>
            </w:r>
          </w:p>
        </w:tc>
        <w:tc>
          <w:tcPr>
            <w:tcW w:w="5103" w:type="dxa"/>
            <w:vAlign w:val="center"/>
          </w:tcPr>
          <w:p w14:paraId="20A98F4F">
            <w:pPr>
              <w:widowControl w:val="0"/>
              <w:jc w:val="center"/>
              <w:rPr>
                <w:rFonts w:hint="eastAsia" w:ascii="宋体" w:hAnsi="宋体"/>
                <w:b/>
                <w:kern w:val="2"/>
              </w:rPr>
            </w:pPr>
            <w:r>
              <w:rPr>
                <w:rFonts w:hint="eastAsia" w:ascii="宋体" w:hAnsi="宋体"/>
                <w:b/>
                <w:kern w:val="2"/>
              </w:rPr>
              <w:t>50</w:t>
            </w:r>
          </w:p>
        </w:tc>
      </w:tr>
      <w:tr w14:paraId="37EA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vAlign w:val="center"/>
          </w:tcPr>
          <w:p w14:paraId="4A300659">
            <w:pPr>
              <w:widowControl w:val="0"/>
              <w:spacing w:line="360" w:lineRule="auto"/>
              <w:jc w:val="center"/>
              <w:rPr>
                <w:rFonts w:hint="eastAsia" w:ascii="宋体" w:hAnsi="宋体"/>
                <w:kern w:val="2"/>
              </w:rPr>
            </w:pPr>
          </w:p>
        </w:tc>
        <w:tc>
          <w:tcPr>
            <w:tcW w:w="756" w:type="dxa"/>
            <w:vAlign w:val="center"/>
          </w:tcPr>
          <w:p w14:paraId="75F7AE5E">
            <w:pPr>
              <w:widowControl w:val="0"/>
              <w:jc w:val="center"/>
              <w:rPr>
                <w:rFonts w:hint="eastAsia" w:ascii="宋体" w:hAnsi="宋体"/>
                <w:kern w:val="2"/>
              </w:rPr>
            </w:pPr>
            <w:r>
              <w:rPr>
                <w:rFonts w:hint="eastAsia" w:ascii="宋体" w:hAnsi="宋体"/>
                <w:kern w:val="2"/>
              </w:rPr>
              <w:t>序号</w:t>
            </w:r>
          </w:p>
        </w:tc>
        <w:tc>
          <w:tcPr>
            <w:tcW w:w="1370" w:type="dxa"/>
            <w:vAlign w:val="center"/>
          </w:tcPr>
          <w:p w14:paraId="4E8C8078">
            <w:pPr>
              <w:widowControl w:val="0"/>
              <w:jc w:val="center"/>
              <w:rPr>
                <w:rFonts w:hint="eastAsia" w:ascii="宋体" w:hAnsi="宋体"/>
                <w:kern w:val="2"/>
              </w:rPr>
            </w:pPr>
            <w:r>
              <w:rPr>
                <w:rFonts w:hint="eastAsia" w:ascii="宋体" w:hAnsi="宋体"/>
                <w:kern w:val="2"/>
              </w:rPr>
              <w:t>评分因素</w:t>
            </w:r>
          </w:p>
        </w:tc>
        <w:tc>
          <w:tcPr>
            <w:tcW w:w="851" w:type="dxa"/>
            <w:vAlign w:val="center"/>
          </w:tcPr>
          <w:p w14:paraId="516EE46F">
            <w:pPr>
              <w:widowControl w:val="0"/>
              <w:jc w:val="center"/>
              <w:rPr>
                <w:rFonts w:hint="eastAsia" w:ascii="宋体" w:hAnsi="宋体"/>
                <w:kern w:val="2"/>
              </w:rPr>
            </w:pPr>
            <w:r>
              <w:rPr>
                <w:rFonts w:hint="eastAsia" w:ascii="宋体" w:hAnsi="宋体"/>
                <w:kern w:val="2"/>
              </w:rPr>
              <w:t>权重</w:t>
            </w:r>
          </w:p>
        </w:tc>
        <w:tc>
          <w:tcPr>
            <w:tcW w:w="5103" w:type="dxa"/>
            <w:vAlign w:val="center"/>
          </w:tcPr>
          <w:p w14:paraId="53DB764F">
            <w:pPr>
              <w:widowControl w:val="0"/>
              <w:jc w:val="center"/>
              <w:rPr>
                <w:rFonts w:hint="eastAsia" w:ascii="宋体" w:hAnsi="宋体"/>
                <w:kern w:val="2"/>
              </w:rPr>
            </w:pPr>
            <w:r>
              <w:rPr>
                <w:rFonts w:hint="eastAsia" w:ascii="宋体" w:hAnsi="宋体"/>
                <w:kern w:val="2"/>
              </w:rPr>
              <w:t>评分准则</w:t>
            </w:r>
          </w:p>
        </w:tc>
      </w:tr>
      <w:tr w14:paraId="563C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vAlign w:val="center"/>
          </w:tcPr>
          <w:p w14:paraId="26B3D063">
            <w:pPr>
              <w:keepNext/>
              <w:keepLines/>
              <w:widowControl w:val="0"/>
              <w:spacing w:before="260" w:after="260" w:line="360" w:lineRule="auto"/>
              <w:jc w:val="center"/>
              <w:outlineLvl w:val="2"/>
              <w:rPr>
                <w:rFonts w:hint="eastAsia" w:ascii="宋体" w:hAnsi="宋体"/>
                <w:kern w:val="2"/>
              </w:rPr>
            </w:pPr>
          </w:p>
        </w:tc>
        <w:tc>
          <w:tcPr>
            <w:tcW w:w="756" w:type="dxa"/>
            <w:vAlign w:val="center"/>
          </w:tcPr>
          <w:p w14:paraId="0F9DFE87">
            <w:pPr>
              <w:wordWrap w:val="0"/>
              <w:jc w:val="center"/>
              <w:textAlignment w:val="top"/>
              <w:rPr>
                <w:rFonts w:hint="eastAsia" w:ascii="宋体" w:hAnsi="宋体" w:cs="宋体"/>
              </w:rPr>
            </w:pPr>
            <w:r>
              <w:rPr>
                <w:rFonts w:hint="eastAsia" w:ascii="宋体" w:hAnsi="宋体" w:cs="宋体"/>
              </w:rPr>
              <w:t>1</w:t>
            </w:r>
          </w:p>
        </w:tc>
        <w:tc>
          <w:tcPr>
            <w:tcW w:w="1370" w:type="dxa"/>
            <w:vAlign w:val="center"/>
          </w:tcPr>
          <w:p w14:paraId="725C7D88">
            <w:pPr>
              <w:wordWrap w:val="0"/>
              <w:jc w:val="center"/>
              <w:rPr>
                <w:rFonts w:hint="eastAsia" w:ascii="宋体" w:hAnsi="宋体" w:cs="宋体"/>
              </w:rPr>
            </w:pPr>
            <w:r>
              <w:rPr>
                <w:rFonts w:hint="eastAsia" w:ascii="宋体" w:hAnsi="宋体" w:cs="宋体"/>
              </w:rPr>
              <w:t>项目实施方案、重难点分析、应对措施及相关的合理化建议</w:t>
            </w:r>
          </w:p>
        </w:tc>
        <w:tc>
          <w:tcPr>
            <w:tcW w:w="851" w:type="dxa"/>
            <w:vAlign w:val="center"/>
          </w:tcPr>
          <w:p w14:paraId="378E446D">
            <w:pPr>
              <w:wordWrap w:val="0"/>
              <w:jc w:val="center"/>
              <w:rPr>
                <w:rFonts w:hint="eastAsia" w:ascii="宋体" w:hAnsi="宋体" w:cs="宋体"/>
              </w:rPr>
            </w:pPr>
            <w:r>
              <w:rPr>
                <w:rFonts w:hint="eastAsia" w:ascii="宋体" w:hAnsi="宋体" w:cs="宋体"/>
              </w:rPr>
              <w:t>20</w:t>
            </w:r>
          </w:p>
        </w:tc>
        <w:tc>
          <w:tcPr>
            <w:tcW w:w="5103" w:type="dxa"/>
          </w:tcPr>
          <w:p w14:paraId="450E3DDF">
            <w:pPr>
              <w:jc w:val="left"/>
              <w:rPr>
                <w:rFonts w:hint="eastAsia" w:ascii="宋体" w:hAnsi="宋体" w:cs="宋体"/>
                <w:b/>
                <w:color w:val="000000"/>
              </w:rPr>
            </w:pPr>
            <w:r>
              <w:rPr>
                <w:rFonts w:hint="eastAsia" w:ascii="宋体" w:hAnsi="宋体" w:cs="宋体"/>
                <w:b/>
                <w:color w:val="000000"/>
              </w:rPr>
              <w:t>（一）评分内容：</w:t>
            </w:r>
          </w:p>
          <w:p w14:paraId="14D212C2">
            <w:pPr>
              <w:jc w:val="left"/>
              <w:rPr>
                <w:rFonts w:hint="eastAsia" w:ascii="宋体" w:hAnsi="宋体" w:cs="宋体"/>
                <w:color w:val="000000"/>
              </w:rPr>
            </w:pPr>
            <w:r>
              <w:rPr>
                <w:rFonts w:hint="eastAsia" w:ascii="宋体" w:hAnsi="宋体" w:cs="宋体"/>
                <w:color w:val="000000"/>
              </w:rPr>
              <w:t>根据投标人对本项目提出的实施方案、重点难点分析、应对措施及相关的合理化建议进行评价，内容包括以下四点：</w:t>
            </w:r>
          </w:p>
          <w:p w14:paraId="5097DF0D">
            <w:pPr>
              <w:jc w:val="left"/>
              <w:rPr>
                <w:rFonts w:hint="eastAsia" w:ascii="宋体" w:hAnsi="宋体" w:cs="宋体"/>
                <w:color w:val="000000"/>
              </w:rPr>
            </w:pPr>
            <w:r>
              <w:rPr>
                <w:rFonts w:hint="eastAsia" w:ascii="宋体" w:hAnsi="宋体" w:cs="宋体"/>
                <w:color w:val="000000"/>
              </w:rPr>
              <w:t>1.实施方案；</w:t>
            </w:r>
          </w:p>
          <w:p w14:paraId="150CF753">
            <w:pPr>
              <w:jc w:val="left"/>
              <w:rPr>
                <w:rFonts w:hint="eastAsia" w:ascii="宋体" w:hAnsi="宋体" w:cs="宋体"/>
                <w:color w:val="000000"/>
              </w:rPr>
            </w:pPr>
            <w:r>
              <w:rPr>
                <w:rFonts w:hint="eastAsia" w:ascii="宋体" w:hAnsi="宋体" w:cs="宋体"/>
                <w:color w:val="000000"/>
              </w:rPr>
              <w:t>2.重点难点的分析；</w:t>
            </w:r>
          </w:p>
          <w:p w14:paraId="7FB77E51">
            <w:pPr>
              <w:jc w:val="left"/>
              <w:rPr>
                <w:rFonts w:hint="eastAsia" w:ascii="宋体" w:hAnsi="宋体" w:cs="宋体"/>
                <w:color w:val="000000"/>
              </w:rPr>
            </w:pPr>
            <w:r>
              <w:rPr>
                <w:rFonts w:hint="eastAsia" w:ascii="宋体" w:hAnsi="宋体" w:cs="宋体"/>
                <w:color w:val="000000"/>
              </w:rPr>
              <w:t>3.应对措施；</w:t>
            </w:r>
          </w:p>
          <w:p w14:paraId="42D3F6A2">
            <w:pPr>
              <w:jc w:val="left"/>
              <w:rPr>
                <w:rFonts w:hint="eastAsia" w:ascii="宋体" w:hAnsi="宋体" w:cs="宋体"/>
                <w:color w:val="000000"/>
              </w:rPr>
            </w:pPr>
            <w:r>
              <w:rPr>
                <w:rFonts w:hint="eastAsia" w:ascii="宋体" w:hAnsi="宋体" w:cs="宋体"/>
                <w:color w:val="000000"/>
              </w:rPr>
              <w:t>4.提供有效提升系统可靠性、稳定性等方面的合理化建议。</w:t>
            </w:r>
          </w:p>
          <w:p w14:paraId="6F1A6D19">
            <w:pPr>
              <w:wordWrap w:val="0"/>
              <w:jc w:val="left"/>
              <w:rPr>
                <w:rFonts w:hint="eastAsia" w:ascii="宋体" w:hAnsi="宋体" w:cs="宋体"/>
                <w:b/>
                <w:color w:val="000000"/>
              </w:rPr>
            </w:pPr>
            <w:r>
              <w:rPr>
                <w:rFonts w:hint="eastAsia" w:ascii="宋体" w:hAnsi="宋体" w:cs="宋体"/>
                <w:b/>
                <w:color w:val="000000"/>
              </w:rPr>
              <w:t>（二）评分依据：</w:t>
            </w:r>
          </w:p>
          <w:p w14:paraId="5CCDC829">
            <w:pPr>
              <w:jc w:val="left"/>
              <w:rPr>
                <w:rFonts w:hint="eastAsia" w:ascii="宋体" w:hAnsi="宋体" w:cs="宋体"/>
                <w:color w:val="000000"/>
              </w:rPr>
            </w:pPr>
            <w:r>
              <w:rPr>
                <w:rFonts w:hint="eastAsia" w:ascii="宋体" w:hAnsi="宋体" w:cs="宋体"/>
                <w:color w:val="000000"/>
              </w:rPr>
              <w:t>1.考察以上项目的实施方案、重难点分析、应对措施及相关的合理化建议，每提供以上任意一项得3分，全部提供的得12分。</w:t>
            </w:r>
          </w:p>
          <w:p w14:paraId="0D9E4113">
            <w:pPr>
              <w:jc w:val="left"/>
              <w:rPr>
                <w:rFonts w:hint="eastAsia" w:ascii="宋体" w:hAnsi="宋体" w:cs="宋体"/>
                <w:color w:val="000000"/>
              </w:rPr>
            </w:pPr>
            <w:r>
              <w:rPr>
                <w:rFonts w:hint="eastAsia" w:ascii="宋体" w:hAnsi="宋体" w:cs="宋体"/>
                <w:color w:val="000000"/>
              </w:rPr>
              <w:t>2.在此基础上，专家根据各供应商的具体响应内容横向比较。</w:t>
            </w:r>
          </w:p>
          <w:p w14:paraId="55FE4635">
            <w:pPr>
              <w:jc w:val="left"/>
              <w:rPr>
                <w:rFonts w:hint="eastAsia" w:ascii="宋体" w:hAnsi="宋体" w:cs="宋体"/>
                <w:bCs/>
                <w:color w:val="000000"/>
              </w:rPr>
            </w:pPr>
            <w:r>
              <w:rPr>
                <w:rFonts w:hint="eastAsia" w:ascii="宋体" w:hAnsi="宋体" w:cs="宋体"/>
                <w:bCs/>
                <w:color w:val="000000"/>
              </w:rPr>
              <w:t>（1）评审为优：项目重点难点分析透彻、应对措施及相关的合理化建议完善的加8分；</w:t>
            </w:r>
          </w:p>
          <w:p w14:paraId="01DDFDE7">
            <w:pPr>
              <w:jc w:val="left"/>
              <w:rPr>
                <w:rFonts w:hint="eastAsia" w:ascii="宋体" w:hAnsi="宋体" w:cs="宋体"/>
                <w:bCs/>
                <w:color w:val="000000"/>
              </w:rPr>
            </w:pPr>
            <w:r>
              <w:rPr>
                <w:rFonts w:hint="eastAsia" w:ascii="宋体" w:hAnsi="宋体" w:cs="宋体"/>
                <w:bCs/>
                <w:color w:val="000000"/>
              </w:rPr>
              <w:t>（2）评审为良：项目重点难点分析较透彻、应对措施及相关的合理化建议较完善的加6分；</w:t>
            </w:r>
          </w:p>
          <w:p w14:paraId="18E8C801">
            <w:pPr>
              <w:jc w:val="left"/>
              <w:rPr>
                <w:rFonts w:hint="eastAsia" w:ascii="宋体" w:hAnsi="宋体" w:cs="宋体"/>
                <w:bCs/>
                <w:color w:val="000000"/>
              </w:rPr>
            </w:pPr>
            <w:r>
              <w:rPr>
                <w:rFonts w:hint="eastAsia" w:ascii="宋体" w:hAnsi="宋体" w:cs="宋体"/>
                <w:bCs/>
                <w:color w:val="000000"/>
              </w:rPr>
              <w:t>（3）评审为中：项目重点难点分析一般、应对措施及相关的合理化建议一般的加2分；</w:t>
            </w:r>
          </w:p>
          <w:p w14:paraId="55B70F56">
            <w:pPr>
              <w:jc w:val="left"/>
              <w:rPr>
                <w:rFonts w:hint="eastAsia" w:ascii="宋体" w:hAnsi="宋体" w:cs="宋体"/>
                <w:bCs/>
                <w:color w:val="000000"/>
              </w:rPr>
            </w:pPr>
            <w:r>
              <w:rPr>
                <w:rFonts w:hint="eastAsia" w:ascii="宋体" w:hAnsi="宋体" w:cs="宋体"/>
                <w:bCs/>
                <w:color w:val="000000"/>
              </w:rPr>
              <w:t>（4）评审为差：项目重点难点分析不透彻、应对措施及相关的合理化建议不完善的不加分。</w:t>
            </w:r>
          </w:p>
          <w:p w14:paraId="4F257609">
            <w:pPr>
              <w:jc w:val="left"/>
              <w:rPr>
                <w:rFonts w:hint="eastAsia" w:ascii="宋体" w:hAnsi="宋体" w:cs="宋体"/>
              </w:rPr>
            </w:pPr>
            <w:r>
              <w:rPr>
                <w:rFonts w:hint="eastAsia" w:ascii="宋体" w:hAnsi="宋体" w:cs="宋体"/>
                <w:color w:val="000000"/>
              </w:rPr>
              <w:t>不提供不得分。</w:t>
            </w:r>
          </w:p>
        </w:tc>
      </w:tr>
      <w:tr w14:paraId="3ED1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817" w:type="dxa"/>
            <w:vMerge w:val="continue"/>
            <w:vAlign w:val="center"/>
          </w:tcPr>
          <w:p w14:paraId="0E3C9895">
            <w:pPr>
              <w:widowControl w:val="0"/>
              <w:spacing w:line="360" w:lineRule="auto"/>
              <w:jc w:val="center"/>
              <w:rPr>
                <w:rFonts w:hint="eastAsia" w:ascii="宋体" w:hAnsi="宋体"/>
                <w:kern w:val="2"/>
              </w:rPr>
            </w:pPr>
          </w:p>
        </w:tc>
        <w:tc>
          <w:tcPr>
            <w:tcW w:w="756" w:type="dxa"/>
            <w:vAlign w:val="center"/>
          </w:tcPr>
          <w:p w14:paraId="5AA4AFCF">
            <w:pPr>
              <w:wordWrap w:val="0"/>
              <w:jc w:val="center"/>
              <w:textAlignment w:val="top"/>
              <w:rPr>
                <w:rFonts w:hint="eastAsia" w:ascii="宋体" w:hAnsi="宋体" w:cs="宋体"/>
              </w:rPr>
            </w:pPr>
            <w:r>
              <w:rPr>
                <w:rFonts w:hint="eastAsia" w:ascii="宋体" w:hAnsi="宋体" w:cs="宋体"/>
              </w:rPr>
              <w:t>2</w:t>
            </w:r>
          </w:p>
        </w:tc>
        <w:tc>
          <w:tcPr>
            <w:tcW w:w="1370" w:type="dxa"/>
            <w:vAlign w:val="center"/>
          </w:tcPr>
          <w:p w14:paraId="24228E42">
            <w:pPr>
              <w:jc w:val="left"/>
              <w:rPr>
                <w:rFonts w:hint="eastAsia" w:ascii="宋体" w:hAnsi="宋体" w:cs="宋体"/>
              </w:rPr>
            </w:pPr>
            <w:r>
              <w:rPr>
                <w:rFonts w:hint="eastAsia" w:ascii="宋体" w:hAnsi="宋体" w:cs="宋体"/>
              </w:rPr>
              <w:t>所投产品参数响应情况评价</w:t>
            </w:r>
          </w:p>
        </w:tc>
        <w:tc>
          <w:tcPr>
            <w:tcW w:w="851" w:type="dxa"/>
            <w:vAlign w:val="center"/>
          </w:tcPr>
          <w:p w14:paraId="2921F164">
            <w:pPr>
              <w:wordWrap w:val="0"/>
              <w:jc w:val="center"/>
              <w:textAlignment w:val="top"/>
              <w:rPr>
                <w:rFonts w:hint="eastAsia" w:ascii="宋体" w:hAnsi="宋体" w:cs="宋体"/>
              </w:rPr>
            </w:pPr>
            <w:r>
              <w:rPr>
                <w:rFonts w:hint="eastAsia" w:ascii="宋体" w:hAnsi="宋体" w:cs="宋体"/>
              </w:rPr>
              <w:t>20</w:t>
            </w:r>
          </w:p>
        </w:tc>
        <w:tc>
          <w:tcPr>
            <w:tcW w:w="5103" w:type="dxa"/>
          </w:tcPr>
          <w:p w14:paraId="42229591">
            <w:pPr>
              <w:wordWrap w:val="0"/>
              <w:textAlignment w:val="top"/>
              <w:rPr>
                <w:rFonts w:hint="eastAsia" w:ascii="宋体" w:hAnsi="宋体" w:cs="宋体"/>
                <w:b/>
                <w:bCs/>
              </w:rPr>
            </w:pPr>
            <w:r>
              <w:rPr>
                <w:rFonts w:hint="eastAsia" w:ascii="宋体" w:hAnsi="宋体" w:cs="宋体"/>
                <w:b/>
                <w:bCs/>
              </w:rPr>
              <w:t>（一）评分内容：</w:t>
            </w:r>
          </w:p>
          <w:p w14:paraId="43D21FFC">
            <w:pPr>
              <w:rPr>
                <w:rFonts w:hint="eastAsia" w:ascii="宋体" w:hAnsi="宋体" w:cs="宋体"/>
                <w:bCs/>
                <w:color w:val="000000"/>
              </w:rPr>
            </w:pPr>
            <w:r>
              <w:rPr>
                <w:rFonts w:hint="eastAsia" w:ascii="宋体" w:hAnsi="宋体" w:cs="宋体"/>
                <w:bCs/>
                <w:color w:val="000000"/>
              </w:rPr>
              <w:t>投标人应如实填写《技术要求偏离表》，评审委员会根据技术需求参数响应情况及证明材料进行打分，完全符合招标要求的，得20分，重要▲条款每有一项负偏离的扣4分，非▲和*条款每负偏离一项扣1分，扣完为止。</w:t>
            </w:r>
          </w:p>
          <w:p w14:paraId="576BE8C2">
            <w:pPr>
              <w:wordWrap w:val="0"/>
              <w:textAlignment w:val="top"/>
              <w:rPr>
                <w:rFonts w:hint="eastAsia" w:ascii="宋体" w:hAnsi="宋体" w:cs="宋体"/>
                <w:b/>
                <w:bCs/>
              </w:rPr>
            </w:pPr>
            <w:r>
              <w:rPr>
                <w:rFonts w:hint="eastAsia" w:ascii="宋体" w:hAnsi="宋体" w:cs="宋体"/>
                <w:b/>
                <w:bCs/>
              </w:rPr>
              <w:t>（二）评分依据：</w:t>
            </w:r>
          </w:p>
          <w:p w14:paraId="7832B039">
            <w:pPr>
              <w:wordWrap w:val="0"/>
              <w:textAlignment w:val="top"/>
              <w:rPr>
                <w:rFonts w:hint="eastAsia" w:ascii="宋体" w:hAnsi="宋体" w:cs="宋体"/>
              </w:rPr>
            </w:pPr>
            <w:r>
              <w:rPr>
                <w:rFonts w:hint="eastAsia" w:ascii="宋体" w:hAnsi="宋体" w:cs="宋体"/>
                <w:bCs/>
                <w:color w:val="000000"/>
              </w:rPr>
              <w:t>投标人需提交《技术要求偏离表》，</w:t>
            </w:r>
            <w:bookmarkStart w:id="2" w:name="OLE_LINK2"/>
            <w:r>
              <w:rPr>
                <w:rFonts w:hint="eastAsia" w:ascii="宋体" w:hAnsi="宋体" w:cs="宋体"/>
                <w:bCs/>
                <w:color w:val="000000"/>
              </w:rPr>
              <w:t>同时要求投标人提供证明材料，需盖章。</w:t>
            </w:r>
            <w:bookmarkEnd w:id="2"/>
          </w:p>
        </w:tc>
      </w:tr>
      <w:tr w14:paraId="1257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72A35377">
            <w:pPr>
              <w:keepNext/>
              <w:keepLines/>
              <w:widowControl w:val="0"/>
              <w:spacing w:before="260" w:after="260" w:line="360" w:lineRule="auto"/>
              <w:jc w:val="center"/>
              <w:outlineLvl w:val="2"/>
              <w:rPr>
                <w:rFonts w:hint="eastAsia" w:ascii="宋体" w:hAnsi="宋体"/>
                <w:kern w:val="2"/>
              </w:rPr>
            </w:pPr>
          </w:p>
        </w:tc>
        <w:tc>
          <w:tcPr>
            <w:tcW w:w="756" w:type="dxa"/>
            <w:vAlign w:val="center"/>
          </w:tcPr>
          <w:p w14:paraId="0A40F102">
            <w:pPr>
              <w:wordWrap w:val="0"/>
              <w:jc w:val="center"/>
              <w:textAlignment w:val="top"/>
              <w:rPr>
                <w:rFonts w:hint="eastAsia" w:ascii="宋体" w:hAnsi="宋体" w:cs="宋体"/>
              </w:rPr>
            </w:pPr>
            <w:r>
              <w:rPr>
                <w:rFonts w:hint="eastAsia" w:ascii="宋体" w:hAnsi="宋体" w:cs="宋体"/>
              </w:rPr>
              <w:t>3</w:t>
            </w:r>
          </w:p>
        </w:tc>
        <w:tc>
          <w:tcPr>
            <w:tcW w:w="1370" w:type="dxa"/>
            <w:vAlign w:val="center"/>
          </w:tcPr>
          <w:p w14:paraId="7D7C695D">
            <w:pPr>
              <w:spacing w:line="400" w:lineRule="exact"/>
              <w:rPr>
                <w:rFonts w:hint="eastAsia" w:ascii="宋体" w:hAnsi="宋体" w:cs="宋体"/>
              </w:rPr>
            </w:pPr>
            <w:r>
              <w:rPr>
                <w:rFonts w:hint="eastAsia" w:ascii="宋体" w:hAnsi="宋体" w:cs="宋体"/>
              </w:rPr>
              <w:t>所投核心产品（蓄电池）知识产权情况</w:t>
            </w:r>
          </w:p>
        </w:tc>
        <w:tc>
          <w:tcPr>
            <w:tcW w:w="851" w:type="dxa"/>
            <w:vAlign w:val="center"/>
          </w:tcPr>
          <w:p w14:paraId="6F883380">
            <w:pPr>
              <w:spacing w:line="400" w:lineRule="exact"/>
              <w:jc w:val="center"/>
              <w:rPr>
                <w:rFonts w:hint="eastAsia" w:ascii="宋体" w:hAnsi="宋体" w:cs="宋体"/>
              </w:rPr>
            </w:pPr>
            <w:r>
              <w:rPr>
                <w:rFonts w:hint="eastAsia" w:ascii="宋体" w:hAnsi="宋体" w:cs="宋体"/>
              </w:rPr>
              <w:t>3</w:t>
            </w:r>
          </w:p>
        </w:tc>
        <w:tc>
          <w:tcPr>
            <w:tcW w:w="5103" w:type="dxa"/>
          </w:tcPr>
          <w:p w14:paraId="6CE7DFFE">
            <w:pPr>
              <w:wordWrap w:val="0"/>
              <w:textAlignment w:val="top"/>
              <w:rPr>
                <w:rFonts w:hint="eastAsia" w:ascii="宋体" w:hAnsi="宋体" w:cs="宋体"/>
                <w:b/>
                <w:bCs/>
              </w:rPr>
            </w:pPr>
            <w:r>
              <w:rPr>
                <w:rFonts w:hint="eastAsia" w:ascii="宋体" w:hAnsi="宋体" w:cs="宋体"/>
                <w:b/>
                <w:bCs/>
              </w:rPr>
              <w:t>（一）评分内容：</w:t>
            </w:r>
          </w:p>
          <w:p w14:paraId="01688461">
            <w:pPr>
              <w:pStyle w:val="21"/>
              <w:jc w:val="both"/>
              <w:rPr>
                <w:rFonts w:hint="eastAsia" w:ascii="宋体" w:hAnsi="宋体" w:cs="宋体"/>
                <w:color w:val="auto"/>
                <w:kern w:val="2"/>
                <w:sz w:val="21"/>
                <w:szCs w:val="21"/>
              </w:rPr>
            </w:pPr>
            <w:r>
              <w:rPr>
                <w:rFonts w:hint="eastAsia" w:ascii="宋体" w:hAnsi="宋体" w:cs="宋体"/>
                <w:color w:val="auto"/>
                <w:kern w:val="2"/>
                <w:sz w:val="21"/>
                <w:szCs w:val="21"/>
              </w:rPr>
              <w:t>所投核心产品（蓄电池）相关的专利证书（实用新型专利或发明专利）。每提供一项专利的得0.6分，最高得3分。</w:t>
            </w:r>
          </w:p>
          <w:p w14:paraId="73FADC0B">
            <w:pPr>
              <w:wordWrap w:val="0"/>
              <w:textAlignment w:val="top"/>
              <w:rPr>
                <w:rFonts w:hint="eastAsia" w:ascii="宋体" w:hAnsi="宋体" w:cs="宋体"/>
                <w:b/>
                <w:bCs/>
              </w:rPr>
            </w:pPr>
            <w:r>
              <w:rPr>
                <w:rFonts w:hint="eastAsia" w:ascii="宋体" w:hAnsi="宋体" w:cs="宋体"/>
                <w:b/>
                <w:bCs/>
              </w:rPr>
              <w:t>（二）评分依据：</w:t>
            </w:r>
          </w:p>
          <w:p w14:paraId="574C08F8">
            <w:pPr>
              <w:wordWrap w:val="0"/>
              <w:textAlignment w:val="top"/>
              <w:rPr>
                <w:rFonts w:hint="eastAsia" w:ascii="宋体" w:hAnsi="宋体" w:cs="宋体"/>
              </w:rPr>
            </w:pPr>
            <w:r>
              <w:rPr>
                <w:rFonts w:hint="eastAsia" w:ascii="宋体" w:hAnsi="宋体" w:cs="宋体"/>
                <w:kern w:val="2"/>
              </w:rPr>
              <w:t>提供专利证书及证书官网查询截图。原件备查。未按要求提供或提供不清晰导致专家无法判断的不得分。</w:t>
            </w:r>
          </w:p>
        </w:tc>
      </w:tr>
      <w:tr w14:paraId="1D5F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51063680">
            <w:pPr>
              <w:keepNext/>
              <w:keepLines/>
              <w:widowControl w:val="0"/>
              <w:spacing w:before="260" w:after="260" w:line="360" w:lineRule="auto"/>
              <w:jc w:val="center"/>
              <w:outlineLvl w:val="2"/>
              <w:rPr>
                <w:rFonts w:hint="eastAsia" w:ascii="宋体" w:hAnsi="宋体"/>
                <w:kern w:val="2"/>
              </w:rPr>
            </w:pPr>
          </w:p>
        </w:tc>
        <w:tc>
          <w:tcPr>
            <w:tcW w:w="756" w:type="dxa"/>
            <w:vAlign w:val="center"/>
          </w:tcPr>
          <w:p w14:paraId="74549FF1">
            <w:pPr>
              <w:wordWrap w:val="0"/>
              <w:jc w:val="center"/>
              <w:textAlignment w:val="top"/>
              <w:rPr>
                <w:rFonts w:hint="eastAsia" w:ascii="宋体" w:hAnsi="宋体" w:cs="宋体"/>
              </w:rPr>
            </w:pPr>
            <w:r>
              <w:rPr>
                <w:rFonts w:hint="eastAsia" w:ascii="宋体" w:hAnsi="宋体" w:cs="宋体"/>
              </w:rPr>
              <w:t>4</w:t>
            </w:r>
          </w:p>
        </w:tc>
        <w:tc>
          <w:tcPr>
            <w:tcW w:w="1370" w:type="dxa"/>
            <w:vAlign w:val="center"/>
          </w:tcPr>
          <w:p w14:paraId="68FCB11C">
            <w:pPr>
              <w:spacing w:line="400" w:lineRule="exact"/>
              <w:rPr>
                <w:rFonts w:hint="eastAsia" w:ascii="宋体" w:hAnsi="宋体" w:cs="宋体"/>
              </w:rPr>
            </w:pPr>
            <w:r>
              <w:rPr>
                <w:rFonts w:hint="eastAsia" w:ascii="宋体" w:hAnsi="宋体" w:cs="宋体"/>
              </w:rPr>
              <w:t>所投核心产品（蓄电池）质量控制</w:t>
            </w:r>
          </w:p>
        </w:tc>
        <w:tc>
          <w:tcPr>
            <w:tcW w:w="851" w:type="dxa"/>
            <w:vAlign w:val="center"/>
          </w:tcPr>
          <w:p w14:paraId="72A8E368">
            <w:pPr>
              <w:spacing w:line="400" w:lineRule="exact"/>
              <w:jc w:val="center"/>
              <w:rPr>
                <w:rFonts w:hint="eastAsia" w:ascii="宋体" w:hAnsi="宋体" w:cs="宋体"/>
                <w:color w:val="000000"/>
              </w:rPr>
            </w:pPr>
            <w:r>
              <w:rPr>
                <w:rFonts w:hint="eastAsia" w:ascii="宋体" w:hAnsi="宋体" w:cs="宋体"/>
              </w:rPr>
              <w:t>5</w:t>
            </w:r>
          </w:p>
        </w:tc>
        <w:tc>
          <w:tcPr>
            <w:tcW w:w="5103" w:type="dxa"/>
          </w:tcPr>
          <w:p w14:paraId="380858C0">
            <w:pPr>
              <w:wordWrap w:val="0"/>
              <w:textAlignment w:val="top"/>
              <w:rPr>
                <w:rFonts w:hint="eastAsia" w:ascii="宋体" w:hAnsi="宋体" w:cs="宋体"/>
                <w:b/>
                <w:bCs/>
              </w:rPr>
            </w:pPr>
            <w:r>
              <w:rPr>
                <w:rFonts w:hint="eastAsia" w:ascii="宋体" w:hAnsi="宋体" w:cs="宋体"/>
                <w:b/>
                <w:bCs/>
              </w:rPr>
              <w:t>（一）评分内容：</w:t>
            </w:r>
          </w:p>
          <w:p w14:paraId="458FD852">
            <w:pPr>
              <w:rPr>
                <w:rFonts w:hint="eastAsia" w:ascii="宋体" w:hAnsi="宋体" w:cs="宋体"/>
                <w:kern w:val="2"/>
              </w:rPr>
            </w:pPr>
            <w:r>
              <w:rPr>
                <w:rFonts w:hint="eastAsia" w:ascii="宋体" w:hAnsi="宋体" w:cs="宋体"/>
                <w:kern w:val="2"/>
              </w:rPr>
              <w:t>所投核心产品（蓄电池）生产厂商具有以下证书的：</w:t>
            </w:r>
          </w:p>
          <w:p w14:paraId="19D6EA2F">
            <w:pPr>
              <w:numPr>
                <w:ilvl w:val="0"/>
                <w:numId w:val="1"/>
              </w:numPr>
              <w:rPr>
                <w:rFonts w:hint="eastAsia" w:ascii="宋体" w:hAnsi="宋体" w:cs="宋体"/>
                <w:kern w:val="2"/>
              </w:rPr>
            </w:pPr>
            <w:r>
              <w:rPr>
                <w:rFonts w:hint="eastAsia" w:ascii="宋体" w:hAnsi="宋体" w:cs="宋体"/>
                <w:kern w:val="2"/>
              </w:rPr>
              <w:t>具有有害物质过程管理体系认证的，得2分；</w:t>
            </w:r>
            <w:r>
              <w:rPr>
                <w:rFonts w:ascii="宋体" w:hAnsi="宋体" w:cs="宋体"/>
                <w:kern w:val="2"/>
              </w:rPr>
              <w:t xml:space="preserve"> </w:t>
            </w:r>
          </w:p>
          <w:p w14:paraId="5A56341C">
            <w:pPr>
              <w:rPr>
                <w:rFonts w:hint="eastAsia" w:ascii="宋体" w:hAnsi="宋体" w:cs="宋体"/>
                <w:kern w:val="2"/>
              </w:rPr>
            </w:pPr>
            <w:r>
              <w:rPr>
                <w:rFonts w:hint="eastAsia" w:ascii="宋体" w:hAnsi="宋体" w:cs="宋体"/>
                <w:kern w:val="2"/>
              </w:rPr>
              <w:t>2.具有ISO 9001质量管理体系认证， 得1分</w:t>
            </w:r>
          </w:p>
          <w:p w14:paraId="358FBA66">
            <w:pPr>
              <w:rPr>
                <w:rFonts w:hint="eastAsia" w:ascii="宋体" w:hAnsi="宋体" w:cs="宋体"/>
                <w:kern w:val="2"/>
              </w:rPr>
            </w:pPr>
            <w:r>
              <w:rPr>
                <w:rFonts w:hint="eastAsia" w:ascii="宋体" w:hAnsi="宋体" w:cs="宋体"/>
                <w:kern w:val="2"/>
              </w:rPr>
              <w:t>3.具有IS0 5001能源管理体系认证，得1分</w:t>
            </w:r>
          </w:p>
          <w:p w14:paraId="1FA0518D">
            <w:pPr>
              <w:rPr>
                <w:rFonts w:hint="eastAsia" w:ascii="宋体" w:hAnsi="宋体" w:cs="宋体"/>
                <w:kern w:val="2"/>
              </w:rPr>
            </w:pPr>
            <w:r>
              <w:rPr>
                <w:rFonts w:hint="eastAsia" w:ascii="宋体" w:hAnsi="宋体" w:cs="宋体"/>
                <w:kern w:val="2"/>
              </w:rPr>
              <w:t>4.具有环境管理体系认证证书的，得0.5分；</w:t>
            </w:r>
          </w:p>
          <w:p w14:paraId="41B7381F">
            <w:pPr>
              <w:rPr>
                <w:rFonts w:hint="eastAsia" w:ascii="宋体" w:hAnsi="宋体" w:cs="宋体"/>
                <w:kern w:val="2"/>
              </w:rPr>
            </w:pPr>
            <w:r>
              <w:rPr>
                <w:rFonts w:hint="eastAsia" w:ascii="宋体" w:hAnsi="宋体" w:cs="宋体"/>
                <w:kern w:val="2"/>
              </w:rPr>
              <w:t>5.具有职业健康安全管理体系认证</w:t>
            </w:r>
            <w:bookmarkStart w:id="7" w:name="_GoBack"/>
            <w:bookmarkEnd w:id="7"/>
            <w:r>
              <w:rPr>
                <w:rFonts w:hint="eastAsia" w:ascii="宋体" w:hAnsi="宋体" w:cs="宋体"/>
                <w:kern w:val="2"/>
              </w:rPr>
              <w:t>的，得0.5分。</w:t>
            </w:r>
          </w:p>
          <w:p w14:paraId="7A58094B">
            <w:pPr>
              <w:rPr>
                <w:rFonts w:hint="eastAsia" w:ascii="宋体" w:hAnsi="宋体" w:cs="宋体"/>
                <w:kern w:val="2"/>
              </w:rPr>
            </w:pPr>
            <w:r>
              <w:rPr>
                <w:rFonts w:hint="eastAsia" w:ascii="宋体" w:hAnsi="宋体" w:cs="宋体"/>
                <w:kern w:val="2"/>
              </w:rPr>
              <w:t>以上累计得分，最高得5分。</w:t>
            </w:r>
          </w:p>
          <w:p w14:paraId="5B52680D">
            <w:pPr>
              <w:rPr>
                <w:rFonts w:hint="eastAsia" w:ascii="宋体" w:hAnsi="宋体" w:cs="宋体"/>
                <w:kern w:val="2"/>
              </w:rPr>
            </w:pPr>
            <w:r>
              <w:rPr>
                <w:rFonts w:hint="eastAsia" w:ascii="宋体" w:hAnsi="宋体" w:cs="宋体"/>
                <w:b/>
                <w:bCs/>
                <w:kern w:val="2"/>
              </w:rPr>
              <w:t>（二）评分依据：</w:t>
            </w:r>
          </w:p>
          <w:p w14:paraId="0D007828">
            <w:pPr>
              <w:wordWrap w:val="0"/>
              <w:rPr>
                <w:rFonts w:hint="eastAsia" w:ascii="宋体" w:hAnsi="宋体" w:cs="宋体"/>
              </w:rPr>
            </w:pPr>
            <w:r>
              <w:rPr>
                <w:rFonts w:hint="eastAsia" w:ascii="宋体" w:hAnsi="宋体" w:cs="宋体"/>
                <w:b/>
                <w:bCs/>
              </w:rPr>
              <w:t>评分内容1-5项：</w:t>
            </w:r>
            <w:r>
              <w:rPr>
                <w:rFonts w:hint="eastAsia" w:ascii="宋体" w:hAnsi="宋体" w:cs="宋体"/>
              </w:rPr>
              <w:t>提供相关证书及“国家认证认可信息统一查询平台”（http://cx.cnca.cn/）中查询的有效证书信息截图且编号一致；</w:t>
            </w:r>
          </w:p>
          <w:p w14:paraId="5EEE34BE">
            <w:pPr>
              <w:wordWrap w:val="0"/>
              <w:textAlignment w:val="top"/>
              <w:rPr>
                <w:rFonts w:hint="eastAsia" w:ascii="宋体" w:hAnsi="宋体" w:cs="宋体"/>
              </w:rPr>
            </w:pPr>
            <w:r>
              <w:rPr>
                <w:rFonts w:hint="eastAsia" w:ascii="宋体" w:hAnsi="宋体" w:cs="宋体"/>
              </w:rPr>
              <w:t>以上证明文件原件备查。未按要求提供或提供不清晰导致专家无法判断的不得分。</w:t>
            </w:r>
          </w:p>
        </w:tc>
      </w:tr>
      <w:tr w14:paraId="0323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126BF133">
            <w:pPr>
              <w:keepNext/>
              <w:keepLines/>
              <w:widowControl w:val="0"/>
              <w:spacing w:before="260" w:after="260" w:line="360" w:lineRule="auto"/>
              <w:jc w:val="center"/>
              <w:outlineLvl w:val="2"/>
              <w:rPr>
                <w:rFonts w:hint="eastAsia" w:ascii="宋体" w:hAnsi="宋体"/>
                <w:kern w:val="2"/>
              </w:rPr>
            </w:pPr>
          </w:p>
        </w:tc>
        <w:tc>
          <w:tcPr>
            <w:tcW w:w="756" w:type="dxa"/>
            <w:vAlign w:val="center"/>
          </w:tcPr>
          <w:p w14:paraId="163CFDDF">
            <w:pPr>
              <w:wordWrap w:val="0"/>
              <w:jc w:val="center"/>
              <w:textAlignment w:val="top"/>
              <w:rPr>
                <w:rFonts w:hint="eastAsia" w:ascii="宋体" w:hAnsi="宋体" w:cs="宋体"/>
              </w:rPr>
            </w:pPr>
            <w:r>
              <w:rPr>
                <w:rFonts w:hint="eastAsia" w:ascii="宋体" w:hAnsi="宋体" w:cs="宋体"/>
              </w:rPr>
              <w:t>5</w:t>
            </w:r>
          </w:p>
        </w:tc>
        <w:tc>
          <w:tcPr>
            <w:tcW w:w="1370" w:type="dxa"/>
            <w:vAlign w:val="center"/>
          </w:tcPr>
          <w:p w14:paraId="37870E7B">
            <w:pPr>
              <w:wordWrap w:val="0"/>
              <w:jc w:val="center"/>
              <w:rPr>
                <w:rFonts w:hint="eastAsia" w:ascii="宋体" w:hAnsi="宋体" w:cs="宋体"/>
              </w:rPr>
            </w:pPr>
            <w:r>
              <w:rPr>
                <w:rFonts w:hint="eastAsia" w:ascii="宋体" w:hAnsi="宋体" w:cs="宋体"/>
              </w:rPr>
              <w:t>拟安排的项目负责人（仅限1人）情况</w:t>
            </w:r>
          </w:p>
          <w:p w14:paraId="660699E4">
            <w:pPr>
              <w:ind w:firstLine="420"/>
              <w:jc w:val="center"/>
              <w:rPr>
                <w:rFonts w:hint="eastAsia" w:ascii="宋体" w:hAnsi="宋体" w:cs="宋体"/>
              </w:rPr>
            </w:pPr>
          </w:p>
          <w:p w14:paraId="0E51C33F">
            <w:pPr>
              <w:jc w:val="center"/>
              <w:rPr>
                <w:rFonts w:hint="eastAsia" w:ascii="宋体" w:hAnsi="宋体" w:cs="宋体"/>
              </w:rPr>
            </w:pPr>
          </w:p>
        </w:tc>
        <w:tc>
          <w:tcPr>
            <w:tcW w:w="851" w:type="dxa"/>
            <w:vAlign w:val="center"/>
          </w:tcPr>
          <w:p w14:paraId="7ED69166">
            <w:pPr>
              <w:wordWrap w:val="0"/>
              <w:jc w:val="center"/>
              <w:rPr>
                <w:rFonts w:hint="eastAsia" w:ascii="宋体" w:hAnsi="宋体" w:cs="宋体"/>
                <w:color w:val="000000"/>
              </w:rPr>
            </w:pPr>
            <w:r>
              <w:rPr>
                <w:rFonts w:hint="eastAsia" w:ascii="宋体" w:hAnsi="宋体" w:cs="宋体"/>
              </w:rPr>
              <w:t>2</w:t>
            </w:r>
          </w:p>
        </w:tc>
        <w:tc>
          <w:tcPr>
            <w:tcW w:w="5103" w:type="dxa"/>
          </w:tcPr>
          <w:p w14:paraId="0DB6131D">
            <w:pPr>
              <w:numPr>
                <w:ilvl w:val="0"/>
                <w:numId w:val="2"/>
              </w:numPr>
              <w:rPr>
                <w:rFonts w:hint="eastAsia" w:ascii="宋体" w:hAnsi="宋体" w:cs="宋体"/>
                <w:b/>
              </w:rPr>
            </w:pPr>
            <w:r>
              <w:rPr>
                <w:rFonts w:hint="eastAsia" w:ascii="宋体" w:hAnsi="宋体" w:cs="宋体"/>
                <w:b/>
              </w:rPr>
              <w:t>评分内容：</w:t>
            </w:r>
          </w:p>
          <w:p w14:paraId="23F9DF1C">
            <w:pPr>
              <w:rPr>
                <w:rFonts w:hint="eastAsia" w:ascii="宋体" w:hAnsi="宋体" w:cs="宋体"/>
              </w:rPr>
            </w:pPr>
            <w:r>
              <w:rPr>
                <w:rFonts w:hint="eastAsia" w:ascii="宋体" w:hAnsi="宋体" w:cs="宋体"/>
              </w:rPr>
              <w:t>拟投入本项目的负责人（1名）为投标人自有员工。在此基础上按以下标准评分：</w:t>
            </w:r>
          </w:p>
          <w:p w14:paraId="6A0D1B43">
            <w:pPr>
              <w:rPr>
                <w:rFonts w:hint="eastAsia" w:ascii="宋体" w:hAnsi="宋体" w:cs="宋体"/>
              </w:rPr>
            </w:pPr>
            <w:r>
              <w:rPr>
                <w:rFonts w:hint="eastAsia" w:ascii="宋体" w:hAnsi="宋体" w:cs="宋体"/>
              </w:rPr>
              <w:t>1.具有电工高级技能职业资格证书，得1分；</w:t>
            </w:r>
          </w:p>
          <w:p w14:paraId="097CBE8F">
            <w:pPr>
              <w:rPr>
                <w:rFonts w:hint="eastAsia" w:ascii="宋体" w:hAnsi="宋体" w:cs="宋体"/>
              </w:rPr>
            </w:pPr>
            <w:r>
              <w:rPr>
                <w:rFonts w:hint="eastAsia" w:ascii="宋体" w:hAnsi="宋体" w:cs="宋体"/>
              </w:rPr>
              <w:t>2.具有两年或以上信息化建设类或运维类工作经验的，得1分。</w:t>
            </w:r>
          </w:p>
          <w:p w14:paraId="5B2D91CB">
            <w:pPr>
              <w:rPr>
                <w:rFonts w:hint="eastAsia" w:ascii="宋体" w:hAnsi="宋体" w:cs="宋体"/>
              </w:rPr>
            </w:pPr>
            <w:r>
              <w:rPr>
                <w:rFonts w:hint="eastAsia" w:ascii="宋体" w:hAnsi="宋体" w:cs="宋体"/>
              </w:rPr>
              <w:t>以上2项累计得分，最高得2分。</w:t>
            </w:r>
          </w:p>
          <w:p w14:paraId="33E4493D">
            <w:pPr>
              <w:wordWrap w:val="0"/>
              <w:spacing w:line="276" w:lineRule="auto"/>
              <w:rPr>
                <w:rFonts w:hint="eastAsia" w:ascii="宋体" w:hAnsi="宋体" w:cs="宋体"/>
                <w:b/>
              </w:rPr>
            </w:pPr>
            <w:r>
              <w:rPr>
                <w:rFonts w:hint="eastAsia" w:ascii="宋体" w:hAnsi="宋体" w:cs="宋体"/>
                <w:b/>
              </w:rPr>
              <w:t>（二）评分依据：</w:t>
            </w:r>
          </w:p>
          <w:p w14:paraId="001AE813">
            <w:pPr>
              <w:pStyle w:val="7"/>
              <w:rPr>
                <w:rFonts w:hint="eastAsia"/>
              </w:rPr>
            </w:pPr>
            <w:r>
              <w:rPr>
                <w:rFonts w:hint="eastAsia" w:ascii="宋体" w:hAnsi="宋体" w:cs="宋体"/>
                <w:b/>
              </w:rPr>
              <w:t>1.自有员工证明：</w:t>
            </w:r>
            <w:r>
              <w:rPr>
                <w:rFonts w:hint="eastAsia"/>
              </w:rPr>
              <w:t>提供通过投标人缴纳的近三个月（含开标当月）的任意一个月的社保证明（需体现社保部门印章）作为本单位员工的证明依据，如供应商成立不足一个月的，提供情况说明函（格式自拟），无需提供相关人员社保，亦可得分。”</w:t>
            </w:r>
          </w:p>
          <w:p w14:paraId="79B600CC">
            <w:pPr>
              <w:rPr>
                <w:rFonts w:hint="eastAsia" w:ascii="宋体" w:hAnsi="宋体" w:cs="宋体"/>
              </w:rPr>
            </w:pPr>
          </w:p>
          <w:p w14:paraId="5FA01A75">
            <w:pPr>
              <w:rPr>
                <w:rFonts w:hint="eastAsia" w:ascii="宋体" w:hAnsi="宋体" w:cs="宋体"/>
              </w:rPr>
            </w:pPr>
            <w:r>
              <w:rPr>
                <w:rFonts w:hint="eastAsia" w:ascii="宋体" w:hAnsi="宋体" w:cs="宋体"/>
                <w:b/>
              </w:rPr>
              <w:t>2.相关证书：</w:t>
            </w:r>
            <w:r>
              <w:rPr>
                <w:rFonts w:hint="eastAsia" w:ascii="宋体" w:hAnsi="宋体" w:cs="宋体"/>
              </w:rPr>
              <w:t>提供证书及证书官网查询截图。</w:t>
            </w:r>
          </w:p>
          <w:p w14:paraId="4731F2DD">
            <w:pPr>
              <w:rPr>
                <w:rFonts w:hint="eastAsia" w:ascii="宋体" w:hAnsi="宋体" w:cs="宋体"/>
              </w:rPr>
            </w:pPr>
            <w:r>
              <w:rPr>
                <w:rFonts w:hint="eastAsia" w:ascii="宋体" w:hAnsi="宋体" w:cs="宋体"/>
                <w:b/>
              </w:rPr>
              <w:t>3.工作经验证明：</w:t>
            </w:r>
            <w:r>
              <w:rPr>
                <w:rFonts w:hint="eastAsia" w:ascii="宋体" w:hAnsi="宋体" w:cs="宋体"/>
              </w:rPr>
              <w:t>提供与工作经验相关的项目合同或劳动合同关键页（关键信息包括但不仅限于合同的双方名称、工作内容、合同服务的起止时间、签订日期、合同签字盖章页），若合同关键页无法体现有关人员，还需同时提供加盖合同采购方或被服务方的公章或业务章的工作证明资料。</w:t>
            </w:r>
          </w:p>
          <w:p w14:paraId="230DADD6">
            <w:pPr>
              <w:wordWrap w:val="0"/>
              <w:textAlignment w:val="top"/>
              <w:rPr>
                <w:rFonts w:hint="eastAsia" w:ascii="宋体" w:hAnsi="宋体" w:cs="宋体"/>
              </w:rPr>
            </w:pPr>
            <w:r>
              <w:rPr>
                <w:rFonts w:hint="eastAsia" w:ascii="宋体" w:hAnsi="宋体" w:cs="宋体"/>
              </w:rPr>
              <w:t>以上证明文件原件备查。未按要求提供或提供不清晰导致专家无法判断的不得分。</w:t>
            </w:r>
          </w:p>
        </w:tc>
      </w:tr>
      <w:tr w14:paraId="527A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7" w:type="dxa"/>
            <w:vMerge w:val="restart"/>
            <w:vAlign w:val="center"/>
          </w:tcPr>
          <w:p w14:paraId="7F3129F2">
            <w:pPr>
              <w:widowControl w:val="0"/>
              <w:jc w:val="center"/>
              <w:rPr>
                <w:rFonts w:hint="eastAsia" w:ascii="宋体" w:hAnsi="宋体"/>
                <w:b/>
                <w:kern w:val="2"/>
              </w:rPr>
            </w:pPr>
            <w:r>
              <w:rPr>
                <w:rFonts w:ascii="宋体" w:hAnsi="宋体"/>
                <w:b/>
                <w:kern w:val="2"/>
              </w:rPr>
              <w:t>3</w:t>
            </w:r>
          </w:p>
        </w:tc>
        <w:tc>
          <w:tcPr>
            <w:tcW w:w="2977" w:type="dxa"/>
            <w:gridSpan w:val="3"/>
            <w:vAlign w:val="center"/>
          </w:tcPr>
          <w:p w14:paraId="76712A64">
            <w:pPr>
              <w:widowControl w:val="0"/>
              <w:jc w:val="center"/>
              <w:rPr>
                <w:rFonts w:hint="eastAsia" w:ascii="宋体" w:hAnsi="宋体"/>
                <w:b/>
                <w:kern w:val="2"/>
              </w:rPr>
            </w:pPr>
            <w:r>
              <w:rPr>
                <w:rFonts w:hint="eastAsia" w:ascii="宋体" w:hAnsi="宋体"/>
                <w:b/>
                <w:kern w:val="2"/>
              </w:rPr>
              <w:t>商务部分</w:t>
            </w:r>
          </w:p>
        </w:tc>
        <w:tc>
          <w:tcPr>
            <w:tcW w:w="5103" w:type="dxa"/>
            <w:vAlign w:val="center"/>
          </w:tcPr>
          <w:p w14:paraId="720C5F4C">
            <w:pPr>
              <w:widowControl w:val="0"/>
              <w:jc w:val="center"/>
              <w:rPr>
                <w:rFonts w:hint="eastAsia" w:ascii="宋体" w:hAnsi="宋体"/>
                <w:b/>
                <w:kern w:val="2"/>
              </w:rPr>
            </w:pPr>
            <w:r>
              <w:rPr>
                <w:rFonts w:hint="eastAsia" w:ascii="宋体" w:hAnsi="宋体"/>
                <w:b/>
                <w:kern w:val="2"/>
              </w:rPr>
              <w:t>15</w:t>
            </w:r>
          </w:p>
        </w:tc>
      </w:tr>
      <w:tr w14:paraId="378F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Merge w:val="continue"/>
            <w:vAlign w:val="center"/>
          </w:tcPr>
          <w:p w14:paraId="1E766AF4">
            <w:pPr>
              <w:keepNext/>
              <w:keepLines/>
              <w:widowControl w:val="0"/>
              <w:spacing w:before="340" w:after="330" w:line="360" w:lineRule="auto"/>
              <w:jc w:val="center"/>
              <w:outlineLvl w:val="0"/>
              <w:rPr>
                <w:rFonts w:hint="eastAsia" w:ascii="宋体" w:hAnsi="宋体"/>
                <w:kern w:val="2"/>
              </w:rPr>
            </w:pPr>
          </w:p>
        </w:tc>
        <w:tc>
          <w:tcPr>
            <w:tcW w:w="756" w:type="dxa"/>
            <w:vAlign w:val="center"/>
          </w:tcPr>
          <w:p w14:paraId="7EAA4F8E">
            <w:pPr>
              <w:widowControl w:val="0"/>
              <w:jc w:val="center"/>
              <w:rPr>
                <w:rFonts w:hint="eastAsia" w:ascii="宋体" w:hAnsi="宋体"/>
                <w:kern w:val="2"/>
              </w:rPr>
            </w:pPr>
            <w:r>
              <w:rPr>
                <w:rFonts w:hint="eastAsia" w:ascii="宋体" w:hAnsi="宋体"/>
                <w:kern w:val="2"/>
              </w:rPr>
              <w:t>序号</w:t>
            </w:r>
          </w:p>
        </w:tc>
        <w:tc>
          <w:tcPr>
            <w:tcW w:w="1370" w:type="dxa"/>
            <w:vAlign w:val="center"/>
          </w:tcPr>
          <w:p w14:paraId="35D70493">
            <w:pPr>
              <w:widowControl w:val="0"/>
              <w:jc w:val="center"/>
              <w:rPr>
                <w:rFonts w:hint="eastAsia" w:ascii="宋体" w:hAnsi="宋体"/>
                <w:kern w:val="2"/>
              </w:rPr>
            </w:pPr>
            <w:r>
              <w:rPr>
                <w:rFonts w:hint="eastAsia" w:ascii="宋体" w:hAnsi="宋体"/>
                <w:kern w:val="2"/>
              </w:rPr>
              <w:t>评分因素</w:t>
            </w:r>
          </w:p>
        </w:tc>
        <w:tc>
          <w:tcPr>
            <w:tcW w:w="851" w:type="dxa"/>
            <w:vAlign w:val="center"/>
          </w:tcPr>
          <w:p w14:paraId="0E534C68">
            <w:pPr>
              <w:widowControl w:val="0"/>
              <w:jc w:val="center"/>
              <w:rPr>
                <w:rFonts w:hint="eastAsia" w:ascii="宋体" w:hAnsi="宋体"/>
                <w:kern w:val="2"/>
              </w:rPr>
            </w:pPr>
            <w:r>
              <w:rPr>
                <w:rFonts w:hint="eastAsia" w:ascii="宋体" w:hAnsi="宋体"/>
                <w:kern w:val="2"/>
              </w:rPr>
              <w:t>权重</w:t>
            </w:r>
          </w:p>
        </w:tc>
        <w:tc>
          <w:tcPr>
            <w:tcW w:w="5103" w:type="dxa"/>
            <w:vAlign w:val="center"/>
          </w:tcPr>
          <w:p w14:paraId="358D805E">
            <w:pPr>
              <w:widowControl w:val="0"/>
              <w:jc w:val="center"/>
              <w:rPr>
                <w:rFonts w:hint="eastAsia" w:ascii="宋体" w:hAnsi="宋体"/>
                <w:kern w:val="2"/>
              </w:rPr>
            </w:pPr>
            <w:r>
              <w:rPr>
                <w:rFonts w:hint="eastAsia" w:ascii="宋体" w:hAnsi="宋体"/>
                <w:kern w:val="2"/>
              </w:rPr>
              <w:t>评分准则</w:t>
            </w:r>
          </w:p>
        </w:tc>
      </w:tr>
      <w:tr w14:paraId="3E25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vAlign w:val="center"/>
          </w:tcPr>
          <w:p w14:paraId="70E64E1E">
            <w:pPr>
              <w:keepNext/>
              <w:keepLines/>
              <w:widowControl w:val="0"/>
              <w:spacing w:before="340" w:after="330" w:line="360" w:lineRule="auto"/>
              <w:jc w:val="center"/>
              <w:outlineLvl w:val="0"/>
              <w:rPr>
                <w:rFonts w:hint="eastAsia" w:ascii="宋体" w:hAnsi="宋体"/>
                <w:kern w:val="2"/>
              </w:rPr>
            </w:pPr>
          </w:p>
        </w:tc>
        <w:tc>
          <w:tcPr>
            <w:tcW w:w="756" w:type="dxa"/>
            <w:vAlign w:val="center"/>
          </w:tcPr>
          <w:p w14:paraId="3BB22325">
            <w:pPr>
              <w:wordWrap w:val="0"/>
              <w:jc w:val="center"/>
              <w:textAlignment w:val="top"/>
              <w:rPr>
                <w:rFonts w:hint="eastAsia" w:ascii="宋体" w:hAnsi="宋体" w:cs="宋体"/>
              </w:rPr>
            </w:pPr>
            <w:r>
              <w:rPr>
                <w:rFonts w:hint="eastAsia" w:ascii="宋体" w:hAnsi="宋体" w:cs="宋体"/>
              </w:rPr>
              <w:t>1</w:t>
            </w:r>
          </w:p>
        </w:tc>
        <w:tc>
          <w:tcPr>
            <w:tcW w:w="1370" w:type="dxa"/>
            <w:vAlign w:val="center"/>
          </w:tcPr>
          <w:p w14:paraId="79BA6375">
            <w:pPr>
              <w:wordWrap w:val="0"/>
              <w:jc w:val="left"/>
              <w:textAlignment w:val="top"/>
              <w:rPr>
                <w:rFonts w:hint="eastAsia" w:ascii="宋体" w:hAnsi="宋体" w:cs="宋体"/>
              </w:rPr>
            </w:pPr>
            <w:r>
              <w:rPr>
                <w:rFonts w:hint="eastAsia" w:ascii="宋体" w:hAnsi="宋体" w:cs="宋体"/>
              </w:rPr>
              <w:t>同类项目业绩</w:t>
            </w:r>
          </w:p>
        </w:tc>
        <w:tc>
          <w:tcPr>
            <w:tcW w:w="851" w:type="dxa"/>
            <w:vAlign w:val="center"/>
          </w:tcPr>
          <w:p w14:paraId="05271E77">
            <w:pPr>
              <w:wordWrap w:val="0"/>
              <w:jc w:val="center"/>
              <w:textAlignment w:val="top"/>
              <w:rPr>
                <w:rFonts w:hint="eastAsia" w:ascii="宋体" w:hAnsi="宋体" w:cs="宋体"/>
              </w:rPr>
            </w:pPr>
            <w:r>
              <w:rPr>
                <w:rFonts w:hint="eastAsia" w:ascii="宋体" w:hAnsi="宋体" w:cs="宋体"/>
              </w:rPr>
              <w:t>3</w:t>
            </w:r>
          </w:p>
        </w:tc>
        <w:tc>
          <w:tcPr>
            <w:tcW w:w="5103" w:type="dxa"/>
          </w:tcPr>
          <w:p w14:paraId="324B3C40">
            <w:pPr>
              <w:wordWrap w:val="0"/>
              <w:textAlignment w:val="top"/>
              <w:rPr>
                <w:rFonts w:hint="eastAsia" w:ascii="宋体" w:hAnsi="宋体" w:cs="宋体"/>
                <w:b/>
                <w:bCs/>
              </w:rPr>
            </w:pPr>
            <w:r>
              <w:rPr>
                <w:rFonts w:hint="eastAsia" w:ascii="宋体" w:hAnsi="宋体" w:cs="宋体"/>
                <w:b/>
                <w:bCs/>
              </w:rPr>
              <w:t>（一）评分内容：</w:t>
            </w:r>
          </w:p>
          <w:p w14:paraId="11206090">
            <w:pPr>
              <w:wordWrap w:val="0"/>
              <w:textAlignment w:val="top"/>
              <w:rPr>
                <w:rFonts w:hint="eastAsia" w:ascii="宋体" w:hAnsi="宋体" w:cs="宋体"/>
              </w:rPr>
            </w:pPr>
            <w:r>
              <w:rPr>
                <w:rFonts w:hint="eastAsia" w:ascii="宋体" w:hAnsi="宋体" w:cs="宋体"/>
              </w:rPr>
              <w:t>投标人或</w:t>
            </w:r>
            <w:r>
              <w:rPr>
                <w:rFonts w:hint="eastAsia" w:ascii="宋体" w:hAnsi="宋体" w:cs="宋体"/>
                <w:kern w:val="2"/>
              </w:rPr>
              <w:t>所投产品（蓄电池、UPS）</w:t>
            </w:r>
            <w:r>
              <w:rPr>
                <w:rFonts w:hint="eastAsia" w:ascii="宋体" w:hAnsi="宋体" w:cs="宋体"/>
              </w:rPr>
              <w:t>生产厂家自2023年3月1日起至本项目投标截止日（以合同签订时间为准）期间，承接数据机房后备电源（主要指存储，分析，处理，管理信息的场所为防止突然停电丢失数据从而建设的UPS系统）电池更换或新建项目。</w:t>
            </w:r>
          </w:p>
          <w:p w14:paraId="1BF75E3C">
            <w:pPr>
              <w:wordWrap w:val="0"/>
              <w:textAlignment w:val="top"/>
              <w:rPr>
                <w:rFonts w:hint="eastAsia" w:ascii="宋体" w:hAnsi="宋体" w:cs="宋体"/>
              </w:rPr>
            </w:pPr>
            <w:r>
              <w:rPr>
                <w:rFonts w:hint="eastAsia" w:ascii="宋体" w:hAnsi="宋体" w:cs="宋体"/>
              </w:rPr>
              <w:t>每提供1个符合上述要求的业绩（需至少包含核心产品：同类型蓄电池；同一项目合同供应的电池数量不少于120节）的得0.6分，最高得3分。</w:t>
            </w:r>
          </w:p>
          <w:p w14:paraId="3F109572">
            <w:pPr>
              <w:wordWrap w:val="0"/>
              <w:textAlignment w:val="top"/>
              <w:rPr>
                <w:rFonts w:hint="eastAsia" w:ascii="宋体" w:hAnsi="宋体" w:cs="宋体"/>
                <w:b/>
                <w:bCs/>
              </w:rPr>
            </w:pPr>
            <w:r>
              <w:rPr>
                <w:rFonts w:hint="eastAsia" w:ascii="宋体" w:hAnsi="宋体" w:cs="宋体"/>
                <w:b/>
                <w:bCs/>
              </w:rPr>
              <w:t>（二）评分依据：</w:t>
            </w:r>
          </w:p>
          <w:p w14:paraId="21685E41">
            <w:pPr>
              <w:wordWrap w:val="0"/>
              <w:textAlignment w:val="top"/>
              <w:rPr>
                <w:rFonts w:hint="eastAsia" w:ascii="宋体" w:hAnsi="宋体" w:cs="宋体"/>
              </w:rPr>
            </w:pPr>
            <w:r>
              <w:rPr>
                <w:rFonts w:hint="eastAsia" w:ascii="宋体" w:hAnsi="宋体" w:cs="宋体"/>
              </w:rPr>
              <w:t>提供合同关键页（关键信息包含但不限于合同签约主体名称、项目（合同）名称、签订合同时间、签约主体公章或者合同章以及相对应的发票等关键信息）。原件备查。未按要求提供或提供不清晰导致专家无法判断的不得分。</w:t>
            </w:r>
          </w:p>
        </w:tc>
      </w:tr>
      <w:tr w14:paraId="5894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vAlign w:val="center"/>
          </w:tcPr>
          <w:p w14:paraId="6C064F8A">
            <w:pPr>
              <w:keepNext/>
              <w:keepLines/>
              <w:widowControl w:val="0"/>
              <w:spacing w:before="340" w:after="330" w:line="360" w:lineRule="auto"/>
              <w:jc w:val="center"/>
              <w:outlineLvl w:val="0"/>
              <w:rPr>
                <w:rFonts w:hint="eastAsia" w:ascii="宋体" w:hAnsi="宋体"/>
                <w:kern w:val="2"/>
              </w:rPr>
            </w:pPr>
          </w:p>
        </w:tc>
        <w:tc>
          <w:tcPr>
            <w:tcW w:w="756" w:type="dxa"/>
            <w:vAlign w:val="center"/>
          </w:tcPr>
          <w:p w14:paraId="4AC03CD4">
            <w:pPr>
              <w:wordWrap w:val="0"/>
              <w:jc w:val="center"/>
              <w:textAlignment w:val="top"/>
              <w:rPr>
                <w:rFonts w:hint="eastAsia" w:ascii="宋体" w:hAnsi="宋体" w:cs="宋体"/>
              </w:rPr>
            </w:pPr>
            <w:r>
              <w:rPr>
                <w:rFonts w:hint="eastAsia" w:ascii="宋体" w:hAnsi="宋体" w:cs="宋体"/>
              </w:rPr>
              <w:t>2</w:t>
            </w:r>
          </w:p>
        </w:tc>
        <w:tc>
          <w:tcPr>
            <w:tcW w:w="1370" w:type="dxa"/>
            <w:vAlign w:val="center"/>
          </w:tcPr>
          <w:p w14:paraId="26FA373E">
            <w:pPr>
              <w:wordWrap w:val="0"/>
              <w:jc w:val="left"/>
              <w:textAlignment w:val="top"/>
              <w:rPr>
                <w:rFonts w:hint="eastAsia" w:ascii="宋体" w:hAnsi="宋体" w:cs="宋体"/>
              </w:rPr>
            </w:pPr>
            <w:r>
              <w:rPr>
                <w:rFonts w:hint="eastAsia" w:ascii="宋体" w:hAnsi="宋体" w:cs="宋体"/>
              </w:rPr>
              <w:t>商务条款偏离情况</w:t>
            </w:r>
          </w:p>
        </w:tc>
        <w:tc>
          <w:tcPr>
            <w:tcW w:w="851" w:type="dxa"/>
            <w:vAlign w:val="center"/>
          </w:tcPr>
          <w:p w14:paraId="61720F70">
            <w:pPr>
              <w:wordWrap w:val="0"/>
              <w:jc w:val="center"/>
              <w:textAlignment w:val="top"/>
              <w:rPr>
                <w:rFonts w:hint="eastAsia" w:ascii="宋体" w:hAnsi="宋体" w:cs="宋体"/>
              </w:rPr>
            </w:pPr>
            <w:r>
              <w:rPr>
                <w:rFonts w:hint="eastAsia" w:ascii="宋体" w:hAnsi="宋体" w:cs="宋体"/>
              </w:rPr>
              <w:t>2</w:t>
            </w:r>
          </w:p>
        </w:tc>
        <w:tc>
          <w:tcPr>
            <w:tcW w:w="5103" w:type="dxa"/>
          </w:tcPr>
          <w:p w14:paraId="52A8082A">
            <w:pPr>
              <w:wordWrap w:val="0"/>
              <w:textAlignment w:val="top"/>
              <w:rPr>
                <w:rFonts w:hint="eastAsia" w:ascii="宋体" w:hAnsi="宋体" w:cs="宋体"/>
                <w:b/>
                <w:bCs/>
              </w:rPr>
            </w:pPr>
            <w:r>
              <w:rPr>
                <w:rFonts w:hint="eastAsia" w:ascii="宋体" w:hAnsi="宋体" w:cs="宋体"/>
                <w:b/>
                <w:bCs/>
              </w:rPr>
              <w:t>（一）评分内容：</w:t>
            </w:r>
          </w:p>
          <w:p w14:paraId="6A756E98">
            <w:pPr>
              <w:rPr>
                <w:rFonts w:hint="eastAsia" w:ascii="宋体" w:hAnsi="宋体" w:cs="宋体"/>
                <w:bCs/>
              </w:rPr>
            </w:pPr>
            <w:r>
              <w:rPr>
                <w:rFonts w:hint="eastAsia" w:ascii="宋体" w:hAnsi="宋体" w:cs="宋体"/>
                <w:bCs/>
              </w:rPr>
              <w:t>投标人应如实填写《</w:t>
            </w:r>
            <w:r>
              <w:rPr>
                <w:rFonts w:hint="eastAsia" w:ascii="宋体" w:hAnsi="宋体" w:cs="宋体"/>
              </w:rPr>
              <w:t>商务要求</w:t>
            </w:r>
            <w:r>
              <w:rPr>
                <w:rFonts w:hint="eastAsia" w:ascii="宋体" w:hAnsi="宋体" w:cs="宋体"/>
                <w:bCs/>
              </w:rPr>
              <w:t>偏离表》，评审委员会根据技术需求参数响应情况及证明材料进行打分，完全符合招标要求的，得2分，每负偏离一项扣0.2分，扣完为止。</w:t>
            </w:r>
          </w:p>
          <w:p w14:paraId="5AB8DEFE">
            <w:pPr>
              <w:wordWrap w:val="0"/>
              <w:textAlignment w:val="top"/>
              <w:rPr>
                <w:rFonts w:hint="eastAsia" w:ascii="宋体" w:hAnsi="宋体" w:cs="宋体"/>
                <w:b/>
                <w:bCs/>
              </w:rPr>
            </w:pPr>
            <w:r>
              <w:rPr>
                <w:rFonts w:hint="eastAsia" w:ascii="宋体" w:hAnsi="宋体" w:cs="宋体"/>
                <w:b/>
                <w:bCs/>
              </w:rPr>
              <w:t>（二）评分依据：</w:t>
            </w:r>
          </w:p>
          <w:p w14:paraId="5E66A5DC">
            <w:pPr>
              <w:wordWrap w:val="0"/>
              <w:textAlignment w:val="top"/>
              <w:rPr>
                <w:rFonts w:hint="eastAsia" w:ascii="宋体" w:hAnsi="宋体" w:cs="宋体"/>
              </w:rPr>
            </w:pPr>
            <w:r>
              <w:rPr>
                <w:rFonts w:hint="eastAsia" w:ascii="宋体" w:hAnsi="宋体" w:cs="宋体"/>
              </w:rPr>
              <w:t>《商务要求偏离表》。</w:t>
            </w:r>
          </w:p>
        </w:tc>
      </w:tr>
      <w:tr w14:paraId="485E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vAlign w:val="center"/>
          </w:tcPr>
          <w:p w14:paraId="53B9D9FC">
            <w:pPr>
              <w:keepNext/>
              <w:keepLines/>
              <w:widowControl w:val="0"/>
              <w:spacing w:before="260" w:after="260" w:line="360" w:lineRule="auto"/>
              <w:jc w:val="center"/>
              <w:outlineLvl w:val="2"/>
              <w:rPr>
                <w:rFonts w:hint="eastAsia" w:ascii="宋体" w:hAnsi="宋体"/>
                <w:kern w:val="2"/>
              </w:rPr>
            </w:pPr>
          </w:p>
        </w:tc>
        <w:tc>
          <w:tcPr>
            <w:tcW w:w="756" w:type="dxa"/>
            <w:vAlign w:val="center"/>
          </w:tcPr>
          <w:p w14:paraId="1786C7BE">
            <w:pPr>
              <w:wordWrap w:val="0"/>
              <w:jc w:val="center"/>
              <w:textAlignment w:val="top"/>
              <w:rPr>
                <w:rFonts w:hint="eastAsia" w:ascii="宋体" w:hAnsi="宋体" w:cs="宋体"/>
              </w:rPr>
            </w:pPr>
            <w:r>
              <w:rPr>
                <w:rFonts w:hint="eastAsia" w:ascii="宋体" w:hAnsi="宋体" w:cs="宋体"/>
              </w:rPr>
              <w:t>3</w:t>
            </w:r>
          </w:p>
        </w:tc>
        <w:tc>
          <w:tcPr>
            <w:tcW w:w="1370" w:type="dxa"/>
            <w:vAlign w:val="center"/>
          </w:tcPr>
          <w:p w14:paraId="7858AF06">
            <w:pPr>
              <w:wordWrap w:val="0"/>
              <w:jc w:val="left"/>
              <w:textAlignment w:val="top"/>
              <w:rPr>
                <w:rFonts w:hint="eastAsia" w:ascii="宋体" w:hAnsi="宋体" w:cs="宋体"/>
              </w:rPr>
            </w:pPr>
            <w:r>
              <w:rPr>
                <w:rFonts w:hint="eastAsia" w:ascii="宋体" w:hAnsi="宋体" w:cs="宋体"/>
              </w:rPr>
              <w:t>售后服务情况</w:t>
            </w:r>
          </w:p>
        </w:tc>
        <w:tc>
          <w:tcPr>
            <w:tcW w:w="851" w:type="dxa"/>
            <w:vAlign w:val="center"/>
          </w:tcPr>
          <w:p w14:paraId="1D25E9B7">
            <w:pPr>
              <w:wordWrap w:val="0"/>
              <w:jc w:val="center"/>
              <w:textAlignment w:val="top"/>
              <w:rPr>
                <w:rFonts w:hint="eastAsia" w:ascii="宋体" w:hAnsi="宋体" w:cs="宋体"/>
              </w:rPr>
            </w:pPr>
            <w:r>
              <w:rPr>
                <w:rFonts w:hint="eastAsia" w:ascii="宋体" w:hAnsi="宋体" w:cs="宋体"/>
              </w:rPr>
              <w:t>10</w:t>
            </w:r>
          </w:p>
        </w:tc>
        <w:tc>
          <w:tcPr>
            <w:tcW w:w="5103" w:type="dxa"/>
          </w:tcPr>
          <w:p w14:paraId="2A2BE301">
            <w:pPr>
              <w:wordWrap w:val="0"/>
              <w:textAlignment w:val="top"/>
              <w:rPr>
                <w:rFonts w:hint="eastAsia" w:ascii="宋体" w:hAnsi="宋体" w:cs="宋体"/>
                <w:b/>
                <w:bCs/>
              </w:rPr>
            </w:pPr>
            <w:r>
              <w:rPr>
                <w:rFonts w:hint="eastAsia" w:ascii="宋体" w:hAnsi="宋体" w:cs="宋体"/>
                <w:b/>
                <w:bCs/>
              </w:rPr>
              <w:t>评分内容：</w:t>
            </w:r>
          </w:p>
          <w:p w14:paraId="3749E7CE">
            <w:pPr>
              <w:rPr>
                <w:rFonts w:hint="eastAsia" w:ascii="宋体" w:hAnsi="宋体" w:cs="宋体"/>
              </w:rPr>
            </w:pPr>
            <w:r>
              <w:rPr>
                <w:rFonts w:hint="eastAsia" w:ascii="宋体" w:hAnsi="宋体" w:cs="宋体"/>
                <w:kern w:val="2"/>
              </w:rPr>
              <w:t>所投产品（蓄电池、UPS）生产厂商，具备以下条件最高分5分：</w:t>
            </w:r>
          </w:p>
          <w:p w14:paraId="4CF21622">
            <w:pPr>
              <w:rPr>
                <w:rFonts w:hint="eastAsia" w:ascii="宋体" w:hAnsi="宋体" w:cs="宋体"/>
              </w:rPr>
            </w:pPr>
            <w:r>
              <w:rPr>
                <w:rFonts w:hint="eastAsia" w:ascii="宋体" w:hAnsi="宋体" w:cs="宋体"/>
                <w:kern w:val="2"/>
              </w:rPr>
              <w:t>1.具有三星级售后服务能力证书的，得1.5分；</w:t>
            </w:r>
          </w:p>
          <w:p w14:paraId="1DAB4E9D">
            <w:pPr>
              <w:pStyle w:val="11"/>
              <w:spacing w:line="240" w:lineRule="auto"/>
              <w:rPr>
                <w:rFonts w:hint="eastAsia" w:ascii="宋体" w:hAnsi="宋体" w:cs="宋体"/>
                <w:sz w:val="21"/>
                <w:szCs w:val="21"/>
              </w:rPr>
            </w:pPr>
            <w:r>
              <w:rPr>
                <w:rFonts w:hint="eastAsia" w:ascii="宋体" w:hAnsi="宋体" w:cs="宋体"/>
                <w:sz w:val="21"/>
                <w:szCs w:val="21"/>
              </w:rPr>
              <w:t>2.具有四星级售后服务能力证书的，得3分；</w:t>
            </w:r>
          </w:p>
          <w:p w14:paraId="61DD838B">
            <w:pPr>
              <w:pStyle w:val="11"/>
              <w:spacing w:line="240" w:lineRule="auto"/>
              <w:rPr>
                <w:rFonts w:hint="eastAsia" w:ascii="宋体" w:hAnsi="宋体" w:cs="宋体"/>
                <w:sz w:val="21"/>
                <w:szCs w:val="21"/>
              </w:rPr>
            </w:pPr>
            <w:r>
              <w:rPr>
                <w:rFonts w:hint="eastAsia" w:ascii="宋体" w:hAnsi="宋体" w:cs="宋体"/>
                <w:sz w:val="21"/>
                <w:szCs w:val="21"/>
              </w:rPr>
              <w:t>3.具有五星级售后服务能力证书的，得5分。</w:t>
            </w:r>
          </w:p>
          <w:p w14:paraId="6339BA79">
            <w:pPr>
              <w:pStyle w:val="11"/>
              <w:spacing w:line="240" w:lineRule="auto"/>
              <w:rPr>
                <w:rFonts w:hint="eastAsia" w:ascii="宋体" w:hAnsi="宋体" w:cs="宋体"/>
                <w:sz w:val="21"/>
                <w:szCs w:val="21"/>
              </w:rPr>
            </w:pPr>
            <w:r>
              <w:rPr>
                <w:rFonts w:hint="eastAsia" w:ascii="宋体" w:hAnsi="宋体" w:cs="宋体"/>
                <w:sz w:val="21"/>
                <w:szCs w:val="21"/>
              </w:rPr>
              <w:t>三星级以下不得分，本项最高得5分。若蓄电池及UPS生产厂商售后服务等级不一致，取低等级进行计算。</w:t>
            </w:r>
          </w:p>
          <w:p w14:paraId="695386E3">
            <w:pPr>
              <w:pStyle w:val="11"/>
              <w:spacing w:line="240" w:lineRule="auto"/>
              <w:rPr>
                <w:rFonts w:hint="eastAsia" w:ascii="宋体" w:hAnsi="宋体" w:cs="宋体"/>
                <w:sz w:val="21"/>
                <w:szCs w:val="21"/>
              </w:rPr>
            </w:pPr>
            <w:r>
              <w:rPr>
                <w:rFonts w:hint="eastAsia" w:ascii="宋体" w:hAnsi="宋体" w:cs="宋体"/>
                <w:sz w:val="21"/>
                <w:szCs w:val="21"/>
              </w:rPr>
              <w:t>投标单位</w:t>
            </w:r>
          </w:p>
          <w:p w14:paraId="4EA4727A">
            <w:pPr>
              <w:pStyle w:val="11"/>
              <w:spacing w:line="240" w:lineRule="auto"/>
              <w:rPr>
                <w:rFonts w:hint="eastAsia" w:ascii="宋体" w:hAnsi="宋体" w:cs="宋体"/>
                <w:sz w:val="21"/>
                <w:szCs w:val="21"/>
              </w:rPr>
            </w:pPr>
            <w:r>
              <w:rPr>
                <w:rFonts w:hint="eastAsia" w:ascii="宋体" w:hAnsi="宋体" w:cs="宋体"/>
                <w:sz w:val="21"/>
                <w:szCs w:val="21"/>
              </w:rPr>
              <w:t>根据投标人信誉度进行横向比较打分，最高分5分</w:t>
            </w:r>
          </w:p>
          <w:p w14:paraId="551EEA52">
            <w:pPr>
              <w:pStyle w:val="11"/>
              <w:spacing w:line="240" w:lineRule="auto"/>
              <w:rPr>
                <w:rFonts w:hint="eastAsia" w:ascii="宋体" w:hAnsi="宋体" w:cs="宋体"/>
                <w:sz w:val="21"/>
                <w:szCs w:val="21"/>
              </w:rPr>
            </w:pPr>
            <w:r>
              <w:rPr>
                <w:rFonts w:hint="eastAsia" w:ascii="宋体" w:hAnsi="宋体" w:cs="宋体"/>
                <w:sz w:val="21"/>
                <w:szCs w:val="21"/>
              </w:rPr>
              <w:t>广电系统有5年服务案例</w:t>
            </w:r>
          </w:p>
          <w:p w14:paraId="0730E86B">
            <w:pPr>
              <w:pStyle w:val="11"/>
              <w:widowControl/>
              <w:wordWrap w:val="0"/>
              <w:spacing w:line="240" w:lineRule="auto"/>
              <w:textAlignment w:val="top"/>
              <w:rPr>
                <w:rFonts w:hint="eastAsia" w:ascii="宋体" w:hAnsi="宋体" w:cs="宋体"/>
                <w:b/>
                <w:bCs/>
                <w:sz w:val="21"/>
                <w:szCs w:val="21"/>
              </w:rPr>
            </w:pPr>
            <w:r>
              <w:rPr>
                <w:rFonts w:hint="eastAsia" w:ascii="宋体" w:hAnsi="宋体" w:cs="宋体"/>
                <w:b/>
                <w:bCs/>
                <w:sz w:val="21"/>
                <w:szCs w:val="21"/>
              </w:rPr>
              <w:t>（一）评分依据：</w:t>
            </w:r>
          </w:p>
          <w:p w14:paraId="76A5ED7E">
            <w:pPr>
              <w:wordWrap w:val="0"/>
              <w:textAlignment w:val="top"/>
              <w:rPr>
                <w:rFonts w:hint="eastAsia" w:ascii="宋体" w:hAnsi="宋体" w:cs="宋体"/>
              </w:rPr>
            </w:pPr>
            <w:r>
              <w:rPr>
                <w:rFonts w:hint="eastAsia" w:ascii="宋体" w:hAnsi="宋体" w:cs="宋体"/>
                <w:kern w:val="2"/>
              </w:rPr>
              <w:t>提供相关证书及“国家认证认可信息统一查询平台”（http://cx.cnca.cn/）中查询的有效证书信息截图且编号一致，</w:t>
            </w:r>
            <w:r>
              <w:rPr>
                <w:rFonts w:hint="eastAsia" w:ascii="宋体" w:hAnsi="宋体" w:cs="宋体"/>
              </w:rPr>
              <w:t>原件备查；未按要求提供或提供不清晰导致专家无法判断的不得分。</w:t>
            </w:r>
          </w:p>
        </w:tc>
      </w:tr>
      <w:tr w14:paraId="3217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restart"/>
            <w:vAlign w:val="center"/>
          </w:tcPr>
          <w:p w14:paraId="2D9700AE">
            <w:pPr>
              <w:keepNext/>
              <w:keepLines/>
              <w:widowControl w:val="0"/>
              <w:spacing w:before="260" w:after="260" w:line="360" w:lineRule="auto"/>
              <w:jc w:val="center"/>
              <w:outlineLvl w:val="2"/>
              <w:rPr>
                <w:rFonts w:hint="eastAsia" w:ascii="宋体" w:hAnsi="宋体"/>
                <w:kern w:val="2"/>
              </w:rPr>
            </w:pPr>
            <w:r>
              <w:rPr>
                <w:rFonts w:hint="eastAsia" w:ascii="宋体" w:hAnsi="宋体"/>
                <w:kern w:val="2"/>
              </w:rPr>
              <w:t>4</w:t>
            </w:r>
          </w:p>
        </w:tc>
        <w:tc>
          <w:tcPr>
            <w:tcW w:w="2977" w:type="dxa"/>
            <w:gridSpan w:val="3"/>
            <w:vAlign w:val="center"/>
          </w:tcPr>
          <w:p w14:paraId="444B99F9">
            <w:pPr>
              <w:widowControl w:val="0"/>
              <w:jc w:val="center"/>
              <w:rPr>
                <w:rFonts w:hint="eastAsia" w:ascii="宋体" w:hAnsi="宋体"/>
                <w:b/>
                <w:kern w:val="2"/>
              </w:rPr>
            </w:pPr>
            <w:r>
              <w:rPr>
                <w:rFonts w:hint="eastAsia" w:ascii="宋体" w:hAnsi="宋体"/>
                <w:b/>
                <w:kern w:val="2"/>
              </w:rPr>
              <w:t>诚信情况</w:t>
            </w:r>
          </w:p>
        </w:tc>
        <w:tc>
          <w:tcPr>
            <w:tcW w:w="5103" w:type="dxa"/>
            <w:vAlign w:val="center"/>
          </w:tcPr>
          <w:p w14:paraId="2F549009">
            <w:pPr>
              <w:spacing w:line="360" w:lineRule="exact"/>
              <w:jc w:val="center"/>
              <w:rPr>
                <w:rFonts w:hint="eastAsia" w:ascii="宋体" w:hAnsi="宋体"/>
                <w:b/>
                <w:bCs/>
              </w:rPr>
            </w:pPr>
            <w:r>
              <w:rPr>
                <w:rFonts w:hint="eastAsia" w:ascii="宋体" w:hAnsi="宋体"/>
                <w:b/>
                <w:bCs/>
              </w:rPr>
              <w:t>5</w:t>
            </w:r>
          </w:p>
        </w:tc>
      </w:tr>
      <w:tr w14:paraId="7E72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17" w:type="dxa"/>
            <w:vMerge w:val="continue"/>
            <w:vAlign w:val="center"/>
          </w:tcPr>
          <w:p w14:paraId="04F44294">
            <w:pPr>
              <w:keepNext/>
              <w:keepLines/>
              <w:widowControl w:val="0"/>
              <w:spacing w:before="260" w:after="260" w:line="360" w:lineRule="auto"/>
              <w:jc w:val="center"/>
              <w:outlineLvl w:val="2"/>
              <w:rPr>
                <w:rFonts w:hint="eastAsia" w:ascii="宋体" w:hAnsi="宋体"/>
                <w:kern w:val="2"/>
              </w:rPr>
            </w:pPr>
          </w:p>
        </w:tc>
        <w:tc>
          <w:tcPr>
            <w:tcW w:w="756" w:type="dxa"/>
            <w:vAlign w:val="center"/>
          </w:tcPr>
          <w:p w14:paraId="3992FE12">
            <w:pPr>
              <w:widowControl w:val="0"/>
              <w:jc w:val="center"/>
              <w:rPr>
                <w:rFonts w:hint="eastAsia" w:ascii="宋体" w:hAnsi="宋体"/>
                <w:kern w:val="2"/>
              </w:rPr>
            </w:pPr>
            <w:r>
              <w:rPr>
                <w:rFonts w:ascii="宋体" w:hAnsi="宋体" w:cs="宋体"/>
              </w:rPr>
              <w:t>序号</w:t>
            </w:r>
          </w:p>
        </w:tc>
        <w:tc>
          <w:tcPr>
            <w:tcW w:w="1370" w:type="dxa"/>
            <w:vAlign w:val="center"/>
          </w:tcPr>
          <w:p w14:paraId="505FE7C8">
            <w:pPr>
              <w:widowControl w:val="0"/>
              <w:jc w:val="center"/>
              <w:rPr>
                <w:rFonts w:hint="eastAsia" w:ascii="宋体" w:hAnsi="宋体" w:cs="宋体"/>
                <w:color w:val="000000"/>
              </w:rPr>
            </w:pPr>
            <w:r>
              <w:rPr>
                <w:rFonts w:ascii="宋体" w:hAnsi="宋体" w:cs="宋体"/>
              </w:rPr>
              <w:t>评分因素</w:t>
            </w:r>
          </w:p>
        </w:tc>
        <w:tc>
          <w:tcPr>
            <w:tcW w:w="851" w:type="dxa"/>
            <w:vAlign w:val="center"/>
          </w:tcPr>
          <w:p w14:paraId="69261D96">
            <w:pPr>
              <w:widowControl w:val="0"/>
              <w:jc w:val="center"/>
              <w:rPr>
                <w:rFonts w:hint="eastAsia" w:ascii="宋体" w:hAnsi="宋体" w:cs="宋体"/>
                <w:color w:val="000000"/>
              </w:rPr>
            </w:pPr>
            <w:r>
              <w:rPr>
                <w:rFonts w:ascii="宋体" w:hAnsi="宋体" w:cs="宋体"/>
              </w:rPr>
              <w:t>权重</w:t>
            </w:r>
          </w:p>
        </w:tc>
        <w:tc>
          <w:tcPr>
            <w:tcW w:w="5103" w:type="dxa"/>
            <w:vAlign w:val="center"/>
          </w:tcPr>
          <w:p w14:paraId="3BF1CDB3">
            <w:pPr>
              <w:spacing w:line="360" w:lineRule="exact"/>
              <w:jc w:val="center"/>
              <w:rPr>
                <w:b/>
                <w:bCs/>
              </w:rPr>
            </w:pPr>
            <w:r>
              <w:rPr>
                <w:rFonts w:ascii="宋体" w:hAnsi="宋体" w:cs="宋体"/>
              </w:rPr>
              <w:t>评分准则</w:t>
            </w:r>
          </w:p>
        </w:tc>
      </w:tr>
      <w:tr w14:paraId="68A1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Merge w:val="continue"/>
            <w:vAlign w:val="center"/>
          </w:tcPr>
          <w:p w14:paraId="0539A53E">
            <w:pPr>
              <w:keepNext/>
              <w:keepLines/>
              <w:widowControl w:val="0"/>
              <w:spacing w:before="260" w:after="260" w:line="360" w:lineRule="auto"/>
              <w:jc w:val="center"/>
              <w:outlineLvl w:val="2"/>
              <w:rPr>
                <w:rFonts w:hint="eastAsia" w:ascii="宋体" w:hAnsi="宋体"/>
                <w:kern w:val="2"/>
              </w:rPr>
            </w:pPr>
          </w:p>
        </w:tc>
        <w:tc>
          <w:tcPr>
            <w:tcW w:w="756" w:type="dxa"/>
            <w:vAlign w:val="center"/>
          </w:tcPr>
          <w:p w14:paraId="4966F773">
            <w:pPr>
              <w:wordWrap w:val="0"/>
              <w:jc w:val="center"/>
              <w:textAlignment w:val="top"/>
              <w:rPr>
                <w:rFonts w:hint="eastAsia" w:ascii="宋体" w:hAnsi="宋体" w:cs="宋体"/>
              </w:rPr>
            </w:pPr>
            <w:r>
              <w:rPr>
                <w:rFonts w:hint="eastAsia" w:ascii="宋体" w:hAnsi="宋体" w:cs="宋体"/>
              </w:rPr>
              <w:t>1</w:t>
            </w:r>
          </w:p>
        </w:tc>
        <w:tc>
          <w:tcPr>
            <w:tcW w:w="1370" w:type="dxa"/>
            <w:vAlign w:val="center"/>
          </w:tcPr>
          <w:p w14:paraId="39C8D52A">
            <w:pPr>
              <w:spacing w:line="276" w:lineRule="auto"/>
              <w:jc w:val="center"/>
              <w:rPr>
                <w:rStyle w:val="22"/>
                <w:rFonts w:hint="eastAsia" w:ascii="宋体" w:hAnsi="宋体"/>
                <w:sz w:val="24"/>
                <w:szCs w:val="24"/>
                <w:lang w:val="zh-TW" w:eastAsia="zh-TW"/>
              </w:rPr>
            </w:pPr>
            <w:r>
              <w:rPr>
                <w:rFonts w:ascii="宋体" w:hAnsi="宋体"/>
              </w:rPr>
              <w:t>诚信</w:t>
            </w:r>
            <w:r>
              <w:rPr>
                <w:rFonts w:hint="eastAsia" w:ascii="宋体" w:hAnsi="宋体"/>
              </w:rPr>
              <w:t>评审</w:t>
            </w:r>
          </w:p>
        </w:tc>
        <w:tc>
          <w:tcPr>
            <w:tcW w:w="851" w:type="dxa"/>
            <w:vAlign w:val="center"/>
          </w:tcPr>
          <w:p w14:paraId="63413727">
            <w:pPr>
              <w:ind w:left="-315" w:right="-315"/>
              <w:jc w:val="center"/>
              <w:rPr>
                <w:rFonts w:hint="eastAsia" w:ascii="宋体" w:hAnsi="宋体"/>
                <w:color w:val="000000"/>
                <w:sz w:val="24"/>
                <w:szCs w:val="24"/>
              </w:rPr>
            </w:pPr>
            <w:r>
              <w:rPr>
                <w:rFonts w:ascii="宋体" w:hAnsi="宋体"/>
              </w:rPr>
              <w:t>5</w:t>
            </w:r>
          </w:p>
        </w:tc>
        <w:tc>
          <w:tcPr>
            <w:tcW w:w="5103" w:type="dxa"/>
          </w:tcPr>
          <w:p w14:paraId="12D5B5F4">
            <w:pPr>
              <w:spacing w:line="360" w:lineRule="exact"/>
              <w:rPr>
                <w:rFonts w:hint="eastAsia" w:ascii="宋体" w:hAnsi="宋体"/>
              </w:rPr>
            </w:pPr>
            <w:r>
              <w:rPr>
                <w:rFonts w:hint="eastAsia" w:ascii="宋体" w:hAnsi="宋体"/>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7CFEAD6E">
            <w:pPr>
              <w:ind w:firstLine="420" w:firstLineChars="200"/>
              <w:rPr>
                <w:rFonts w:hint="eastAsia" w:ascii="宋体" w:hAnsi="宋体" w:cs="宋体"/>
                <w:sz w:val="24"/>
                <w:szCs w:val="24"/>
              </w:rPr>
            </w:pPr>
            <w:r>
              <w:rPr>
                <w:rFonts w:hint="eastAsia" w:ascii="宋体" w:hAnsi="宋体"/>
              </w:rPr>
              <w:t>（通过“信用中国”（</w:t>
            </w:r>
            <w:r>
              <w:rPr>
                <w:rFonts w:ascii="宋体" w:hAnsi="宋体"/>
              </w:rPr>
              <w:t>https://www.creditchina.gov.cn/</w:t>
            </w:r>
            <w:r>
              <w:rPr>
                <w:rFonts w:hint="eastAsia" w:ascii="宋体" w:hAnsi="宋体"/>
              </w:rPr>
              <w:t>）、“中国政府采购网”（</w:t>
            </w:r>
            <w:r>
              <w:rPr>
                <w:rFonts w:ascii="宋体" w:hAnsi="宋体"/>
              </w:rPr>
              <w:t>https://www.ccgp.gov.cn/</w:t>
            </w:r>
            <w:r>
              <w:rPr>
                <w:rFonts w:hint="eastAsia" w:ascii="宋体" w:hAnsi="宋体"/>
              </w:rPr>
              <w:t>）、“深圳市政府采购监管网”（</w:t>
            </w:r>
            <w:r>
              <w:rPr>
                <w:rFonts w:ascii="宋体" w:hAnsi="宋体"/>
              </w:rPr>
              <w:t>http://zfcg.sz.gov.cn/</w:t>
            </w:r>
            <w:r>
              <w:rPr>
                <w:rFonts w:hint="eastAsia" w:ascii="宋体" w:hAnsi="宋体"/>
              </w:rPr>
              <w:t>）以及市、区财政部门认定的其他渠道查询供应商信用信息，投标人无需提供证明材料。）</w:t>
            </w:r>
          </w:p>
        </w:tc>
      </w:tr>
    </w:tbl>
    <w:p w14:paraId="4165AC00">
      <w:pPr>
        <w:jc w:val="left"/>
        <w:rPr>
          <w:color w:val="FF0000"/>
        </w:rPr>
      </w:pPr>
    </w:p>
    <w:p w14:paraId="08DB9D3F">
      <w:pPr>
        <w:pStyle w:val="2"/>
      </w:pPr>
    </w:p>
    <w:p w14:paraId="0DC28B5A">
      <w:pPr>
        <w:jc w:val="center"/>
        <w:rPr>
          <w:rFonts w:ascii="Calibri" w:hAnsi="Calibri"/>
          <w:b/>
          <w:kern w:val="2"/>
          <w:sz w:val="30"/>
          <w:szCs w:val="30"/>
        </w:rPr>
      </w:pPr>
      <w:r>
        <w:rPr>
          <w:color w:val="FF0000"/>
        </w:rPr>
        <w:br w:type="page"/>
      </w:r>
      <w:r>
        <w:rPr>
          <w:rFonts w:hint="eastAsia" w:ascii="Calibri" w:hAnsi="Calibri"/>
          <w:b/>
          <w:kern w:val="2"/>
          <w:sz w:val="30"/>
          <w:szCs w:val="30"/>
        </w:rPr>
        <w:t>其它关键信息</w:t>
      </w:r>
    </w:p>
    <w:p w14:paraId="398F73E1">
      <w:pPr>
        <w:widowControl w:val="0"/>
        <w:jc w:val="left"/>
        <w:rPr>
          <w:rFonts w:ascii="Calibri" w:hAnsi="Calibri"/>
          <w:b/>
          <w:kern w:val="2"/>
          <w:szCs w:val="24"/>
        </w:rPr>
      </w:pPr>
      <w:r>
        <w:rPr>
          <w:rFonts w:hint="eastAsia" w:ascii="Calibri" w:hAnsi="Calibri"/>
          <w:b/>
          <w:kern w:val="2"/>
          <w:szCs w:val="24"/>
        </w:rPr>
        <w:t>一、评标定标信息</w:t>
      </w:r>
    </w:p>
    <w:p w14:paraId="3303E1C6">
      <w:pPr>
        <w:widowControl w:val="0"/>
        <w:jc w:val="center"/>
        <w:rPr>
          <w:rFonts w:ascii="Calibri" w:hAnsi="Calibri"/>
          <w:b/>
          <w:kern w:val="2"/>
          <w:szCs w:val="24"/>
        </w:rPr>
      </w:pPr>
      <w:r>
        <w:rPr>
          <w:rFonts w:hint="eastAsia" w:ascii="Calibri" w:hAnsi="Calibri"/>
          <w:b/>
          <w:kern w:val="2"/>
          <w:szCs w:val="24"/>
        </w:rPr>
        <w:t>非评定分离项目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D43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7585D1A8">
            <w:pPr>
              <w:widowControl w:val="0"/>
              <w:jc w:val="center"/>
              <w:rPr>
                <w:rFonts w:ascii="Calibri" w:hAnsi="Calibri"/>
                <w:kern w:val="2"/>
                <w:szCs w:val="24"/>
              </w:rPr>
            </w:pPr>
            <w:r>
              <w:rPr>
                <w:rFonts w:hint="eastAsia" w:ascii="Calibri" w:hAnsi="Calibri"/>
                <w:kern w:val="2"/>
                <w:szCs w:val="24"/>
              </w:rPr>
              <w:t>评标方法</w:t>
            </w:r>
          </w:p>
        </w:tc>
        <w:tc>
          <w:tcPr>
            <w:tcW w:w="4265" w:type="dxa"/>
          </w:tcPr>
          <w:p w14:paraId="0BD2A922">
            <w:pPr>
              <w:widowControl w:val="0"/>
              <w:jc w:val="center"/>
              <w:rPr>
                <w:rFonts w:ascii="Calibri" w:hAnsi="Calibri"/>
                <w:kern w:val="2"/>
                <w:szCs w:val="24"/>
              </w:rPr>
            </w:pPr>
            <w:r>
              <w:rPr>
                <w:rFonts w:hint="eastAsia" w:ascii="Calibri" w:hAnsi="Calibri"/>
                <w:kern w:val="2"/>
                <w:szCs w:val="24"/>
              </w:rPr>
              <w:t>综合评分法</w:t>
            </w:r>
          </w:p>
        </w:tc>
      </w:tr>
      <w:tr w14:paraId="7758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593C2933">
            <w:pPr>
              <w:jc w:val="center"/>
            </w:pPr>
            <w:r>
              <w:rPr>
                <w:rFonts w:hint="eastAsia"/>
              </w:rPr>
              <w:t>候选中标供应商家数</w:t>
            </w:r>
          </w:p>
        </w:tc>
        <w:tc>
          <w:tcPr>
            <w:tcW w:w="4265" w:type="dxa"/>
          </w:tcPr>
          <w:p w14:paraId="58AA3074">
            <w:pPr>
              <w:jc w:val="center"/>
            </w:pPr>
            <w:r>
              <w:rPr>
                <w:rFonts w:hint="eastAsia"/>
              </w:rPr>
              <w:t>3</w:t>
            </w:r>
          </w:p>
        </w:tc>
      </w:tr>
      <w:tr w14:paraId="58A1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03C307C6">
            <w:pPr>
              <w:widowControl w:val="0"/>
              <w:jc w:val="center"/>
              <w:rPr>
                <w:rFonts w:ascii="Calibri" w:hAnsi="Calibri"/>
                <w:kern w:val="2"/>
                <w:szCs w:val="24"/>
              </w:rPr>
            </w:pPr>
            <w:r>
              <w:rPr>
                <w:rFonts w:hint="eastAsia" w:ascii="Calibri" w:hAnsi="Calibri"/>
                <w:kern w:val="2"/>
                <w:szCs w:val="24"/>
              </w:rPr>
              <w:t>中标供应商家数</w:t>
            </w:r>
          </w:p>
        </w:tc>
        <w:tc>
          <w:tcPr>
            <w:tcW w:w="4265" w:type="dxa"/>
          </w:tcPr>
          <w:p w14:paraId="24FC9F25">
            <w:pPr>
              <w:widowControl w:val="0"/>
              <w:jc w:val="center"/>
              <w:rPr>
                <w:rFonts w:ascii="Calibri" w:hAnsi="Calibri"/>
                <w:kern w:val="2"/>
                <w:szCs w:val="24"/>
              </w:rPr>
            </w:pPr>
            <w:r>
              <w:rPr>
                <w:rFonts w:hint="eastAsia" w:ascii="Calibri" w:hAnsi="Calibri"/>
                <w:kern w:val="2"/>
                <w:szCs w:val="24"/>
              </w:rPr>
              <w:t>1</w:t>
            </w:r>
          </w:p>
        </w:tc>
      </w:tr>
    </w:tbl>
    <w:p w14:paraId="2E7A427E">
      <w:pPr>
        <w:widowControl w:val="0"/>
        <w:rPr>
          <w:rFonts w:ascii="Calibri" w:hAnsi="Calibri"/>
          <w:kern w:val="2"/>
          <w:szCs w:val="24"/>
        </w:rPr>
      </w:pPr>
    </w:p>
    <w:p w14:paraId="78534E81">
      <w:pPr>
        <w:widowControl w:val="0"/>
        <w:ind w:firstLine="3268" w:firstLineChars="1550"/>
        <w:jc w:val="left"/>
        <w:rPr>
          <w:rFonts w:ascii="Calibri" w:hAnsi="Calibri"/>
          <w:b/>
          <w:color w:val="FF0000"/>
          <w:kern w:val="2"/>
          <w:szCs w:val="24"/>
        </w:rPr>
      </w:pPr>
      <w:r>
        <w:rPr>
          <w:rFonts w:hint="eastAsia" w:ascii="Calibri" w:hAnsi="Calibri"/>
          <w:b/>
          <w:kern w:val="2"/>
          <w:szCs w:val="24"/>
        </w:rPr>
        <w:t>二、</w:t>
      </w:r>
      <w:r>
        <w:rPr>
          <w:rFonts w:hint="eastAsia" w:ascii="Calibri" w:hAnsi="Calibri"/>
          <w:b/>
          <w:color w:val="FF0000"/>
          <w:kern w:val="2"/>
          <w:szCs w:val="24"/>
        </w:rPr>
        <w:t>本项目核心产品为：12-200AH铅酸蓄电池</w:t>
      </w:r>
    </w:p>
    <w:p w14:paraId="2B794BC7">
      <w:pPr>
        <w:pStyle w:val="12"/>
        <w:spacing w:before="120" w:after="120" w:line="360" w:lineRule="exact"/>
        <w:jc w:val="both"/>
        <w:rPr>
          <w:rFonts w:ascii="Times New Roman" w:hAnsi="Times New Roman"/>
        </w:rPr>
      </w:pPr>
      <w:r>
        <w:rPr>
          <w:rFonts w:hint="eastAsia" w:eastAsia="黑体" w:cs="黑体"/>
          <w:sz w:val="30"/>
          <w:szCs w:val="30"/>
        </w:rPr>
        <w:t>项目需求</w:t>
      </w:r>
    </w:p>
    <w:p w14:paraId="3F95BA53">
      <w:pPr>
        <w:pStyle w:val="12"/>
        <w:spacing w:before="0" w:after="0" w:line="360" w:lineRule="auto"/>
        <w:rPr>
          <w:rFonts w:ascii="Times New Roman" w:hAnsi="Times New Roman" w:eastAsia="宋体"/>
          <w:color w:val="000000"/>
          <w:sz w:val="28"/>
          <w:szCs w:val="28"/>
        </w:rPr>
      </w:pPr>
      <w:r>
        <w:rPr>
          <w:rFonts w:hint="eastAsia" w:ascii="Times New Roman" w:hAnsi="Times New Roman" w:eastAsia="宋体" w:cs="宋体"/>
          <w:color w:val="000000"/>
          <w:sz w:val="28"/>
          <w:szCs w:val="28"/>
        </w:rPr>
        <w:t>项目需求</w:t>
      </w:r>
    </w:p>
    <w:p w14:paraId="312D42F2">
      <w:pPr>
        <w:widowControl w:val="0"/>
        <w:adjustRightInd w:val="0"/>
        <w:spacing w:before="120" w:beforeLines="50" w:after="120" w:afterLines="50"/>
        <w:textAlignment w:val="baseline"/>
        <w:outlineLvl w:val="1"/>
        <w:rPr>
          <w:b/>
          <w:sz w:val="28"/>
          <w:szCs w:val="28"/>
        </w:rPr>
      </w:pPr>
      <w:bookmarkStart w:id="3" w:name="_Toc441692659"/>
      <w:bookmarkStart w:id="4" w:name="_Toc452394260"/>
      <w:bookmarkStart w:id="5" w:name="_Toc441690146"/>
      <w:r>
        <w:rPr>
          <w:rFonts w:hint="eastAsia"/>
          <w:b/>
          <w:sz w:val="28"/>
          <w:szCs w:val="28"/>
        </w:rPr>
        <w:t>一、项目概述</w:t>
      </w:r>
    </w:p>
    <w:bookmarkEnd w:id="3"/>
    <w:bookmarkEnd w:id="4"/>
    <w:bookmarkEnd w:id="5"/>
    <w:p w14:paraId="00A455D4">
      <w:pPr>
        <w:ind w:firstLine="420"/>
        <w:rPr>
          <w:rFonts w:hint="eastAsia" w:ascii="宋体" w:hAnsi="宋体"/>
          <w:sz w:val="24"/>
          <w:szCs w:val="24"/>
        </w:rPr>
      </w:pPr>
      <w:bookmarkStart w:id="6" w:name="_Toc128884461"/>
      <w:r>
        <w:rPr>
          <w:rFonts w:hint="eastAsia" w:ascii="宋体" w:hAnsi="宋体" w:cs="宋体"/>
          <w:color w:val="000000"/>
          <w:sz w:val="24"/>
          <w:szCs w:val="24"/>
        </w:rPr>
        <w:t>深圳市广播电视技术中心石岩机房 500KVA UPS系统于2019年安装启用，已运行超5年时间，UPS系统的后备电池为铅酸蓄电池，UPS的后备电池作为电力系统保障的核心组件，其性能状况直接影响到整个系统的运行安全。</w:t>
      </w:r>
      <w:r>
        <w:rPr>
          <w:rFonts w:ascii="宋体" w:hAnsi="宋体"/>
          <w:sz w:val="24"/>
          <w:szCs w:val="24"/>
        </w:rPr>
        <w:t xml:space="preserve">该系统作为机房核心电力保障枢纽，其配置的铅酸蓄电池组承担着市电中断时维持关键负载持续运行的重任。UPS 系统配备 3 组 40 节 / 组的 12V 阀控式密封铅酸（VRLA）蓄电池组，标称后备时间为 </w:t>
      </w:r>
      <w:r>
        <w:rPr>
          <w:rFonts w:hint="eastAsia" w:ascii="宋体" w:hAnsi="宋体"/>
          <w:sz w:val="24"/>
          <w:szCs w:val="24"/>
        </w:rPr>
        <w:t>30</w:t>
      </w:r>
      <w:r>
        <w:rPr>
          <w:rFonts w:ascii="宋体" w:hAnsi="宋体"/>
          <w:sz w:val="24"/>
          <w:szCs w:val="24"/>
        </w:rPr>
        <w:t>分钟，设计遵循 GB/T 14715-2017《信息技术设备用不间断电源通用规范》。</w:t>
      </w:r>
    </w:p>
    <w:p w14:paraId="10CFFB10">
      <w:pPr>
        <w:spacing w:before="120" w:beforeLines="50" w:line="360" w:lineRule="auto"/>
        <w:ind w:firstLine="420"/>
        <w:rPr>
          <w:rFonts w:hint="eastAsia" w:ascii="宋体" w:hAnsi="宋体" w:cs="Arial"/>
          <w:sz w:val="24"/>
          <w:szCs w:val="24"/>
        </w:rPr>
      </w:pPr>
      <w:r>
        <w:rPr>
          <w:rFonts w:hint="eastAsia" w:ascii="宋体" w:hAnsi="宋体" w:cs="Arial"/>
          <w:sz w:val="24"/>
          <w:szCs w:val="24"/>
        </w:rPr>
        <w:t>根据国家行业标准YD/T1970.2009中的相关规定，UPS使用的阀控密封铅酸电池的使用寿命预计在6年左右，达到使用年限后需要进行评估和更换。</w:t>
      </w:r>
    </w:p>
    <w:p w14:paraId="3D56CEFF">
      <w:pPr>
        <w:widowControl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为了保障播出业务稳定，避免出现电池后备问题导致系统输出中断，影响广播电视安全播出，及避免因电池老化，故障导致机房发生消防严重安全事故，经过专业团队的全面检测与评估，需要对500KVA这台UPS的后备铅酸蓄电池（12-200AH）进行更换，以及配套电池监控设备的安装调试，本项目预算金额38.2万元。</w:t>
      </w:r>
    </w:p>
    <w:p w14:paraId="1900743E">
      <w:pPr>
        <w:keepNext/>
        <w:keepLines/>
        <w:widowControl w:val="0"/>
        <w:adjustRightInd w:val="0"/>
        <w:spacing w:before="120" w:beforeLines="50" w:after="120" w:afterLines="50"/>
        <w:jc w:val="left"/>
        <w:textAlignment w:val="baseline"/>
        <w:outlineLvl w:val="1"/>
        <w:rPr>
          <w:rFonts w:hint="eastAsia" w:ascii="宋体" w:hAnsi="宋体"/>
          <w:b/>
          <w:bCs/>
          <w:sz w:val="28"/>
          <w:szCs w:val="28"/>
        </w:rPr>
      </w:pPr>
      <w:r>
        <w:rPr>
          <w:rFonts w:hint="eastAsia" w:ascii="宋体" w:hAnsi="宋体"/>
          <w:b/>
          <w:bCs/>
          <w:sz w:val="28"/>
          <w:szCs w:val="28"/>
        </w:rPr>
        <w:t>二、服务采购内容</w:t>
      </w:r>
    </w:p>
    <w:tbl>
      <w:tblPr>
        <w:tblStyle w:val="14"/>
        <w:tblW w:w="0" w:type="auto"/>
        <w:tblInd w:w="0" w:type="dxa"/>
        <w:tblLayout w:type="autofit"/>
        <w:tblCellMar>
          <w:top w:w="0" w:type="dxa"/>
          <w:left w:w="108" w:type="dxa"/>
          <w:bottom w:w="0" w:type="dxa"/>
          <w:right w:w="108" w:type="dxa"/>
        </w:tblCellMar>
      </w:tblPr>
      <w:tblGrid>
        <w:gridCol w:w="696"/>
        <w:gridCol w:w="2848"/>
        <w:gridCol w:w="1276"/>
        <w:gridCol w:w="1417"/>
        <w:gridCol w:w="3085"/>
      </w:tblGrid>
      <w:tr w14:paraId="15458961">
        <w:tblPrEx>
          <w:tblCellMar>
            <w:top w:w="0" w:type="dxa"/>
            <w:left w:w="108" w:type="dxa"/>
            <w:bottom w:w="0" w:type="dxa"/>
            <w:right w:w="108" w:type="dxa"/>
          </w:tblCellMar>
        </w:tblPrEx>
        <w:trPr>
          <w:trHeight w:val="790" w:hRule="atLeast"/>
        </w:trPr>
        <w:tc>
          <w:tcPr>
            <w:tcW w:w="9322" w:type="dxa"/>
            <w:gridSpan w:val="5"/>
            <w:tcBorders>
              <w:top w:val="nil"/>
              <w:left w:val="nil"/>
              <w:bottom w:val="nil"/>
              <w:right w:val="nil"/>
            </w:tcBorders>
            <w:noWrap/>
            <w:vAlign w:val="center"/>
          </w:tcPr>
          <w:p w14:paraId="640D0CC3">
            <w:pPr>
              <w:jc w:val="center"/>
              <w:textAlignment w:val="center"/>
              <w:rPr>
                <w:rFonts w:hint="eastAsia" w:ascii="宋体" w:hAnsi="宋体" w:cs="仿宋_GB2312"/>
                <w:color w:val="000000"/>
                <w:sz w:val="24"/>
                <w:szCs w:val="24"/>
                <w:lang w:bidi="ar"/>
              </w:rPr>
            </w:pPr>
            <w:r>
              <w:rPr>
                <w:rFonts w:hint="eastAsia" w:ascii="宋体" w:hAnsi="宋体" w:cs="仿宋_GB2312"/>
                <w:color w:val="000000"/>
                <w:sz w:val="24"/>
                <w:szCs w:val="24"/>
                <w:lang w:bidi="ar"/>
              </w:rPr>
              <w:t>设备清单</w:t>
            </w:r>
          </w:p>
          <w:p w14:paraId="050BA88D">
            <w:pPr>
              <w:pStyle w:val="2"/>
              <w:rPr>
                <w:lang w:bidi="ar"/>
              </w:rPr>
            </w:pPr>
          </w:p>
        </w:tc>
      </w:tr>
      <w:tr w14:paraId="673F8A38">
        <w:tblPrEx>
          <w:tblCellMar>
            <w:top w:w="0" w:type="dxa"/>
            <w:left w:w="108" w:type="dxa"/>
            <w:bottom w:w="0" w:type="dxa"/>
            <w:right w:w="108" w:type="dxa"/>
          </w:tblCellMar>
        </w:tblPrEx>
        <w:trPr>
          <w:trHeight w:val="636"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B51B9A5">
            <w:pPr>
              <w:jc w:val="center"/>
              <w:textAlignment w:val="center"/>
              <w:rPr>
                <w:rFonts w:hint="eastAsia" w:ascii="宋体" w:hAnsi="宋体" w:cs="仿宋_GB2312"/>
                <w:color w:val="000000"/>
                <w:kern w:val="2"/>
                <w:sz w:val="24"/>
                <w:szCs w:val="24"/>
              </w:rPr>
            </w:pPr>
            <w:r>
              <w:rPr>
                <w:rFonts w:hint="eastAsia" w:ascii="宋体" w:hAnsi="宋体" w:cs="仿宋_GB2312"/>
                <w:color w:val="000000"/>
                <w:sz w:val="24"/>
                <w:szCs w:val="24"/>
                <w:lang w:bidi="ar"/>
              </w:rPr>
              <w:t>序号</w:t>
            </w:r>
          </w:p>
        </w:tc>
        <w:tc>
          <w:tcPr>
            <w:tcW w:w="2848" w:type="dxa"/>
            <w:vMerge w:val="restart"/>
            <w:tcBorders>
              <w:top w:val="single" w:color="000000" w:sz="4" w:space="0"/>
              <w:left w:val="single" w:color="000000" w:sz="4" w:space="0"/>
              <w:bottom w:val="single" w:color="000000" w:sz="4" w:space="0"/>
              <w:right w:val="single" w:color="000000" w:sz="4" w:space="0"/>
            </w:tcBorders>
            <w:vAlign w:val="center"/>
          </w:tcPr>
          <w:p w14:paraId="3ACBA8C8">
            <w:pPr>
              <w:jc w:val="center"/>
              <w:textAlignment w:val="center"/>
              <w:rPr>
                <w:rFonts w:hint="eastAsia" w:ascii="宋体" w:hAnsi="宋体" w:cs="仿宋_GB2312"/>
                <w:color w:val="000000"/>
                <w:kern w:val="2"/>
                <w:sz w:val="24"/>
                <w:szCs w:val="24"/>
              </w:rPr>
            </w:pPr>
            <w:r>
              <w:rPr>
                <w:rFonts w:hint="eastAsia" w:ascii="宋体" w:hAnsi="宋体" w:cs="仿宋_GB2312"/>
                <w:color w:val="000000"/>
                <w:sz w:val="24"/>
                <w:szCs w:val="24"/>
                <w:lang w:bidi="ar"/>
              </w:rPr>
              <w:t>设备名称</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3C3AA3D2">
            <w:pPr>
              <w:jc w:val="center"/>
              <w:textAlignment w:val="center"/>
              <w:rPr>
                <w:rFonts w:hint="eastAsia" w:ascii="宋体" w:hAnsi="宋体" w:cs="仿宋_GB2312"/>
                <w:color w:val="000000"/>
                <w:kern w:val="2"/>
                <w:sz w:val="24"/>
                <w:szCs w:val="24"/>
              </w:rPr>
            </w:pPr>
            <w:r>
              <w:rPr>
                <w:rFonts w:hint="eastAsia" w:ascii="宋体" w:hAnsi="宋体" w:cs="仿宋_GB2312"/>
                <w:color w:val="000000"/>
                <w:sz w:val="24"/>
                <w:szCs w:val="24"/>
                <w:lang w:bidi="ar"/>
              </w:rPr>
              <w:t>计量单位</w:t>
            </w:r>
          </w:p>
        </w:tc>
        <w:tc>
          <w:tcPr>
            <w:tcW w:w="1417" w:type="dxa"/>
            <w:vMerge w:val="restart"/>
            <w:tcBorders>
              <w:top w:val="single" w:color="000000" w:sz="4" w:space="0"/>
              <w:left w:val="single" w:color="000000" w:sz="4" w:space="0"/>
              <w:bottom w:val="single" w:color="000000" w:sz="4" w:space="0"/>
              <w:right w:val="single" w:color="000000" w:sz="4" w:space="0"/>
            </w:tcBorders>
            <w:noWrap/>
            <w:vAlign w:val="center"/>
          </w:tcPr>
          <w:p w14:paraId="5C3079D5">
            <w:pPr>
              <w:jc w:val="center"/>
              <w:textAlignment w:val="center"/>
              <w:rPr>
                <w:rFonts w:hint="eastAsia" w:ascii="宋体" w:hAnsi="宋体" w:cs="仿宋_GB2312"/>
                <w:color w:val="000000"/>
                <w:kern w:val="2"/>
                <w:sz w:val="24"/>
                <w:szCs w:val="24"/>
              </w:rPr>
            </w:pPr>
            <w:r>
              <w:rPr>
                <w:rFonts w:hint="eastAsia" w:ascii="宋体" w:hAnsi="宋体" w:cs="仿宋_GB2312"/>
                <w:color w:val="000000"/>
                <w:sz w:val="24"/>
                <w:szCs w:val="24"/>
                <w:lang w:bidi="ar"/>
              </w:rPr>
              <w:t>数量</w:t>
            </w:r>
          </w:p>
        </w:tc>
        <w:tc>
          <w:tcPr>
            <w:tcW w:w="3085" w:type="dxa"/>
            <w:vMerge w:val="restart"/>
            <w:tcBorders>
              <w:top w:val="single" w:color="000000" w:sz="4" w:space="0"/>
              <w:left w:val="single" w:color="000000" w:sz="4" w:space="0"/>
              <w:bottom w:val="single" w:color="000000" w:sz="4" w:space="0"/>
              <w:right w:val="single" w:color="000000" w:sz="4" w:space="0"/>
            </w:tcBorders>
            <w:noWrap/>
            <w:vAlign w:val="center"/>
          </w:tcPr>
          <w:p w14:paraId="55CF42D8">
            <w:pPr>
              <w:jc w:val="center"/>
              <w:textAlignment w:val="center"/>
              <w:rPr>
                <w:rFonts w:hint="eastAsia" w:ascii="宋体" w:hAnsi="宋体" w:cs="仿宋_GB2312"/>
                <w:color w:val="000000"/>
                <w:kern w:val="2"/>
                <w:sz w:val="24"/>
                <w:szCs w:val="24"/>
              </w:rPr>
            </w:pPr>
            <w:r>
              <w:rPr>
                <w:rFonts w:hint="eastAsia" w:ascii="宋体" w:hAnsi="宋体" w:cs="仿宋_GB2312"/>
                <w:color w:val="000000"/>
                <w:sz w:val="24"/>
                <w:szCs w:val="24"/>
                <w:lang w:bidi="ar"/>
              </w:rPr>
              <w:t>备注</w:t>
            </w:r>
          </w:p>
        </w:tc>
      </w:tr>
      <w:tr w14:paraId="6147927F">
        <w:tblPrEx>
          <w:tblCellMar>
            <w:top w:w="0" w:type="dxa"/>
            <w:left w:w="108" w:type="dxa"/>
            <w:bottom w:w="0" w:type="dxa"/>
            <w:right w:w="108" w:type="dxa"/>
          </w:tblCellMar>
        </w:tblPrEx>
        <w:trPr>
          <w:trHeight w:val="31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109E71">
            <w:pPr>
              <w:widowControl w:val="0"/>
              <w:jc w:val="center"/>
              <w:rPr>
                <w:rFonts w:hint="eastAsia" w:ascii="宋体" w:hAnsi="宋体" w:cs="仿宋_GB2312"/>
                <w:color w:val="000000"/>
                <w:kern w:val="2"/>
                <w:sz w:val="24"/>
                <w:szCs w:val="24"/>
              </w:rPr>
            </w:pPr>
          </w:p>
        </w:tc>
        <w:tc>
          <w:tcPr>
            <w:tcW w:w="2848" w:type="dxa"/>
            <w:vMerge w:val="continue"/>
            <w:tcBorders>
              <w:top w:val="single" w:color="000000" w:sz="4" w:space="0"/>
              <w:left w:val="single" w:color="000000" w:sz="4" w:space="0"/>
              <w:bottom w:val="single" w:color="000000" w:sz="4" w:space="0"/>
              <w:right w:val="single" w:color="000000" w:sz="4" w:space="0"/>
            </w:tcBorders>
            <w:vAlign w:val="center"/>
          </w:tcPr>
          <w:p w14:paraId="62BE8522">
            <w:pPr>
              <w:widowControl w:val="0"/>
              <w:jc w:val="center"/>
              <w:rPr>
                <w:rFonts w:hint="eastAsia" w:ascii="宋体" w:hAnsi="宋体" w:cs="仿宋_GB2312"/>
                <w:color w:val="000000"/>
                <w:kern w:val="2"/>
                <w:sz w:val="24"/>
                <w:szCs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4F0506E">
            <w:pPr>
              <w:widowControl w:val="0"/>
              <w:jc w:val="center"/>
              <w:rPr>
                <w:rFonts w:hint="eastAsia" w:ascii="宋体" w:hAnsi="宋体" w:cs="仿宋_GB2312"/>
                <w:color w:val="000000"/>
                <w:kern w:val="2"/>
                <w:sz w:val="24"/>
                <w:szCs w:val="24"/>
              </w:rPr>
            </w:pPr>
          </w:p>
        </w:tc>
        <w:tc>
          <w:tcPr>
            <w:tcW w:w="1417" w:type="dxa"/>
            <w:vMerge w:val="continue"/>
            <w:tcBorders>
              <w:top w:val="single" w:color="000000" w:sz="4" w:space="0"/>
              <w:left w:val="single" w:color="000000" w:sz="4" w:space="0"/>
              <w:bottom w:val="single" w:color="000000" w:sz="4" w:space="0"/>
              <w:right w:val="single" w:color="000000" w:sz="4" w:space="0"/>
            </w:tcBorders>
            <w:noWrap/>
            <w:vAlign w:val="center"/>
          </w:tcPr>
          <w:p w14:paraId="38784B66">
            <w:pPr>
              <w:widowControl w:val="0"/>
              <w:jc w:val="center"/>
              <w:rPr>
                <w:rFonts w:hint="eastAsia" w:ascii="宋体" w:hAnsi="宋体" w:cs="仿宋_GB2312"/>
                <w:color w:val="000000"/>
                <w:kern w:val="2"/>
                <w:sz w:val="24"/>
                <w:szCs w:val="24"/>
              </w:rPr>
            </w:pPr>
          </w:p>
        </w:tc>
        <w:tc>
          <w:tcPr>
            <w:tcW w:w="3085" w:type="dxa"/>
            <w:vMerge w:val="continue"/>
            <w:tcBorders>
              <w:top w:val="single" w:color="000000" w:sz="4" w:space="0"/>
              <w:left w:val="single" w:color="000000" w:sz="4" w:space="0"/>
              <w:bottom w:val="single" w:color="000000" w:sz="4" w:space="0"/>
              <w:right w:val="single" w:color="000000" w:sz="4" w:space="0"/>
            </w:tcBorders>
            <w:noWrap/>
            <w:vAlign w:val="center"/>
          </w:tcPr>
          <w:p w14:paraId="410412F6">
            <w:pPr>
              <w:widowControl w:val="0"/>
              <w:jc w:val="center"/>
              <w:rPr>
                <w:rFonts w:hint="eastAsia" w:ascii="宋体" w:hAnsi="宋体" w:cs="仿宋_GB2312"/>
                <w:color w:val="000000"/>
                <w:kern w:val="2"/>
                <w:sz w:val="24"/>
                <w:szCs w:val="24"/>
              </w:rPr>
            </w:pPr>
          </w:p>
        </w:tc>
      </w:tr>
      <w:tr w14:paraId="17EEDD14">
        <w:tblPrEx>
          <w:tblCellMar>
            <w:top w:w="0" w:type="dxa"/>
            <w:left w:w="108" w:type="dxa"/>
            <w:bottom w:w="0" w:type="dxa"/>
            <w:right w:w="108" w:type="dxa"/>
          </w:tblCellMar>
        </w:tblPrEx>
        <w:trPr>
          <w:trHeight w:val="77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1240F7">
            <w:pPr>
              <w:jc w:val="center"/>
              <w:textAlignment w:val="center"/>
              <w:rPr>
                <w:rFonts w:hint="eastAsia" w:ascii="宋体" w:hAnsi="宋体" w:cs="仿宋_GB2312"/>
                <w:color w:val="000000"/>
                <w:kern w:val="2"/>
                <w:sz w:val="24"/>
                <w:szCs w:val="24"/>
              </w:rPr>
            </w:pPr>
            <w:r>
              <w:rPr>
                <w:rFonts w:hint="eastAsia" w:ascii="宋体" w:hAnsi="宋体" w:cs="仿宋_GB2312"/>
                <w:color w:val="000000"/>
                <w:sz w:val="24"/>
                <w:szCs w:val="24"/>
                <w:lang w:bidi="ar"/>
              </w:rPr>
              <w:t xml:space="preserve"> 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37AF744">
            <w:pPr>
              <w:jc w:val="left"/>
              <w:textAlignment w:val="center"/>
              <w:rPr>
                <w:rFonts w:hint="eastAsia" w:ascii="宋体" w:hAnsi="宋体" w:cs="仿宋_GB2312"/>
                <w:color w:val="000000"/>
                <w:kern w:val="2"/>
                <w:sz w:val="24"/>
                <w:szCs w:val="24"/>
              </w:rPr>
            </w:pPr>
            <w:r>
              <w:rPr>
                <w:rFonts w:ascii="宋体" w:hAnsi="宋体" w:cs="仿宋_GB2312"/>
                <w:color w:val="000000"/>
                <w:kern w:val="2"/>
                <w:sz w:val="24"/>
                <w:szCs w:val="24"/>
              </w:rPr>
              <w:t>12-2</w:t>
            </w:r>
            <w:r>
              <w:rPr>
                <w:rFonts w:hint="eastAsia" w:ascii="宋体" w:hAnsi="宋体" w:cs="仿宋_GB2312"/>
                <w:color w:val="000000"/>
                <w:kern w:val="2"/>
                <w:sz w:val="24"/>
                <w:szCs w:val="24"/>
              </w:rPr>
              <w:t>0</w:t>
            </w:r>
            <w:r>
              <w:rPr>
                <w:rFonts w:ascii="宋体" w:hAnsi="宋体" w:cs="仿宋_GB2312"/>
                <w:color w:val="000000"/>
                <w:kern w:val="2"/>
                <w:sz w:val="24"/>
                <w:szCs w:val="24"/>
              </w:rPr>
              <w:t>0AH铅酸蓄电池</w:t>
            </w:r>
          </w:p>
          <w:p w14:paraId="23923B69">
            <w:pPr>
              <w:pStyle w:val="2"/>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5FBD891">
            <w:pPr>
              <w:jc w:val="center"/>
              <w:textAlignment w:val="center"/>
              <w:rPr>
                <w:rFonts w:hint="eastAsia" w:ascii="宋体" w:hAnsi="宋体" w:cs="仿宋_GB2312"/>
                <w:color w:val="000000"/>
                <w:kern w:val="2"/>
                <w:sz w:val="24"/>
                <w:szCs w:val="24"/>
              </w:rPr>
            </w:pPr>
            <w:r>
              <w:rPr>
                <w:rFonts w:hint="eastAsia" w:ascii="宋体" w:hAnsi="宋体" w:cs="仿宋_GB2312"/>
                <w:color w:val="000000"/>
                <w:kern w:val="2"/>
                <w:sz w:val="24"/>
                <w:szCs w:val="24"/>
              </w:rPr>
              <w:t>节</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793A48E">
            <w:pPr>
              <w:jc w:val="center"/>
              <w:textAlignment w:val="center"/>
              <w:rPr>
                <w:rFonts w:hint="eastAsia" w:ascii="宋体" w:hAnsi="宋体" w:cs="仿宋_GB2312"/>
                <w:color w:val="000000"/>
                <w:kern w:val="2"/>
                <w:sz w:val="24"/>
                <w:szCs w:val="24"/>
              </w:rPr>
            </w:pPr>
            <w:r>
              <w:rPr>
                <w:rFonts w:hint="eastAsia" w:ascii="宋体" w:hAnsi="宋体" w:cs="仿宋_GB2312"/>
                <w:color w:val="000000"/>
                <w:kern w:val="2"/>
                <w:sz w:val="24"/>
                <w:szCs w:val="24"/>
              </w:rPr>
              <w:t>120</w:t>
            </w:r>
          </w:p>
        </w:tc>
        <w:tc>
          <w:tcPr>
            <w:tcW w:w="3085" w:type="dxa"/>
            <w:vMerge w:val="restart"/>
            <w:tcBorders>
              <w:top w:val="single" w:color="000000" w:sz="4" w:space="0"/>
              <w:left w:val="single" w:color="000000" w:sz="4" w:space="0"/>
              <w:bottom w:val="single" w:color="000000" w:sz="4" w:space="0"/>
              <w:right w:val="single" w:color="000000" w:sz="4" w:space="0"/>
            </w:tcBorders>
            <w:vAlign w:val="center"/>
          </w:tcPr>
          <w:p w14:paraId="5ADAAABE">
            <w:pPr>
              <w:jc w:val="center"/>
              <w:textAlignment w:val="center"/>
              <w:rPr>
                <w:rFonts w:hint="eastAsia" w:ascii="宋体" w:hAnsi="宋体" w:cs="仿宋_GB2312"/>
                <w:color w:val="000000"/>
                <w:kern w:val="2"/>
                <w:sz w:val="18"/>
                <w:szCs w:val="18"/>
              </w:rPr>
            </w:pPr>
            <w:r>
              <w:rPr>
                <w:rFonts w:hint="eastAsia" w:ascii="宋体" w:hAnsi="宋体" w:cs="仿宋_GB2312"/>
                <w:color w:val="000000"/>
                <w:kern w:val="2"/>
                <w:sz w:val="18"/>
                <w:szCs w:val="18"/>
              </w:rPr>
              <w:t xml:space="preserve">清单包含：   </w:t>
            </w:r>
          </w:p>
          <w:p w14:paraId="7668A3CE">
            <w:pPr>
              <w:jc w:val="center"/>
              <w:textAlignment w:val="center"/>
              <w:rPr>
                <w:rFonts w:hint="eastAsia" w:ascii="宋体" w:hAnsi="宋体" w:cs="仿宋_GB2312"/>
                <w:color w:val="000000"/>
                <w:kern w:val="2"/>
                <w:sz w:val="18"/>
                <w:szCs w:val="18"/>
              </w:rPr>
            </w:pPr>
            <w:r>
              <w:rPr>
                <w:rFonts w:hint="eastAsia" w:ascii="宋体" w:hAnsi="宋体" w:cs="仿宋_GB2312"/>
                <w:color w:val="000000"/>
                <w:kern w:val="2"/>
                <w:sz w:val="18"/>
                <w:szCs w:val="18"/>
              </w:rPr>
              <w:t xml:space="preserve">1. 120节12V-200AH电池；          </w:t>
            </w:r>
          </w:p>
          <w:p w14:paraId="43F910E2">
            <w:pPr>
              <w:jc w:val="center"/>
              <w:textAlignment w:val="center"/>
              <w:rPr>
                <w:rFonts w:hint="eastAsia" w:ascii="宋体" w:hAnsi="宋体" w:cs="仿宋_GB2312"/>
                <w:color w:val="000000"/>
                <w:kern w:val="2"/>
                <w:sz w:val="24"/>
                <w:szCs w:val="24"/>
              </w:rPr>
            </w:pPr>
            <w:r>
              <w:rPr>
                <w:rFonts w:hint="eastAsia" w:ascii="宋体" w:hAnsi="宋体" w:cs="仿宋_GB2312"/>
                <w:color w:val="000000"/>
                <w:kern w:val="2"/>
                <w:sz w:val="18"/>
                <w:szCs w:val="18"/>
              </w:rPr>
              <w:t>2. 2套电池监控主控模块，6套电流采样器及6套电流传感器，240个电池传感器模块；                     3.电池搬运，拆装更换及2套电池监控系统的安装；</w:t>
            </w:r>
          </w:p>
        </w:tc>
      </w:tr>
      <w:tr w14:paraId="494D8A52">
        <w:tblPrEx>
          <w:tblCellMar>
            <w:top w:w="0" w:type="dxa"/>
            <w:left w:w="108" w:type="dxa"/>
            <w:bottom w:w="0" w:type="dxa"/>
            <w:right w:w="108" w:type="dxa"/>
          </w:tblCellMar>
        </w:tblPrEx>
        <w:trPr>
          <w:trHeight w:val="70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B636A3">
            <w:pPr>
              <w:jc w:val="center"/>
              <w:textAlignment w:val="center"/>
              <w:rPr>
                <w:rFonts w:hint="eastAsia" w:ascii="宋体" w:hAnsi="宋体" w:cs="仿宋_GB2312"/>
                <w:color w:val="000000"/>
                <w:kern w:val="2"/>
                <w:sz w:val="24"/>
                <w:szCs w:val="24"/>
              </w:rPr>
            </w:pPr>
            <w:r>
              <w:rPr>
                <w:rFonts w:hint="eastAsia" w:ascii="宋体" w:hAnsi="宋体" w:cs="仿宋_GB2312"/>
                <w:color w:val="000000"/>
                <w:kern w:val="2"/>
                <w:sz w:val="24"/>
                <w:szCs w:val="24"/>
              </w:rPr>
              <w:t>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EF8699E">
            <w:pPr>
              <w:jc w:val="center"/>
              <w:textAlignment w:val="center"/>
              <w:rPr>
                <w:rFonts w:hint="eastAsia" w:ascii="宋体" w:hAnsi="宋体" w:cs="仿宋_GB2312"/>
                <w:color w:val="000000"/>
                <w:kern w:val="2"/>
                <w:sz w:val="24"/>
                <w:szCs w:val="24"/>
              </w:rPr>
            </w:pPr>
            <w:r>
              <w:rPr>
                <w:rFonts w:ascii="宋体" w:hAnsi="宋体" w:cs="仿宋_GB2312"/>
                <w:color w:val="000000"/>
                <w:kern w:val="2"/>
                <w:sz w:val="24"/>
                <w:szCs w:val="24"/>
              </w:rPr>
              <w:t>电池</w:t>
            </w:r>
            <w:r>
              <w:rPr>
                <w:rFonts w:hint="eastAsia" w:ascii="宋体" w:hAnsi="宋体" w:cs="仿宋_GB2312"/>
                <w:color w:val="000000"/>
                <w:kern w:val="2"/>
                <w:sz w:val="24"/>
                <w:szCs w:val="24"/>
              </w:rPr>
              <w:t>监控（两套，每套120节电池监控）</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3D0A91A">
            <w:pPr>
              <w:jc w:val="center"/>
              <w:textAlignment w:val="center"/>
              <w:rPr>
                <w:rFonts w:hint="eastAsia" w:ascii="宋体" w:hAnsi="宋体" w:cs="仿宋_GB2312"/>
                <w:color w:val="000000"/>
                <w:kern w:val="2"/>
                <w:sz w:val="24"/>
                <w:szCs w:val="24"/>
              </w:rPr>
            </w:pPr>
            <w:r>
              <w:rPr>
                <w:rFonts w:hint="eastAsia" w:ascii="宋体" w:hAnsi="宋体" w:cs="仿宋_GB2312"/>
                <w:color w:val="000000"/>
                <w:kern w:val="2"/>
                <w:sz w:val="24"/>
                <w:szCs w:val="24"/>
              </w:rPr>
              <w:t>节</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4CA84E0">
            <w:pPr>
              <w:jc w:val="center"/>
              <w:textAlignment w:val="center"/>
              <w:rPr>
                <w:rFonts w:hint="eastAsia" w:ascii="宋体" w:hAnsi="宋体" w:cs="仿宋_GB2312"/>
                <w:color w:val="000000"/>
                <w:kern w:val="2"/>
                <w:sz w:val="24"/>
                <w:szCs w:val="24"/>
              </w:rPr>
            </w:pPr>
            <w:r>
              <w:rPr>
                <w:rFonts w:hint="eastAsia" w:ascii="宋体" w:hAnsi="宋体" w:cs="仿宋_GB2312"/>
                <w:color w:val="000000"/>
                <w:kern w:val="2"/>
                <w:sz w:val="24"/>
                <w:szCs w:val="24"/>
              </w:rPr>
              <w:t>2</w:t>
            </w:r>
          </w:p>
        </w:tc>
        <w:tc>
          <w:tcPr>
            <w:tcW w:w="3085" w:type="dxa"/>
            <w:vMerge w:val="continue"/>
            <w:tcBorders>
              <w:top w:val="single" w:color="000000" w:sz="4" w:space="0"/>
              <w:left w:val="single" w:color="000000" w:sz="4" w:space="0"/>
              <w:bottom w:val="single" w:color="000000" w:sz="4" w:space="0"/>
              <w:right w:val="single" w:color="000000" w:sz="4" w:space="0"/>
            </w:tcBorders>
            <w:vAlign w:val="center"/>
          </w:tcPr>
          <w:p w14:paraId="46937E95">
            <w:pPr>
              <w:widowControl w:val="0"/>
              <w:jc w:val="center"/>
              <w:rPr>
                <w:rFonts w:hint="eastAsia" w:ascii="仿宋_GB2312" w:hAnsi="等线" w:eastAsia="仿宋_GB2312" w:cs="仿宋_GB2312"/>
                <w:color w:val="000000"/>
                <w:kern w:val="2"/>
                <w:sz w:val="32"/>
                <w:szCs w:val="32"/>
              </w:rPr>
            </w:pPr>
          </w:p>
        </w:tc>
      </w:tr>
    </w:tbl>
    <w:p w14:paraId="711BBB0F">
      <w:pPr>
        <w:spacing w:line="480" w:lineRule="exact"/>
        <w:ind w:right="40"/>
        <w:jc w:val="left"/>
        <w:rPr>
          <w:rFonts w:ascii="黑体" w:hAnsi="Arial" w:eastAsia="黑体"/>
          <w:bCs/>
          <w:sz w:val="24"/>
          <w:szCs w:val="24"/>
        </w:rPr>
      </w:pPr>
      <w:r>
        <w:rPr>
          <w:rFonts w:hint="eastAsia" w:ascii="黑体" w:hAnsi="Arial" w:eastAsia="黑体"/>
          <w:bCs/>
          <w:sz w:val="24"/>
          <w:szCs w:val="24"/>
        </w:rPr>
        <w:t>注：上表所列内容为不可负偏离条款</w:t>
      </w:r>
      <w:bookmarkEnd w:id="6"/>
    </w:p>
    <w:p w14:paraId="3CF894E4">
      <w:pPr>
        <w:keepNext/>
        <w:keepLines/>
        <w:widowControl w:val="0"/>
        <w:adjustRightInd w:val="0"/>
        <w:spacing w:before="120" w:beforeLines="50" w:after="120" w:afterLines="50"/>
        <w:jc w:val="left"/>
        <w:textAlignment w:val="baseline"/>
        <w:outlineLvl w:val="1"/>
        <w:rPr>
          <w:rFonts w:hint="eastAsia" w:ascii="宋体" w:hAnsi="宋体"/>
          <w:b/>
          <w:bCs/>
          <w:sz w:val="28"/>
          <w:szCs w:val="28"/>
        </w:rPr>
      </w:pPr>
      <w:r>
        <w:rPr>
          <w:rFonts w:hint="eastAsia" w:ascii="宋体" w:hAnsi="宋体"/>
          <w:b/>
          <w:bCs/>
          <w:sz w:val="28"/>
          <w:szCs w:val="28"/>
        </w:rPr>
        <w:t>三、服务与技术要求（带星号*项为必须满足项）</w:t>
      </w:r>
    </w:p>
    <w:p w14:paraId="71537C15">
      <w:pPr>
        <w:spacing w:line="560" w:lineRule="exact"/>
        <w:jc w:val="left"/>
        <w:rPr>
          <w:rFonts w:hint="eastAsia" w:ascii="宋体" w:hAnsi="宋体" w:cs="仿宋_GB2312"/>
          <w:b/>
          <w:bCs/>
          <w:sz w:val="24"/>
          <w:szCs w:val="24"/>
        </w:rPr>
      </w:pPr>
      <w:r>
        <w:rPr>
          <w:rFonts w:hint="eastAsia" w:ascii="宋体" w:hAnsi="宋体" w:cs="仿宋_GB2312"/>
          <w:b/>
          <w:bCs/>
          <w:sz w:val="24"/>
          <w:szCs w:val="24"/>
        </w:rPr>
        <w:t xml:space="preserve">（一）技术要求： </w:t>
      </w:r>
    </w:p>
    <w:p w14:paraId="74CEBB3B">
      <w:pPr>
        <w:spacing w:line="560" w:lineRule="exact"/>
        <w:jc w:val="left"/>
        <w:rPr>
          <w:rFonts w:hint="eastAsia" w:ascii="宋体" w:hAnsi="宋体" w:cs="仿宋_GB2312"/>
          <w:bCs/>
          <w:sz w:val="24"/>
          <w:szCs w:val="24"/>
        </w:rPr>
      </w:pPr>
      <w:r>
        <w:rPr>
          <w:rFonts w:hint="eastAsia" w:ascii="宋体" w:hAnsi="宋体" w:cs="仿宋_GB2312"/>
          <w:bCs/>
          <w:sz w:val="24"/>
          <w:szCs w:val="24"/>
        </w:rPr>
        <w:t>1. * 电池规格：12V-200AH，前置端子设计，嵌入式上接线；</w:t>
      </w:r>
    </w:p>
    <w:p w14:paraId="360A9D6C">
      <w:pPr>
        <w:spacing w:line="560" w:lineRule="exact"/>
        <w:jc w:val="left"/>
        <w:rPr>
          <w:rFonts w:hint="eastAsia" w:ascii="宋体" w:hAnsi="宋体" w:cs="仿宋_GB2312"/>
          <w:bCs/>
          <w:sz w:val="24"/>
          <w:szCs w:val="24"/>
        </w:rPr>
      </w:pPr>
      <w:r>
        <w:rPr>
          <w:rFonts w:hint="eastAsia" w:ascii="宋体" w:hAnsi="宋体" w:cs="仿宋_GB2312"/>
          <w:bCs/>
          <w:sz w:val="24"/>
          <w:szCs w:val="24"/>
        </w:rPr>
        <w:t xml:space="preserve">2. </w:t>
      </w:r>
      <w:r>
        <w:rPr>
          <w:rFonts w:hint="eastAsia" w:ascii="宋体" w:hAnsi="宋体" w:cs="宋体"/>
          <w:bCs/>
          <w:color w:val="000000"/>
        </w:rPr>
        <w:t>▲</w:t>
      </w:r>
      <w:r>
        <w:rPr>
          <w:rFonts w:hint="eastAsia" w:ascii="宋体" w:hAnsi="宋体" w:cs="仿宋_GB2312"/>
          <w:bCs/>
          <w:sz w:val="24"/>
          <w:szCs w:val="24"/>
        </w:rPr>
        <w:t>高功率大电流放电能力，正常恒电流放电电流≥660A；</w:t>
      </w:r>
    </w:p>
    <w:p w14:paraId="77563AB6">
      <w:pPr>
        <w:spacing w:line="560" w:lineRule="exact"/>
        <w:jc w:val="left"/>
        <w:rPr>
          <w:rFonts w:hint="eastAsia" w:ascii="宋体" w:hAnsi="宋体" w:cs="仿宋_GB2312"/>
          <w:bCs/>
          <w:sz w:val="24"/>
          <w:szCs w:val="24"/>
        </w:rPr>
      </w:pPr>
      <w:r>
        <w:rPr>
          <w:rFonts w:hint="eastAsia" w:ascii="宋体" w:hAnsi="宋体" w:cs="仿宋_GB2312"/>
          <w:bCs/>
          <w:sz w:val="24"/>
          <w:szCs w:val="24"/>
        </w:rPr>
        <w:t xml:space="preserve">3. </w:t>
      </w:r>
      <w:r>
        <w:rPr>
          <w:rFonts w:hint="eastAsia" w:ascii="宋体" w:hAnsi="宋体" w:cs="宋体"/>
          <w:bCs/>
          <w:color w:val="000000"/>
        </w:rPr>
        <w:t>▲</w:t>
      </w:r>
      <w:r>
        <w:rPr>
          <w:rFonts w:hint="eastAsia" w:ascii="宋体" w:hAnsi="宋体" w:cs="仿宋_GB2312"/>
          <w:bCs/>
          <w:sz w:val="24"/>
          <w:szCs w:val="24"/>
        </w:rPr>
        <w:t>V0级阻燃材料，ABS一体化安全阀设计；</w:t>
      </w:r>
    </w:p>
    <w:p w14:paraId="77CD40DF">
      <w:pPr>
        <w:spacing w:line="560" w:lineRule="exact"/>
        <w:jc w:val="left"/>
        <w:rPr>
          <w:rFonts w:hint="eastAsia" w:ascii="宋体" w:hAnsi="宋体" w:cs="仿宋_GB2312"/>
          <w:bCs/>
          <w:sz w:val="24"/>
          <w:szCs w:val="24"/>
        </w:rPr>
      </w:pPr>
      <w:r>
        <w:rPr>
          <w:rFonts w:hint="eastAsia" w:ascii="宋体" w:hAnsi="宋体" w:cs="仿宋_GB2312"/>
          <w:bCs/>
          <w:sz w:val="24"/>
          <w:szCs w:val="24"/>
        </w:rPr>
        <w:t xml:space="preserve">4. </w:t>
      </w:r>
      <w:r>
        <w:rPr>
          <w:rFonts w:hint="eastAsia" w:ascii="宋体" w:hAnsi="宋体" w:cs="宋体"/>
          <w:bCs/>
          <w:color w:val="000000"/>
        </w:rPr>
        <w:t>▲</w:t>
      </w:r>
      <w:r>
        <w:rPr>
          <w:rFonts w:hint="eastAsia" w:ascii="宋体" w:hAnsi="宋体" w:cs="仿宋_GB2312"/>
          <w:bCs/>
          <w:sz w:val="24"/>
          <w:szCs w:val="24"/>
        </w:rPr>
        <w:t>开阀压力≤15kpa，闭阀压力≥9kpa；</w:t>
      </w:r>
    </w:p>
    <w:p w14:paraId="61486825">
      <w:pPr>
        <w:spacing w:line="560" w:lineRule="exact"/>
        <w:jc w:val="left"/>
        <w:rPr>
          <w:rFonts w:hint="eastAsia" w:ascii="宋体" w:hAnsi="宋体" w:cs="仿宋_GB2312"/>
          <w:bCs/>
          <w:sz w:val="24"/>
          <w:szCs w:val="24"/>
        </w:rPr>
      </w:pPr>
      <w:r>
        <w:rPr>
          <w:rFonts w:hint="eastAsia" w:ascii="宋体" w:hAnsi="宋体" w:cs="仿宋_GB2312"/>
          <w:bCs/>
          <w:sz w:val="24"/>
          <w:szCs w:val="24"/>
        </w:rPr>
        <w:t>5. 浮充电压 2.25—2.30V/Cell @25℃；</w:t>
      </w:r>
    </w:p>
    <w:p w14:paraId="782EE62F">
      <w:pPr>
        <w:spacing w:line="560" w:lineRule="exact"/>
        <w:jc w:val="left"/>
        <w:rPr>
          <w:rFonts w:hint="eastAsia" w:ascii="宋体" w:hAnsi="宋体" w:cs="仿宋_GB2312"/>
          <w:bCs/>
          <w:sz w:val="24"/>
          <w:szCs w:val="24"/>
        </w:rPr>
      </w:pPr>
      <w:r>
        <w:rPr>
          <w:rFonts w:hint="eastAsia" w:ascii="宋体" w:hAnsi="宋体" w:cs="仿宋_GB2312"/>
          <w:bCs/>
          <w:sz w:val="24"/>
          <w:szCs w:val="24"/>
        </w:rPr>
        <w:t>6. 使用温度范围 -20℃- +50℃；</w:t>
      </w:r>
    </w:p>
    <w:p w14:paraId="0AAB43AB">
      <w:pPr>
        <w:spacing w:line="560" w:lineRule="exact"/>
        <w:jc w:val="left"/>
        <w:rPr>
          <w:rFonts w:hint="eastAsia" w:ascii="宋体" w:hAnsi="宋体" w:cs="仿宋_GB2312"/>
          <w:bCs/>
          <w:sz w:val="24"/>
          <w:szCs w:val="24"/>
        </w:rPr>
      </w:pPr>
      <w:r>
        <w:rPr>
          <w:rFonts w:hint="eastAsia" w:ascii="宋体" w:hAnsi="宋体" w:cs="仿宋_GB2312"/>
          <w:bCs/>
          <w:sz w:val="24"/>
          <w:szCs w:val="24"/>
        </w:rPr>
        <w:t>7. * 长寿命设计，设计寿命大于10年；</w:t>
      </w:r>
    </w:p>
    <w:p w14:paraId="30131A29">
      <w:pPr>
        <w:spacing w:line="560" w:lineRule="exact"/>
        <w:jc w:val="left"/>
        <w:rPr>
          <w:rFonts w:hint="eastAsia" w:ascii="宋体" w:hAnsi="宋体" w:cs="仿宋_GB2312"/>
          <w:bCs/>
          <w:sz w:val="24"/>
          <w:szCs w:val="24"/>
        </w:rPr>
      </w:pPr>
      <w:r>
        <w:rPr>
          <w:rFonts w:hint="eastAsia" w:ascii="宋体" w:hAnsi="宋体" w:cs="仿宋_GB2312"/>
          <w:bCs/>
          <w:sz w:val="24"/>
          <w:szCs w:val="24"/>
        </w:rPr>
        <w:t>8.</w:t>
      </w:r>
      <w:r>
        <w:rPr>
          <w:rFonts w:hint="eastAsia" w:ascii="宋体" w:hAnsi="宋体" w:cs="宋体"/>
          <w:bCs/>
          <w:color w:val="000000"/>
        </w:rPr>
        <w:t xml:space="preserve"> ▲</w:t>
      </w:r>
      <w:r>
        <w:rPr>
          <w:rFonts w:hint="eastAsia" w:ascii="宋体" w:hAnsi="宋体" w:cs="仿宋_GB2312"/>
          <w:bCs/>
          <w:sz w:val="24"/>
          <w:szCs w:val="24"/>
        </w:rPr>
        <w:t>重量≥57KG（12V-200AH）；</w:t>
      </w:r>
      <w:r>
        <w:rPr>
          <w:rFonts w:ascii="宋体" w:hAnsi="宋体" w:cs="仿宋_GB2312"/>
          <w:bCs/>
          <w:sz w:val="24"/>
          <w:szCs w:val="24"/>
        </w:rPr>
        <w:t xml:space="preserve"> </w:t>
      </w:r>
    </w:p>
    <w:p w14:paraId="61F3EC5C">
      <w:pPr>
        <w:spacing w:line="560" w:lineRule="exact"/>
        <w:jc w:val="left"/>
        <w:rPr>
          <w:rFonts w:hint="eastAsia" w:ascii="宋体" w:hAnsi="宋体" w:cs="仿宋_GB2312"/>
          <w:bCs/>
          <w:sz w:val="24"/>
          <w:szCs w:val="24"/>
        </w:rPr>
      </w:pPr>
      <w:r>
        <w:rPr>
          <w:rFonts w:hint="eastAsia" w:ascii="宋体" w:hAnsi="宋体" w:cs="仿宋_GB2312"/>
          <w:bCs/>
          <w:sz w:val="24"/>
          <w:szCs w:val="24"/>
        </w:rPr>
        <w:t>9.</w:t>
      </w:r>
      <w:r>
        <w:rPr>
          <w:rFonts w:hint="eastAsia" w:ascii="宋体" w:hAnsi="宋体" w:cs="宋体"/>
          <w:bCs/>
          <w:color w:val="000000"/>
        </w:rPr>
        <w:t xml:space="preserve"> ▲</w:t>
      </w:r>
      <w:r>
        <w:rPr>
          <w:rFonts w:hint="eastAsia" w:ascii="宋体" w:hAnsi="宋体" w:cs="仿宋_GB2312"/>
          <w:bCs/>
          <w:sz w:val="24"/>
          <w:szCs w:val="24"/>
        </w:rPr>
        <w:t>提供投标产品彩页盖章件；</w:t>
      </w:r>
    </w:p>
    <w:p w14:paraId="46C4082B">
      <w:pPr>
        <w:spacing w:line="560" w:lineRule="exact"/>
        <w:jc w:val="left"/>
        <w:rPr>
          <w:rFonts w:hint="eastAsia" w:ascii="宋体" w:hAnsi="宋体" w:cs="仿宋_GB2312"/>
          <w:bCs/>
          <w:sz w:val="24"/>
          <w:szCs w:val="24"/>
        </w:rPr>
      </w:pPr>
      <w:r>
        <w:rPr>
          <w:rFonts w:hint="eastAsia" w:ascii="宋体" w:hAnsi="宋体" w:cs="仿宋_GB2312"/>
          <w:bCs/>
          <w:sz w:val="24"/>
          <w:szCs w:val="24"/>
        </w:rPr>
        <w:t>10.</w:t>
      </w:r>
      <w:r>
        <w:rPr>
          <w:rFonts w:hint="eastAsia" w:ascii="宋体" w:hAnsi="宋体" w:cs="宋体"/>
          <w:bCs/>
          <w:color w:val="000000"/>
        </w:rPr>
        <w:t xml:space="preserve"> ▲</w:t>
      </w:r>
      <w:r>
        <w:rPr>
          <w:rFonts w:hint="eastAsia" w:ascii="宋体" w:hAnsi="宋体" w:cs="仿宋_GB2312"/>
          <w:bCs/>
          <w:sz w:val="24"/>
          <w:szCs w:val="24"/>
        </w:rPr>
        <w:t>产品厂家针对此项目的投标授权书。</w:t>
      </w:r>
    </w:p>
    <w:p w14:paraId="75D50DA8">
      <w:pPr>
        <w:spacing w:line="560" w:lineRule="exact"/>
        <w:jc w:val="left"/>
        <w:rPr>
          <w:rFonts w:hint="eastAsia" w:ascii="宋体" w:hAnsi="宋体" w:cs="仿宋_GB2312"/>
          <w:b/>
          <w:bCs/>
          <w:sz w:val="24"/>
          <w:szCs w:val="24"/>
        </w:rPr>
      </w:pPr>
      <w:r>
        <w:rPr>
          <w:rFonts w:hint="eastAsia" w:ascii="宋体" w:hAnsi="宋体" w:cs="仿宋_GB2312"/>
          <w:b/>
          <w:bCs/>
          <w:sz w:val="24"/>
          <w:szCs w:val="24"/>
        </w:rPr>
        <w:t>（二）系统兼容性（12V-200AH）：</w:t>
      </w:r>
    </w:p>
    <w:p w14:paraId="3A4A1532">
      <w:pPr>
        <w:spacing w:line="560" w:lineRule="exact"/>
        <w:jc w:val="left"/>
        <w:rPr>
          <w:rFonts w:hint="eastAsia" w:ascii="宋体" w:hAnsi="宋体" w:cs="仿宋_GB2312"/>
          <w:bCs/>
          <w:sz w:val="24"/>
          <w:szCs w:val="24"/>
        </w:rPr>
      </w:pPr>
      <w:r>
        <w:rPr>
          <w:rFonts w:hint="eastAsia" w:ascii="宋体" w:hAnsi="宋体" w:cs="仿宋_GB2312"/>
          <w:bCs/>
          <w:sz w:val="24"/>
          <w:szCs w:val="24"/>
        </w:rPr>
        <w:t xml:space="preserve">    1.* 满足电池柜利旧，电池尺寸满足533X240X225（长X宽X高）规格内，UPS机房空间有限；</w:t>
      </w:r>
    </w:p>
    <w:p w14:paraId="30C52D14">
      <w:pPr>
        <w:spacing w:line="560" w:lineRule="exact"/>
        <w:jc w:val="left"/>
        <w:rPr>
          <w:rFonts w:hint="eastAsia" w:ascii="宋体" w:hAnsi="宋体" w:cs="仿宋_GB2312"/>
          <w:bCs/>
          <w:sz w:val="24"/>
          <w:szCs w:val="24"/>
        </w:rPr>
      </w:pPr>
      <w:r>
        <w:rPr>
          <w:rFonts w:hint="eastAsia" w:ascii="宋体" w:hAnsi="宋体" w:cs="仿宋_GB2312"/>
          <w:bCs/>
          <w:sz w:val="24"/>
          <w:szCs w:val="24"/>
        </w:rPr>
        <w:t xml:space="preserve">    2. * 满足电池铜排及系统联接电缆复用；</w:t>
      </w:r>
    </w:p>
    <w:p w14:paraId="4B63E8C3">
      <w:pPr>
        <w:spacing w:line="560" w:lineRule="exact"/>
        <w:jc w:val="left"/>
        <w:rPr>
          <w:rFonts w:hint="eastAsia" w:ascii="宋体" w:hAnsi="宋体" w:cs="仿宋_GB2312"/>
          <w:bCs/>
          <w:sz w:val="24"/>
          <w:szCs w:val="24"/>
        </w:rPr>
      </w:pPr>
      <w:r>
        <w:rPr>
          <w:rFonts w:hint="eastAsia" w:ascii="宋体" w:hAnsi="宋体" w:cs="仿宋_GB2312"/>
          <w:bCs/>
          <w:sz w:val="24"/>
          <w:szCs w:val="24"/>
        </w:rPr>
        <w:t xml:space="preserve">    3. </w:t>
      </w:r>
      <w:r>
        <w:rPr>
          <w:rFonts w:hint="eastAsia" w:ascii="宋体" w:hAnsi="宋体" w:cs="宋体"/>
          <w:bCs/>
          <w:color w:val="000000"/>
        </w:rPr>
        <w:t>▲</w:t>
      </w:r>
      <w:r>
        <w:rPr>
          <w:rFonts w:hint="eastAsia" w:ascii="宋体" w:hAnsi="宋体" w:cs="仿宋_GB2312"/>
          <w:bCs/>
          <w:sz w:val="24"/>
          <w:szCs w:val="24"/>
        </w:rPr>
        <w:t>原电池组有叁组电池并联，新采购的电池组安装更换时需做到新旧系统切换时间＜5分钟内。</w:t>
      </w:r>
    </w:p>
    <w:p w14:paraId="72D5E441">
      <w:pPr>
        <w:spacing w:line="560" w:lineRule="exact"/>
        <w:jc w:val="left"/>
        <w:rPr>
          <w:rFonts w:hint="eastAsia" w:ascii="宋体" w:hAnsi="宋体" w:cs="仿宋_GB2312"/>
          <w:b/>
          <w:bCs/>
          <w:sz w:val="24"/>
          <w:szCs w:val="24"/>
        </w:rPr>
      </w:pPr>
      <w:r>
        <w:rPr>
          <w:rFonts w:hint="eastAsia" w:ascii="宋体" w:hAnsi="宋体" w:cs="仿宋_GB2312"/>
          <w:b/>
          <w:bCs/>
          <w:sz w:val="24"/>
          <w:szCs w:val="24"/>
        </w:rPr>
        <w:t>（三）* 质保期内每年四次电池组检查：</w:t>
      </w:r>
    </w:p>
    <w:p w14:paraId="2AD4B810">
      <w:pPr>
        <w:spacing w:line="560" w:lineRule="exact"/>
        <w:jc w:val="left"/>
        <w:rPr>
          <w:rFonts w:hint="eastAsia" w:ascii="宋体" w:hAnsi="宋体" w:cs="仿宋_GB2312"/>
          <w:bCs/>
          <w:sz w:val="24"/>
          <w:szCs w:val="24"/>
        </w:rPr>
      </w:pPr>
      <w:r>
        <w:rPr>
          <w:rFonts w:hint="eastAsia" w:ascii="宋体" w:hAnsi="宋体" w:cs="仿宋_GB2312"/>
          <w:bCs/>
          <w:sz w:val="24"/>
          <w:szCs w:val="24"/>
        </w:rPr>
        <w:t>1.</w:t>
      </w:r>
      <w:r>
        <w:rPr>
          <w:rFonts w:hint="eastAsia" w:ascii="宋体" w:hAnsi="宋体" w:cs="仿宋_GB2312"/>
          <w:bCs/>
          <w:sz w:val="24"/>
          <w:szCs w:val="24"/>
        </w:rPr>
        <w:tab/>
      </w:r>
      <w:r>
        <w:rPr>
          <w:rFonts w:hint="eastAsia" w:ascii="宋体" w:hAnsi="宋体" w:cs="仿宋_GB2312"/>
          <w:bCs/>
          <w:sz w:val="24"/>
          <w:szCs w:val="24"/>
        </w:rPr>
        <w:t>检查接线端子接触是否良好；</w:t>
      </w:r>
    </w:p>
    <w:p w14:paraId="096EEED8">
      <w:pPr>
        <w:spacing w:line="560" w:lineRule="exact"/>
        <w:jc w:val="left"/>
        <w:rPr>
          <w:rFonts w:hint="eastAsia" w:ascii="宋体" w:hAnsi="宋体" w:cs="仿宋_GB2312"/>
          <w:bCs/>
          <w:sz w:val="24"/>
          <w:szCs w:val="24"/>
        </w:rPr>
      </w:pPr>
      <w:r>
        <w:rPr>
          <w:rFonts w:hint="eastAsia" w:ascii="宋体" w:hAnsi="宋体" w:cs="仿宋_GB2312"/>
          <w:bCs/>
          <w:sz w:val="24"/>
          <w:szCs w:val="24"/>
        </w:rPr>
        <w:t>2.</w:t>
      </w:r>
      <w:r>
        <w:rPr>
          <w:rFonts w:hint="eastAsia" w:ascii="宋体" w:hAnsi="宋体" w:cs="仿宋_GB2312"/>
          <w:bCs/>
          <w:sz w:val="24"/>
          <w:szCs w:val="24"/>
        </w:rPr>
        <w:tab/>
      </w:r>
      <w:r>
        <w:rPr>
          <w:rFonts w:hint="eastAsia" w:ascii="宋体" w:hAnsi="宋体" w:cs="仿宋_GB2312"/>
          <w:bCs/>
          <w:sz w:val="24"/>
          <w:szCs w:val="24"/>
        </w:rPr>
        <w:t>电池有无漏液现象；</w:t>
      </w:r>
    </w:p>
    <w:p w14:paraId="5E14BB91">
      <w:pPr>
        <w:spacing w:line="560" w:lineRule="exact"/>
        <w:jc w:val="left"/>
        <w:rPr>
          <w:rFonts w:hint="eastAsia" w:ascii="宋体" w:hAnsi="宋体" w:cs="仿宋_GB2312"/>
          <w:bCs/>
          <w:sz w:val="24"/>
          <w:szCs w:val="24"/>
        </w:rPr>
      </w:pPr>
      <w:r>
        <w:rPr>
          <w:rFonts w:hint="eastAsia" w:ascii="宋体" w:hAnsi="宋体" w:cs="仿宋_GB2312"/>
          <w:bCs/>
          <w:sz w:val="24"/>
          <w:szCs w:val="24"/>
        </w:rPr>
        <w:t>3.</w:t>
      </w:r>
      <w:r>
        <w:rPr>
          <w:rFonts w:hint="eastAsia" w:ascii="宋体" w:hAnsi="宋体" w:cs="仿宋_GB2312"/>
          <w:bCs/>
          <w:sz w:val="24"/>
          <w:szCs w:val="24"/>
        </w:rPr>
        <w:tab/>
      </w:r>
      <w:r>
        <w:rPr>
          <w:rFonts w:hint="eastAsia" w:ascii="宋体" w:hAnsi="宋体" w:cs="仿宋_GB2312"/>
          <w:bCs/>
          <w:sz w:val="24"/>
          <w:szCs w:val="24"/>
        </w:rPr>
        <w:t>充放电时检测各电池的一致性（包括电池内组，温度）。</w:t>
      </w:r>
    </w:p>
    <w:p w14:paraId="1F0B623D">
      <w:pPr>
        <w:spacing w:line="560" w:lineRule="exact"/>
        <w:jc w:val="left"/>
        <w:rPr>
          <w:rFonts w:hint="eastAsia" w:ascii="宋体" w:hAnsi="宋体" w:cs="仿宋_GB2312"/>
          <w:b/>
          <w:bCs/>
          <w:sz w:val="24"/>
          <w:szCs w:val="24"/>
        </w:rPr>
      </w:pPr>
      <w:r>
        <w:rPr>
          <w:rFonts w:hint="eastAsia" w:ascii="宋体" w:hAnsi="宋体" w:cs="仿宋_GB2312"/>
          <w:b/>
          <w:bCs/>
          <w:sz w:val="24"/>
          <w:szCs w:val="24"/>
        </w:rPr>
        <w:t>（四）质保期：* 3年，质保期内含免费人工费及差旅费。</w:t>
      </w:r>
    </w:p>
    <w:p w14:paraId="2ECE62DF">
      <w:pPr>
        <w:spacing w:line="560" w:lineRule="exact"/>
        <w:jc w:val="left"/>
        <w:rPr>
          <w:rFonts w:hint="eastAsia" w:ascii="宋体" w:hAnsi="宋体" w:cs="仿宋_GB2312"/>
          <w:b/>
          <w:bCs/>
          <w:sz w:val="24"/>
          <w:szCs w:val="24"/>
        </w:rPr>
      </w:pPr>
      <w:r>
        <w:rPr>
          <w:rFonts w:hint="eastAsia" w:ascii="宋体" w:hAnsi="宋体" w:cs="仿宋_GB2312"/>
          <w:b/>
          <w:bCs/>
          <w:sz w:val="24"/>
          <w:szCs w:val="24"/>
        </w:rPr>
        <w:t>（五）供货期：* ≤14天。</w:t>
      </w:r>
    </w:p>
    <w:p w14:paraId="1A794951">
      <w:pPr>
        <w:spacing w:line="560" w:lineRule="exact"/>
        <w:jc w:val="left"/>
        <w:rPr>
          <w:rFonts w:hint="eastAsia" w:ascii="宋体" w:hAnsi="宋体" w:cs="仿宋_GB2312"/>
          <w:b/>
          <w:bCs/>
          <w:sz w:val="24"/>
          <w:szCs w:val="24"/>
        </w:rPr>
      </w:pPr>
      <w:r>
        <w:rPr>
          <w:rFonts w:hint="eastAsia" w:ascii="宋体" w:hAnsi="宋体" w:cs="仿宋_GB2312"/>
          <w:b/>
          <w:bCs/>
          <w:sz w:val="24"/>
          <w:szCs w:val="24"/>
        </w:rPr>
        <w:t>（六）* 服务响应要求：电池故障0.5小时响应，1小时到现场，24小时内更换，恢复电源正常供电。</w:t>
      </w:r>
    </w:p>
    <w:p w14:paraId="22513020">
      <w:pPr>
        <w:spacing w:line="560" w:lineRule="exact"/>
        <w:jc w:val="left"/>
        <w:rPr>
          <w:rFonts w:hint="eastAsia" w:ascii="宋体" w:hAnsi="宋体" w:cs="仿宋_GB2312"/>
          <w:b/>
          <w:bCs/>
          <w:sz w:val="24"/>
          <w:szCs w:val="24"/>
        </w:rPr>
      </w:pPr>
      <w:r>
        <w:rPr>
          <w:rFonts w:hint="eastAsia" w:ascii="宋体" w:hAnsi="宋体" w:cs="仿宋_GB2312"/>
          <w:b/>
          <w:bCs/>
          <w:sz w:val="24"/>
          <w:szCs w:val="24"/>
        </w:rPr>
        <w:t>（七）* 中标人为本项目设备清单内电池系统的运行稳定、运行安全、运行效率的维护服务包括：咨询服务、例行维护服务、应急维护服务和培训服务及设备维修人工差旅费。</w:t>
      </w:r>
    </w:p>
    <w:p w14:paraId="22EF98E7">
      <w:pPr>
        <w:spacing w:line="560" w:lineRule="exact"/>
        <w:jc w:val="left"/>
        <w:rPr>
          <w:rFonts w:hint="eastAsia" w:ascii="宋体" w:hAnsi="宋体" w:cs="仿宋_GB2312"/>
          <w:b/>
          <w:sz w:val="24"/>
          <w:szCs w:val="24"/>
        </w:rPr>
      </w:pPr>
      <w:r>
        <w:rPr>
          <w:rFonts w:hint="eastAsia" w:ascii="宋体" w:hAnsi="宋体" w:cs="仿宋_GB2312"/>
          <w:b/>
          <w:bCs/>
          <w:sz w:val="24"/>
          <w:szCs w:val="24"/>
        </w:rPr>
        <w:t>（八）* 报价包含新旧电池拆装及电池搬运就位工作，也包含设备清单里备注部分。</w:t>
      </w:r>
    </w:p>
    <w:p w14:paraId="2F116868">
      <w:pPr>
        <w:widowControl w:val="0"/>
        <w:spacing w:line="360" w:lineRule="auto"/>
        <w:jc w:val="left"/>
        <w:rPr>
          <w:rFonts w:hint="eastAsia" w:ascii="宋体" w:hAnsi="宋体" w:cs="宋体"/>
          <w:color w:val="000000"/>
          <w:sz w:val="24"/>
          <w:szCs w:val="24"/>
        </w:rPr>
      </w:pPr>
    </w:p>
    <w:p w14:paraId="525FF499">
      <w:pPr>
        <w:widowControl w:val="0"/>
        <w:adjustRightInd w:val="0"/>
        <w:spacing w:before="120" w:beforeLines="50" w:after="120" w:afterLines="50"/>
        <w:jc w:val="center"/>
        <w:textAlignment w:val="baseline"/>
        <w:outlineLvl w:val="1"/>
        <w:rPr>
          <w:b/>
          <w:sz w:val="28"/>
          <w:szCs w:val="28"/>
        </w:rPr>
      </w:pPr>
      <w:r>
        <w:rPr>
          <w:sz w:val="28"/>
          <w:szCs w:val="28"/>
        </w:rPr>
        <w:br w:type="page"/>
      </w:r>
      <w:r>
        <w:rPr>
          <w:rFonts w:hint="eastAsia"/>
          <w:b/>
          <w:sz w:val="28"/>
          <w:szCs w:val="28"/>
        </w:rPr>
        <w:t>四、商务需求</w:t>
      </w:r>
    </w:p>
    <w:p w14:paraId="28A09FBF">
      <w:pPr>
        <w:widowControl w:val="0"/>
        <w:ind w:firstLine="422" w:firstLineChars="200"/>
        <w:rPr>
          <w:b/>
          <w:kern w:val="2"/>
        </w:rPr>
      </w:pPr>
      <w:r>
        <w:rPr>
          <w:rFonts w:hint="eastAsia"/>
          <w:b/>
          <w:kern w:val="2"/>
        </w:rPr>
        <w:t>说明：1、带“</w:t>
      </w:r>
      <w:r>
        <w:rPr>
          <w:rFonts w:hint="eastAsia" w:ascii="宋体" w:hAnsi="宋体" w:cs="宋体"/>
          <w:b/>
          <w:kern w:val="2"/>
        </w:rPr>
        <w:t>★</w:t>
      </w:r>
      <w:r>
        <w:rPr>
          <w:rFonts w:hint="eastAsia"/>
          <w:b/>
          <w:kern w:val="2"/>
        </w:rPr>
        <w:t>”指标项为关键需求，如出现负偏离，将被视为未实质性满足招标文件要求作投标无效处理。</w:t>
      </w:r>
    </w:p>
    <w:p w14:paraId="67656355">
      <w:pPr>
        <w:widowControl w:val="0"/>
        <w:ind w:firstLine="422" w:firstLineChars="200"/>
        <w:rPr>
          <w:kern w:val="2"/>
          <w:szCs w:val="24"/>
        </w:rPr>
      </w:pPr>
      <w:r>
        <w:rPr>
          <w:rFonts w:hint="eastAsia"/>
          <w:b/>
          <w:kern w:val="2"/>
          <w:szCs w:val="24"/>
        </w:rPr>
        <w:t>2、评分时，如对一项招标商务需求（以划分框为准，一个划分框是作为一项招标商务需求）中的内容存在两处（或以上）负偏离的，在评分时只作一项负偏离扣分。</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16"/>
        <w:gridCol w:w="6889"/>
      </w:tblGrid>
      <w:tr w14:paraId="1EDF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65C588D3">
            <w:pPr>
              <w:widowControl w:val="0"/>
              <w:jc w:val="center"/>
              <w:rPr>
                <w:b/>
                <w:kern w:val="2"/>
                <w:szCs w:val="24"/>
              </w:rPr>
            </w:pPr>
            <w:r>
              <w:rPr>
                <w:rFonts w:hint="eastAsia"/>
                <w:b/>
                <w:kern w:val="2"/>
                <w:szCs w:val="24"/>
              </w:rPr>
              <w:t>序号</w:t>
            </w:r>
          </w:p>
        </w:tc>
        <w:tc>
          <w:tcPr>
            <w:tcW w:w="1616" w:type="dxa"/>
            <w:vAlign w:val="center"/>
          </w:tcPr>
          <w:p w14:paraId="32ABFF4C">
            <w:pPr>
              <w:widowControl w:val="0"/>
              <w:jc w:val="center"/>
              <w:rPr>
                <w:b/>
                <w:kern w:val="2"/>
                <w:szCs w:val="24"/>
              </w:rPr>
            </w:pPr>
            <w:r>
              <w:rPr>
                <w:rFonts w:hint="eastAsia"/>
                <w:b/>
                <w:kern w:val="2"/>
                <w:szCs w:val="24"/>
              </w:rPr>
              <w:t>目录</w:t>
            </w:r>
          </w:p>
        </w:tc>
        <w:tc>
          <w:tcPr>
            <w:tcW w:w="6889" w:type="dxa"/>
            <w:vAlign w:val="center"/>
          </w:tcPr>
          <w:p w14:paraId="1870AEBE">
            <w:pPr>
              <w:widowControl w:val="0"/>
              <w:jc w:val="center"/>
              <w:rPr>
                <w:b/>
                <w:kern w:val="2"/>
                <w:szCs w:val="24"/>
              </w:rPr>
            </w:pPr>
            <w:r>
              <w:rPr>
                <w:rFonts w:hint="eastAsia"/>
                <w:b/>
                <w:kern w:val="2"/>
                <w:szCs w:val="24"/>
              </w:rPr>
              <w:t>招标商务需求</w:t>
            </w:r>
          </w:p>
        </w:tc>
      </w:tr>
      <w:tr w14:paraId="5D62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214" w:type="dxa"/>
            <w:gridSpan w:val="3"/>
          </w:tcPr>
          <w:p w14:paraId="1C528C79">
            <w:pPr>
              <w:widowControl w:val="0"/>
              <w:rPr>
                <w:b/>
                <w:kern w:val="2"/>
                <w:szCs w:val="24"/>
              </w:rPr>
            </w:pPr>
            <w:r>
              <w:rPr>
                <w:rFonts w:hint="eastAsia"/>
                <w:b/>
                <w:kern w:val="2"/>
                <w:szCs w:val="24"/>
              </w:rPr>
              <w:t>（一）免费保修期内售后服务要求</w:t>
            </w:r>
          </w:p>
        </w:tc>
      </w:tr>
      <w:tr w14:paraId="5C44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9" w:type="dxa"/>
            <w:vMerge w:val="restart"/>
            <w:vAlign w:val="center"/>
          </w:tcPr>
          <w:p w14:paraId="2BC4B283">
            <w:pPr>
              <w:jc w:val="center"/>
              <w:rPr>
                <w:rFonts w:hint="eastAsia" w:ascii="宋体" w:hAnsi="宋体" w:cs="宋体"/>
                <w:b/>
                <w:bCs/>
              </w:rPr>
            </w:pPr>
            <w:r>
              <w:rPr>
                <w:rFonts w:hint="eastAsia" w:ascii="宋体" w:hAnsi="宋体" w:cs="宋体"/>
                <w:b/>
                <w:bCs/>
              </w:rPr>
              <w:t>1</w:t>
            </w:r>
          </w:p>
        </w:tc>
        <w:tc>
          <w:tcPr>
            <w:tcW w:w="1616" w:type="dxa"/>
            <w:vMerge w:val="restart"/>
            <w:vAlign w:val="center"/>
          </w:tcPr>
          <w:p w14:paraId="12E329F6">
            <w:pPr>
              <w:jc w:val="center"/>
              <w:rPr>
                <w:rFonts w:hint="eastAsia" w:ascii="宋体" w:hAnsi="宋体" w:cs="宋体"/>
                <w:b/>
                <w:bCs/>
              </w:rPr>
            </w:pPr>
            <w:r>
              <w:rPr>
                <w:rFonts w:hint="eastAsia" w:ascii="宋体" w:hAnsi="宋体" w:cs="宋体"/>
                <w:b/>
                <w:bCs/>
              </w:rPr>
              <w:t>免费保修期</w:t>
            </w:r>
          </w:p>
        </w:tc>
        <w:tc>
          <w:tcPr>
            <w:tcW w:w="6889" w:type="dxa"/>
          </w:tcPr>
          <w:p w14:paraId="4FE42F63">
            <w:pPr>
              <w:rPr>
                <w:rFonts w:hint="eastAsia" w:ascii="宋体" w:hAnsi="宋体" w:cs="宋体"/>
                <w:b/>
              </w:rPr>
            </w:pPr>
            <w:r>
              <w:rPr>
                <w:rFonts w:hint="eastAsia" w:ascii="宋体" w:hAnsi="宋体" w:cs="宋体"/>
                <w:bCs/>
              </w:rPr>
              <w:t>★1.货物类免费保修期为</w:t>
            </w:r>
            <w:r>
              <w:rPr>
                <w:rFonts w:hint="eastAsia" w:ascii="宋体" w:hAnsi="宋体" w:cs="宋体"/>
                <w:bCs/>
                <w:color w:val="FF0000"/>
                <w:u w:val="single"/>
              </w:rPr>
              <w:t>3</w:t>
            </w:r>
            <w:r>
              <w:rPr>
                <w:rFonts w:hint="eastAsia" w:ascii="宋体" w:hAnsi="宋体" w:cs="宋体"/>
                <w:bCs/>
              </w:rPr>
              <w:t>年，时间自最终验收合格之日起计算。</w:t>
            </w:r>
          </w:p>
        </w:tc>
      </w:tr>
      <w:tr w14:paraId="291D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9" w:type="dxa"/>
            <w:vMerge w:val="continue"/>
            <w:vAlign w:val="center"/>
          </w:tcPr>
          <w:p w14:paraId="47788B5E">
            <w:pPr>
              <w:jc w:val="center"/>
              <w:rPr>
                <w:rFonts w:hint="eastAsia" w:ascii="宋体" w:hAnsi="宋体" w:cs="宋体"/>
                <w:b/>
                <w:bCs/>
              </w:rPr>
            </w:pPr>
          </w:p>
        </w:tc>
        <w:tc>
          <w:tcPr>
            <w:tcW w:w="1616" w:type="dxa"/>
            <w:vMerge w:val="continue"/>
            <w:vAlign w:val="center"/>
          </w:tcPr>
          <w:p w14:paraId="6FE98CAA">
            <w:pPr>
              <w:jc w:val="center"/>
              <w:rPr>
                <w:rFonts w:hint="eastAsia" w:ascii="宋体" w:hAnsi="宋体" w:cs="宋体"/>
                <w:b/>
                <w:bCs/>
              </w:rPr>
            </w:pPr>
          </w:p>
        </w:tc>
        <w:tc>
          <w:tcPr>
            <w:tcW w:w="6889" w:type="dxa"/>
          </w:tcPr>
          <w:p w14:paraId="318DFD01">
            <w:pPr>
              <w:rPr>
                <w:rFonts w:hint="eastAsia" w:ascii="宋体" w:hAnsi="宋体" w:cs="宋体"/>
                <w:bCs/>
              </w:rPr>
            </w:pPr>
            <w:r>
              <w:rPr>
                <w:rFonts w:hint="eastAsia" w:ascii="宋体" w:hAnsi="宋体" w:cs="宋体"/>
                <w:bCs/>
              </w:rPr>
              <w:t>★2.施工类免费质保期为</w:t>
            </w:r>
            <w:r>
              <w:rPr>
                <w:rFonts w:hint="eastAsia" w:ascii="宋体" w:hAnsi="宋体" w:cs="宋体"/>
                <w:bCs/>
                <w:u w:val="single"/>
              </w:rPr>
              <w:t xml:space="preserve"> 3 </w:t>
            </w:r>
            <w:r>
              <w:rPr>
                <w:rFonts w:hint="eastAsia" w:ascii="宋体" w:hAnsi="宋体" w:cs="宋体"/>
                <w:bCs/>
              </w:rPr>
              <w:t>年，时间自最终验收合格之日起计算。</w:t>
            </w:r>
          </w:p>
        </w:tc>
      </w:tr>
      <w:tr w14:paraId="52B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9" w:type="dxa"/>
            <w:vMerge w:val="continue"/>
            <w:vAlign w:val="center"/>
          </w:tcPr>
          <w:p w14:paraId="5821575A">
            <w:pPr>
              <w:jc w:val="center"/>
              <w:rPr>
                <w:rFonts w:hint="eastAsia" w:ascii="宋体" w:hAnsi="宋体" w:cs="宋体"/>
                <w:b/>
                <w:bCs/>
              </w:rPr>
            </w:pPr>
          </w:p>
        </w:tc>
        <w:tc>
          <w:tcPr>
            <w:tcW w:w="1616" w:type="dxa"/>
            <w:vMerge w:val="continue"/>
            <w:vAlign w:val="center"/>
          </w:tcPr>
          <w:p w14:paraId="1A3C5841">
            <w:pPr>
              <w:rPr>
                <w:rFonts w:hint="eastAsia" w:ascii="宋体" w:hAnsi="宋体" w:cs="宋体"/>
                <w:b/>
                <w:bCs/>
              </w:rPr>
            </w:pPr>
          </w:p>
        </w:tc>
        <w:tc>
          <w:tcPr>
            <w:tcW w:w="6889" w:type="dxa"/>
            <w:vAlign w:val="center"/>
          </w:tcPr>
          <w:p w14:paraId="1D392D93">
            <w:pPr>
              <w:rPr>
                <w:rFonts w:hint="eastAsia" w:ascii="宋体" w:hAnsi="宋体" w:cs="宋体"/>
                <w:bCs/>
              </w:rPr>
            </w:pPr>
            <w:r>
              <w:rPr>
                <w:rFonts w:hint="eastAsia" w:ascii="宋体" w:hAnsi="宋体" w:cs="宋体"/>
                <w:bCs/>
              </w:rPr>
              <w:t>★3.免费保修期内，</w:t>
            </w:r>
            <w:r>
              <w:rPr>
                <w:rFonts w:hint="eastAsia" w:ascii="宋体" w:hAnsi="宋体" w:cs="宋体"/>
                <w:color w:val="000000"/>
              </w:rPr>
              <w:t>所有服务及配件全部免费。</w:t>
            </w:r>
          </w:p>
        </w:tc>
      </w:tr>
      <w:tr w14:paraId="59D9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9" w:type="dxa"/>
            <w:vAlign w:val="center"/>
          </w:tcPr>
          <w:p w14:paraId="6E968A0C">
            <w:pPr>
              <w:jc w:val="center"/>
              <w:rPr>
                <w:rFonts w:hint="eastAsia" w:ascii="宋体" w:hAnsi="宋体" w:cs="宋体"/>
                <w:b/>
                <w:bCs/>
              </w:rPr>
            </w:pPr>
            <w:r>
              <w:rPr>
                <w:rFonts w:hint="eastAsia" w:ascii="宋体" w:hAnsi="宋体" w:cs="宋体"/>
                <w:b/>
                <w:bCs/>
              </w:rPr>
              <w:t>2</w:t>
            </w:r>
          </w:p>
        </w:tc>
        <w:tc>
          <w:tcPr>
            <w:tcW w:w="1616" w:type="dxa"/>
            <w:vAlign w:val="center"/>
          </w:tcPr>
          <w:p w14:paraId="5F47F1E2">
            <w:pPr>
              <w:jc w:val="center"/>
              <w:rPr>
                <w:rFonts w:hint="eastAsia" w:ascii="宋体" w:hAnsi="宋体" w:cs="宋体"/>
                <w:b/>
                <w:bCs/>
              </w:rPr>
            </w:pPr>
            <w:r>
              <w:rPr>
                <w:rFonts w:hint="eastAsia" w:ascii="宋体" w:hAnsi="宋体" w:cs="宋体"/>
                <w:b/>
                <w:bCs/>
              </w:rPr>
              <w:t>安装调试</w:t>
            </w:r>
          </w:p>
        </w:tc>
        <w:tc>
          <w:tcPr>
            <w:tcW w:w="6889" w:type="dxa"/>
            <w:vAlign w:val="center"/>
          </w:tcPr>
          <w:p w14:paraId="7631A265">
            <w:pPr>
              <w:rPr>
                <w:rFonts w:hint="eastAsia" w:ascii="宋体" w:hAnsi="宋体" w:cs="宋体"/>
                <w:bCs/>
              </w:rPr>
            </w:pPr>
            <w:r>
              <w:rPr>
                <w:rFonts w:hint="eastAsia" w:ascii="宋体" w:hAnsi="宋体" w:cs="宋体"/>
                <w:color w:val="000000"/>
              </w:rPr>
              <w:t>★</w:t>
            </w:r>
            <w:r>
              <w:rPr>
                <w:rFonts w:hint="eastAsia" w:ascii="宋体" w:hAnsi="宋体" w:cs="宋体"/>
              </w:rPr>
              <w:t>中标人在</w:t>
            </w:r>
            <w:r>
              <w:rPr>
                <w:rFonts w:hint="eastAsia" w:ascii="宋体" w:hAnsi="宋体" w:cs="宋体"/>
                <w:bCs/>
              </w:rPr>
              <w:t>合同生效后3个月内（90个自然日）完成项目内所有安装调试工作。</w:t>
            </w:r>
          </w:p>
        </w:tc>
      </w:tr>
      <w:tr w14:paraId="7121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9" w:type="dxa"/>
            <w:vAlign w:val="center"/>
          </w:tcPr>
          <w:p w14:paraId="543275E7">
            <w:pPr>
              <w:jc w:val="center"/>
              <w:rPr>
                <w:rFonts w:hint="eastAsia" w:ascii="宋体" w:hAnsi="宋体" w:cs="宋体"/>
                <w:b/>
                <w:bCs/>
              </w:rPr>
            </w:pPr>
            <w:r>
              <w:rPr>
                <w:rFonts w:hint="eastAsia" w:ascii="宋体" w:hAnsi="宋体" w:cs="宋体"/>
                <w:b/>
                <w:bCs/>
              </w:rPr>
              <w:t>3</w:t>
            </w:r>
          </w:p>
        </w:tc>
        <w:tc>
          <w:tcPr>
            <w:tcW w:w="1616" w:type="dxa"/>
          </w:tcPr>
          <w:p w14:paraId="042DCD9D">
            <w:pPr>
              <w:jc w:val="center"/>
              <w:rPr>
                <w:rFonts w:hint="eastAsia" w:ascii="宋体" w:hAnsi="宋体" w:cs="宋体"/>
                <w:b/>
                <w:bCs/>
              </w:rPr>
            </w:pPr>
            <w:r>
              <w:rPr>
                <w:rFonts w:hint="eastAsia" w:ascii="宋体" w:hAnsi="宋体" w:cs="宋体"/>
                <w:b/>
                <w:bCs/>
              </w:rPr>
              <w:t>维修响应及故障解决时间</w:t>
            </w:r>
          </w:p>
        </w:tc>
        <w:tc>
          <w:tcPr>
            <w:tcW w:w="6889" w:type="dxa"/>
          </w:tcPr>
          <w:p w14:paraId="617A3FD6">
            <w:pPr>
              <w:jc w:val="left"/>
              <w:rPr>
                <w:rFonts w:hint="eastAsia" w:ascii="宋体" w:hAnsi="宋体" w:cs="宋体"/>
                <w:bCs/>
              </w:rPr>
            </w:pPr>
            <w:r>
              <w:rPr>
                <w:rFonts w:hint="eastAsia" w:ascii="宋体" w:hAnsi="宋体" w:cs="宋体"/>
                <w:color w:val="000000"/>
              </w:rPr>
              <w:t>★</w:t>
            </w:r>
            <w:r>
              <w:rPr>
                <w:rFonts w:hint="eastAsia" w:ascii="宋体" w:hAnsi="宋体" w:cs="宋体"/>
                <w:bCs/>
              </w:rPr>
              <w:t>在免费保修期内，中标单位提供全年（包括节假日）每天24小时电话服务；在设备出现故障后，半小时内响应，1小时内到现场，24小时内消除故障。</w:t>
            </w:r>
          </w:p>
        </w:tc>
      </w:tr>
      <w:tr w14:paraId="3E53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09" w:type="dxa"/>
            <w:vAlign w:val="center"/>
          </w:tcPr>
          <w:p w14:paraId="3EB2D3BD">
            <w:pPr>
              <w:jc w:val="center"/>
              <w:rPr>
                <w:rFonts w:hint="eastAsia" w:ascii="宋体" w:hAnsi="宋体" w:cs="宋体"/>
                <w:b/>
                <w:bCs/>
                <w:color w:val="000000"/>
              </w:rPr>
            </w:pPr>
            <w:r>
              <w:rPr>
                <w:rFonts w:hint="eastAsia" w:ascii="宋体" w:hAnsi="宋体" w:cs="宋体"/>
                <w:b/>
                <w:bCs/>
                <w:color w:val="000000"/>
              </w:rPr>
              <w:t>4</w:t>
            </w:r>
          </w:p>
        </w:tc>
        <w:tc>
          <w:tcPr>
            <w:tcW w:w="1616" w:type="dxa"/>
            <w:vAlign w:val="center"/>
          </w:tcPr>
          <w:p w14:paraId="6A8D6030">
            <w:pPr>
              <w:jc w:val="center"/>
              <w:rPr>
                <w:rFonts w:hint="eastAsia" w:ascii="宋体" w:hAnsi="宋体" w:cs="宋体"/>
                <w:b/>
                <w:bCs/>
                <w:color w:val="000000"/>
              </w:rPr>
            </w:pPr>
            <w:r>
              <w:rPr>
                <w:rFonts w:hint="eastAsia" w:ascii="宋体" w:hAnsi="宋体" w:cs="宋体"/>
                <w:b/>
                <w:bCs/>
                <w:color w:val="000000"/>
              </w:rPr>
              <w:t>备件</w:t>
            </w:r>
          </w:p>
        </w:tc>
        <w:tc>
          <w:tcPr>
            <w:tcW w:w="6889" w:type="dxa"/>
            <w:vAlign w:val="center"/>
          </w:tcPr>
          <w:p w14:paraId="5C3AB339">
            <w:pPr>
              <w:rPr>
                <w:rFonts w:hint="eastAsia" w:ascii="宋体" w:hAnsi="宋体" w:cs="宋体"/>
                <w:color w:val="000000"/>
              </w:rPr>
            </w:pPr>
            <w:r>
              <w:rPr>
                <w:rFonts w:hint="eastAsia" w:ascii="宋体" w:hAnsi="宋体" w:cs="宋体"/>
                <w:color w:val="000000"/>
              </w:rPr>
              <w:t>投标产品要求提供7*24小时备件支持；如遇设备硬件停产或其他原因导致无原型号部件的，更换的新型号部件性能应同等于或高于原部件，且无质量与工艺方面的问题。</w:t>
            </w:r>
          </w:p>
        </w:tc>
      </w:tr>
      <w:tr w14:paraId="71FE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09" w:type="dxa"/>
            <w:vAlign w:val="center"/>
          </w:tcPr>
          <w:p w14:paraId="4F17D084">
            <w:pPr>
              <w:jc w:val="center"/>
              <w:rPr>
                <w:rFonts w:hint="eastAsia" w:ascii="宋体" w:hAnsi="宋体" w:cs="宋体"/>
                <w:b/>
                <w:bCs/>
              </w:rPr>
            </w:pPr>
            <w:r>
              <w:rPr>
                <w:rFonts w:hint="eastAsia" w:ascii="宋体" w:hAnsi="宋体" w:cs="宋体"/>
                <w:b/>
                <w:bCs/>
              </w:rPr>
              <w:t>5</w:t>
            </w:r>
          </w:p>
        </w:tc>
        <w:tc>
          <w:tcPr>
            <w:tcW w:w="1616" w:type="dxa"/>
            <w:vAlign w:val="center"/>
          </w:tcPr>
          <w:p w14:paraId="7876A729">
            <w:pPr>
              <w:jc w:val="center"/>
              <w:rPr>
                <w:rFonts w:hint="eastAsia" w:ascii="宋体" w:hAnsi="宋体" w:cs="宋体"/>
                <w:b/>
                <w:bCs/>
              </w:rPr>
            </w:pPr>
            <w:r>
              <w:rPr>
                <w:rFonts w:hint="eastAsia" w:ascii="宋体" w:hAnsi="宋体" w:cs="宋体"/>
                <w:b/>
                <w:bCs/>
              </w:rPr>
              <w:t>技术文件</w:t>
            </w:r>
          </w:p>
        </w:tc>
        <w:tc>
          <w:tcPr>
            <w:tcW w:w="6889" w:type="dxa"/>
            <w:vAlign w:val="center"/>
          </w:tcPr>
          <w:p w14:paraId="62A1BFA5">
            <w:pPr>
              <w:rPr>
                <w:rFonts w:hint="eastAsia" w:ascii="宋体" w:hAnsi="宋体" w:cs="宋体"/>
                <w:bCs/>
              </w:rPr>
            </w:pPr>
            <w:r>
              <w:rPr>
                <w:rFonts w:hint="eastAsia" w:ascii="宋体" w:hAnsi="宋体" w:cs="宋体"/>
                <w:bCs/>
              </w:rPr>
              <w:t>供应商应提供全套、完整的书面技术资料，包括但不限于设备清单、设备合格证、完整的书面技术资料、自检报告、操作手册及其他相关竣工资料等。</w:t>
            </w:r>
          </w:p>
        </w:tc>
      </w:tr>
      <w:tr w14:paraId="4B62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214" w:type="dxa"/>
            <w:gridSpan w:val="3"/>
            <w:vAlign w:val="center"/>
          </w:tcPr>
          <w:p w14:paraId="6FA3AAD2">
            <w:pPr>
              <w:rPr>
                <w:rFonts w:hint="eastAsia" w:ascii="宋体" w:hAnsi="宋体" w:cs="宋体"/>
                <w:bCs/>
              </w:rPr>
            </w:pPr>
            <w:r>
              <w:rPr>
                <w:rFonts w:hint="eastAsia" w:ascii="宋体" w:hAnsi="宋体" w:cs="宋体"/>
                <w:b/>
              </w:rPr>
              <w:t>（二）免费保修期外售后服务要求</w:t>
            </w:r>
          </w:p>
        </w:tc>
      </w:tr>
      <w:tr w14:paraId="43D4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9" w:type="dxa"/>
            <w:vAlign w:val="center"/>
          </w:tcPr>
          <w:p w14:paraId="56B0F8D7">
            <w:pPr>
              <w:jc w:val="center"/>
              <w:rPr>
                <w:rFonts w:hint="eastAsia" w:ascii="宋体" w:hAnsi="宋体" w:cs="宋体"/>
                <w:b/>
              </w:rPr>
            </w:pPr>
            <w:r>
              <w:rPr>
                <w:rFonts w:hint="eastAsia" w:ascii="宋体" w:hAnsi="宋体" w:cs="宋体"/>
                <w:b/>
              </w:rPr>
              <w:t>1</w:t>
            </w:r>
          </w:p>
        </w:tc>
        <w:tc>
          <w:tcPr>
            <w:tcW w:w="1616" w:type="dxa"/>
            <w:vAlign w:val="center"/>
          </w:tcPr>
          <w:p w14:paraId="35BB0375">
            <w:pPr>
              <w:jc w:val="center"/>
              <w:rPr>
                <w:rFonts w:hint="eastAsia" w:ascii="宋体" w:hAnsi="宋体" w:cs="宋体"/>
                <w:b/>
                <w:color w:val="000000"/>
              </w:rPr>
            </w:pPr>
            <w:r>
              <w:rPr>
                <w:rStyle w:val="16"/>
                <w:rFonts w:hint="eastAsia" w:ascii="宋体" w:hAnsi="宋体" w:cs="宋体"/>
                <w:color w:val="000000"/>
              </w:rPr>
              <w:t>维修零配件、消耗品和延续保修合同的报价</w:t>
            </w:r>
          </w:p>
        </w:tc>
        <w:tc>
          <w:tcPr>
            <w:tcW w:w="6889" w:type="dxa"/>
            <w:vAlign w:val="center"/>
          </w:tcPr>
          <w:p w14:paraId="5861DF8E">
            <w:pPr>
              <w:rPr>
                <w:rFonts w:hint="eastAsia" w:ascii="宋体" w:hAnsi="宋体" w:cs="宋体"/>
                <w:b/>
                <w:color w:val="000000"/>
              </w:rPr>
            </w:pPr>
            <w:r>
              <w:rPr>
                <w:rFonts w:hint="eastAsia" w:ascii="宋体" w:hAnsi="宋体" w:cs="宋体"/>
                <w:color w:val="000000"/>
              </w:rPr>
              <w:t>1.由设备制造商提供售后服务，</w:t>
            </w:r>
            <w:r>
              <w:rPr>
                <w:rFonts w:hint="eastAsia" w:ascii="宋体" w:hAnsi="宋体" w:cs="宋体"/>
                <w:color w:val="000000"/>
                <w:u w:val="single"/>
              </w:rPr>
              <w:t xml:space="preserve"> 0.5 </w:t>
            </w:r>
            <w:r>
              <w:rPr>
                <w:rFonts w:hint="eastAsia" w:ascii="宋体" w:hAnsi="宋体" w:cs="宋体"/>
                <w:color w:val="000000"/>
              </w:rPr>
              <w:t>小时内响应，</w:t>
            </w:r>
            <w:r>
              <w:rPr>
                <w:rFonts w:hint="eastAsia" w:ascii="宋体" w:hAnsi="宋体" w:cs="宋体"/>
                <w:color w:val="000000"/>
                <w:u w:val="single"/>
              </w:rPr>
              <w:t xml:space="preserve"> 1 </w:t>
            </w:r>
            <w:r>
              <w:rPr>
                <w:rFonts w:hint="eastAsia" w:ascii="宋体" w:hAnsi="宋体" w:cs="宋体"/>
                <w:color w:val="000000"/>
              </w:rPr>
              <w:t>小时内到现场，</w:t>
            </w:r>
            <w:r>
              <w:rPr>
                <w:rFonts w:hint="eastAsia" w:ascii="宋体" w:hAnsi="宋体" w:cs="宋体"/>
                <w:color w:val="000000"/>
                <w:u w:val="single"/>
              </w:rPr>
              <w:t> 24 </w:t>
            </w:r>
            <w:r>
              <w:rPr>
                <w:rFonts w:hint="eastAsia" w:ascii="宋体" w:hAnsi="宋体" w:cs="宋体"/>
                <w:color w:val="000000"/>
              </w:rPr>
              <w:t>小时内消除故障（不可抗力情况除外）。消耗品和零配件供应及时，特殊情况下可提供备用设备。用于维修的消耗品和零配件应按平价供应。</w:t>
            </w:r>
          </w:p>
        </w:tc>
      </w:tr>
      <w:tr w14:paraId="479D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214" w:type="dxa"/>
            <w:gridSpan w:val="3"/>
          </w:tcPr>
          <w:p w14:paraId="07B70626">
            <w:pPr>
              <w:widowControl w:val="0"/>
              <w:rPr>
                <w:b/>
                <w:kern w:val="2"/>
                <w:szCs w:val="24"/>
              </w:rPr>
            </w:pPr>
            <w:r>
              <w:rPr>
                <w:rFonts w:hint="eastAsia"/>
                <w:b/>
                <w:kern w:val="2"/>
                <w:szCs w:val="24"/>
              </w:rPr>
              <w:t>（三）其他商务要求</w:t>
            </w:r>
          </w:p>
        </w:tc>
      </w:tr>
      <w:tr w14:paraId="5405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vMerge w:val="restart"/>
            <w:vAlign w:val="center"/>
          </w:tcPr>
          <w:p w14:paraId="36335CC9">
            <w:pPr>
              <w:jc w:val="center"/>
              <w:rPr>
                <w:rFonts w:hint="eastAsia" w:ascii="宋体" w:hAnsi="宋体" w:cs="宋体"/>
                <w:b/>
              </w:rPr>
            </w:pPr>
            <w:r>
              <w:rPr>
                <w:rFonts w:hint="eastAsia" w:ascii="宋体" w:hAnsi="宋体" w:cs="宋体"/>
                <w:b/>
              </w:rPr>
              <w:t>1</w:t>
            </w:r>
          </w:p>
        </w:tc>
        <w:tc>
          <w:tcPr>
            <w:tcW w:w="1616" w:type="dxa"/>
            <w:vMerge w:val="restart"/>
            <w:vAlign w:val="center"/>
          </w:tcPr>
          <w:p w14:paraId="67B87B03">
            <w:pPr>
              <w:jc w:val="center"/>
              <w:rPr>
                <w:rFonts w:hint="eastAsia" w:ascii="宋体" w:hAnsi="宋体" w:cs="宋体"/>
                <w:b/>
              </w:rPr>
            </w:pPr>
            <w:r>
              <w:rPr>
                <w:rFonts w:hint="eastAsia" w:ascii="宋体" w:hAnsi="宋体" w:cs="宋体"/>
                <w:b/>
              </w:rPr>
              <w:t>履约、付款和验收条款</w:t>
            </w:r>
          </w:p>
        </w:tc>
        <w:tc>
          <w:tcPr>
            <w:tcW w:w="6889" w:type="dxa"/>
            <w:vAlign w:val="center"/>
          </w:tcPr>
          <w:p w14:paraId="7617B806">
            <w:pPr>
              <w:rPr>
                <w:rFonts w:hint="eastAsia" w:ascii="宋体" w:hAnsi="宋体" w:cs="宋体"/>
                <w:color w:val="FF0000"/>
              </w:rPr>
            </w:pPr>
            <w:r>
              <w:rPr>
                <w:rFonts w:hint="eastAsia" w:ascii="宋体" w:hAnsi="宋体" w:cs="宋体"/>
                <w:color w:val="FF0000"/>
              </w:rPr>
              <w:t>1.1履约地点：采购人指定地点</w:t>
            </w:r>
          </w:p>
        </w:tc>
      </w:tr>
      <w:tr w14:paraId="5DA8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9" w:type="dxa"/>
            <w:vMerge w:val="continue"/>
            <w:vAlign w:val="center"/>
          </w:tcPr>
          <w:p w14:paraId="34143141">
            <w:pPr>
              <w:widowControl w:val="0"/>
              <w:jc w:val="center"/>
              <w:rPr>
                <w:b/>
                <w:kern w:val="2"/>
                <w:szCs w:val="24"/>
              </w:rPr>
            </w:pPr>
          </w:p>
        </w:tc>
        <w:tc>
          <w:tcPr>
            <w:tcW w:w="1616" w:type="dxa"/>
            <w:vMerge w:val="continue"/>
            <w:vAlign w:val="center"/>
          </w:tcPr>
          <w:p w14:paraId="22CCB7E8">
            <w:pPr>
              <w:widowControl w:val="0"/>
              <w:jc w:val="center"/>
              <w:rPr>
                <w:kern w:val="2"/>
                <w:szCs w:val="24"/>
              </w:rPr>
            </w:pPr>
          </w:p>
        </w:tc>
        <w:tc>
          <w:tcPr>
            <w:tcW w:w="6889" w:type="dxa"/>
            <w:vAlign w:val="center"/>
          </w:tcPr>
          <w:p w14:paraId="5275CC62">
            <w:r>
              <w:rPr>
                <w:rFonts w:hint="eastAsia"/>
              </w:rPr>
              <w:t>1.2付款期限和方式：</w:t>
            </w:r>
          </w:p>
          <w:p w14:paraId="37DF42EA">
            <w:r>
              <w:rPr>
                <w:rFonts w:hint="eastAsia"/>
              </w:rPr>
              <w:t>本项目付款分为二期，分别为合同首笔款、合同验收款。</w:t>
            </w:r>
          </w:p>
          <w:p w14:paraId="03E074C4">
            <w:r>
              <w:rPr>
                <w:rFonts w:hint="eastAsia"/>
              </w:rPr>
              <w:t>1.合同首笔款：合同签订后，甲方在收到乙方提供的正式发票后10个工作日内支付首笔款；</w:t>
            </w:r>
          </w:p>
          <w:p w14:paraId="0E17B6F8">
            <w:r>
              <w:rPr>
                <w:rFonts w:hint="eastAsia"/>
              </w:rPr>
              <w:t>2.合同验收款：合同约定的全部工作完成且验收合格后，由中标方提供发票，采购人向中标人支付剩下的合同款。(具体支付情况以实际合同签订为准)。</w:t>
            </w:r>
          </w:p>
        </w:tc>
      </w:tr>
      <w:tr w14:paraId="0215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709" w:type="dxa"/>
            <w:vMerge w:val="continue"/>
            <w:tcBorders>
              <w:bottom w:val="single" w:color="auto" w:sz="4" w:space="0"/>
            </w:tcBorders>
            <w:vAlign w:val="center"/>
          </w:tcPr>
          <w:p w14:paraId="11D2479F">
            <w:pPr>
              <w:widowControl w:val="0"/>
              <w:jc w:val="center"/>
              <w:rPr>
                <w:b/>
                <w:kern w:val="2"/>
                <w:szCs w:val="24"/>
              </w:rPr>
            </w:pPr>
          </w:p>
        </w:tc>
        <w:tc>
          <w:tcPr>
            <w:tcW w:w="1616" w:type="dxa"/>
            <w:vMerge w:val="continue"/>
            <w:tcBorders>
              <w:bottom w:val="single" w:color="auto" w:sz="4" w:space="0"/>
            </w:tcBorders>
            <w:vAlign w:val="center"/>
          </w:tcPr>
          <w:p w14:paraId="27F1538F">
            <w:pPr>
              <w:widowControl w:val="0"/>
              <w:jc w:val="center"/>
              <w:rPr>
                <w:kern w:val="2"/>
                <w:szCs w:val="24"/>
              </w:rPr>
            </w:pPr>
          </w:p>
        </w:tc>
        <w:tc>
          <w:tcPr>
            <w:tcW w:w="6889" w:type="dxa"/>
            <w:tcBorders>
              <w:bottom w:val="single" w:color="auto" w:sz="4" w:space="0"/>
            </w:tcBorders>
            <w:vAlign w:val="center"/>
          </w:tcPr>
          <w:p w14:paraId="0239DF59">
            <w:pPr>
              <w:rPr>
                <w:rFonts w:hint="eastAsia" w:ascii="宋体" w:hAnsi="宋体" w:cs="宋体"/>
                <w:color w:val="000000"/>
              </w:rPr>
            </w:pPr>
            <w:r>
              <w:rPr>
                <w:rFonts w:hint="eastAsia" w:ascii="宋体" w:hAnsi="宋体" w:cs="宋体"/>
                <w:color w:val="000000"/>
              </w:rPr>
              <w:t>1.3验收条件：验收按国家有关的规定、规范进行，要求投标方提供完工自测报告。验收时如发现所交付的货物有短缺、次品、损坏或其它不符合采购文件规定之情形者，由采购人和中标人双方签署备忘录。此现场备忘录可用作补充、缺失和更换损坏部件的有效证据。由此产生的有关费用由中标人承担。</w:t>
            </w:r>
          </w:p>
        </w:tc>
      </w:tr>
      <w:tr w14:paraId="632E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709" w:type="dxa"/>
            <w:tcBorders>
              <w:top w:val="single" w:color="auto" w:sz="4" w:space="0"/>
              <w:left w:val="single" w:color="auto" w:sz="4" w:space="0"/>
              <w:right w:val="single" w:color="auto" w:sz="4" w:space="0"/>
            </w:tcBorders>
            <w:vAlign w:val="center"/>
          </w:tcPr>
          <w:p w14:paraId="11C9C04D">
            <w:pPr>
              <w:jc w:val="center"/>
              <w:rPr>
                <w:rFonts w:hint="eastAsia" w:ascii="宋体" w:hAnsi="宋体" w:cs="宋体"/>
                <w:b/>
              </w:rPr>
            </w:pPr>
            <w:r>
              <w:rPr>
                <w:rFonts w:hint="eastAsia" w:ascii="宋体" w:hAnsi="宋体" w:cs="宋体"/>
                <w:b/>
              </w:rPr>
              <w:t>2</w:t>
            </w:r>
          </w:p>
        </w:tc>
        <w:tc>
          <w:tcPr>
            <w:tcW w:w="1616" w:type="dxa"/>
            <w:tcBorders>
              <w:top w:val="single" w:color="auto" w:sz="4" w:space="0"/>
              <w:left w:val="single" w:color="auto" w:sz="4" w:space="0"/>
              <w:right w:val="single" w:color="auto" w:sz="4" w:space="0"/>
            </w:tcBorders>
            <w:vAlign w:val="center"/>
          </w:tcPr>
          <w:p w14:paraId="594A2456">
            <w:pPr>
              <w:jc w:val="center"/>
              <w:rPr>
                <w:rFonts w:hint="eastAsia" w:ascii="宋体" w:hAnsi="宋体" w:cs="宋体"/>
                <w:b/>
                <w:color w:val="000000"/>
              </w:rPr>
            </w:pPr>
            <w:r>
              <w:rPr>
                <w:rStyle w:val="16"/>
                <w:rFonts w:hint="eastAsia" w:ascii="宋体" w:hAnsi="宋体" w:cs="宋体"/>
                <w:color w:val="000000"/>
              </w:rPr>
              <w:t>运输、安装条件</w:t>
            </w:r>
          </w:p>
        </w:tc>
        <w:tc>
          <w:tcPr>
            <w:tcW w:w="6889" w:type="dxa"/>
            <w:tcBorders>
              <w:top w:val="single" w:color="auto" w:sz="4" w:space="0"/>
              <w:left w:val="single" w:color="auto" w:sz="4" w:space="0"/>
              <w:bottom w:val="single" w:color="auto" w:sz="4" w:space="0"/>
              <w:right w:val="single" w:color="auto" w:sz="4" w:space="0"/>
            </w:tcBorders>
            <w:vAlign w:val="center"/>
          </w:tcPr>
          <w:p w14:paraId="369347B3">
            <w:pPr>
              <w:rPr>
                <w:rFonts w:hint="eastAsia" w:ascii="宋体" w:hAnsi="宋体" w:cs="宋体"/>
              </w:rPr>
            </w:pPr>
            <w:r>
              <w:rPr>
                <w:rFonts w:hint="eastAsia" w:ascii="宋体" w:hAnsi="宋体" w:cs="宋体"/>
              </w:rPr>
              <w:t>2.1 投标供应商须在签订合同之日起 3天内向采购人提供设备的运行、安装、使用环境要求。</w:t>
            </w:r>
          </w:p>
          <w:p w14:paraId="5D7FE26A">
            <w:pPr>
              <w:rPr>
                <w:rFonts w:hint="eastAsia" w:ascii="宋体" w:hAnsi="宋体" w:cs="宋体"/>
                <w:color w:val="000000"/>
              </w:rPr>
            </w:pPr>
            <w:r>
              <w:rPr>
                <w:rFonts w:hint="eastAsia" w:ascii="宋体" w:hAnsi="宋体" w:cs="宋体"/>
              </w:rPr>
              <w:t>2.2</w:t>
            </w:r>
            <w:r>
              <w:rPr>
                <w:rFonts w:hint="eastAsia" w:ascii="宋体" w:hAnsi="宋体" w:cs="宋体"/>
                <w:color w:val="000000"/>
              </w:rPr>
              <w:t>中标人负责产品正式验收合格前的一切费用（包括运输、包装、仓储、安装、保险等费用）。包装方式按照原厂出厂原标准，中标人承担由于其包装或其防护措施不妥而引起货物锈蚀、损坏和丢失等任何损失。</w:t>
            </w:r>
          </w:p>
          <w:p w14:paraId="6E0CB13F">
            <w:pPr>
              <w:rPr>
                <w:rFonts w:hint="eastAsia" w:ascii="宋体" w:hAnsi="宋体" w:cs="宋体"/>
              </w:rPr>
            </w:pPr>
            <w:r>
              <w:rPr>
                <w:rFonts w:hint="eastAsia" w:ascii="宋体" w:hAnsi="宋体" w:cs="宋体"/>
              </w:rPr>
              <w:t>2.3</w:t>
            </w:r>
            <w:r>
              <w:rPr>
                <w:rFonts w:hint="eastAsia" w:ascii="宋体" w:hAnsi="宋体" w:cs="宋体"/>
                <w:color w:val="000000"/>
              </w:rPr>
              <w:t>中标人</w:t>
            </w:r>
            <w:r>
              <w:rPr>
                <w:rFonts w:hint="eastAsia" w:ascii="宋体" w:hAnsi="宋体" w:cs="宋体"/>
                <w:color w:val="000000"/>
                <w:lang w:val="en-US" w:eastAsia="zh-CN"/>
              </w:rPr>
              <w:t>交货时</w:t>
            </w:r>
            <w:r>
              <w:rPr>
                <w:rFonts w:hint="eastAsia" w:ascii="宋体" w:hAnsi="宋体" w:cs="宋体"/>
                <w:color w:val="000000"/>
              </w:rPr>
              <w:t>需提供电池厂家出厂日期证明，要求电池生产日期满足3个月内生产。</w:t>
            </w:r>
          </w:p>
        </w:tc>
      </w:tr>
      <w:tr w14:paraId="314B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709" w:type="dxa"/>
            <w:tcBorders>
              <w:left w:val="single" w:color="auto" w:sz="4" w:space="0"/>
              <w:bottom w:val="single" w:color="auto" w:sz="4" w:space="0"/>
              <w:right w:val="single" w:color="auto" w:sz="4" w:space="0"/>
            </w:tcBorders>
            <w:vAlign w:val="center"/>
          </w:tcPr>
          <w:p w14:paraId="71C82CFB">
            <w:pPr>
              <w:widowControl w:val="0"/>
              <w:jc w:val="center"/>
              <w:rPr>
                <w:b/>
                <w:kern w:val="2"/>
                <w:szCs w:val="24"/>
              </w:rPr>
            </w:pPr>
            <w:r>
              <w:rPr>
                <w:rFonts w:hint="eastAsia" w:ascii="宋体" w:hAnsi="宋体" w:cs="宋体"/>
                <w:b/>
                <w:color w:val="000000"/>
              </w:rPr>
              <w:t>3</w:t>
            </w:r>
          </w:p>
        </w:tc>
        <w:tc>
          <w:tcPr>
            <w:tcW w:w="1616" w:type="dxa"/>
            <w:tcBorders>
              <w:left w:val="single" w:color="auto" w:sz="4" w:space="0"/>
              <w:bottom w:val="single" w:color="auto" w:sz="4" w:space="0"/>
              <w:right w:val="single" w:color="auto" w:sz="4" w:space="0"/>
            </w:tcBorders>
            <w:vAlign w:val="center"/>
          </w:tcPr>
          <w:p w14:paraId="41968E95">
            <w:pPr>
              <w:widowControl w:val="0"/>
              <w:jc w:val="center"/>
              <w:rPr>
                <w:b/>
                <w:kern w:val="2"/>
                <w:szCs w:val="24"/>
              </w:rPr>
            </w:pPr>
            <w:r>
              <w:rPr>
                <w:rFonts w:hint="eastAsia" w:ascii="宋体" w:hAnsi="宋体" w:cs="宋体"/>
                <w:b/>
                <w:color w:val="000000"/>
              </w:rPr>
              <w:t>安全生产要求</w:t>
            </w:r>
          </w:p>
        </w:tc>
        <w:tc>
          <w:tcPr>
            <w:tcW w:w="6889" w:type="dxa"/>
            <w:tcBorders>
              <w:top w:val="single" w:color="auto" w:sz="4" w:space="0"/>
              <w:left w:val="single" w:color="auto" w:sz="4" w:space="0"/>
              <w:bottom w:val="single" w:color="auto" w:sz="4" w:space="0"/>
              <w:right w:val="single" w:color="auto" w:sz="4" w:space="0"/>
            </w:tcBorders>
            <w:vAlign w:val="center"/>
          </w:tcPr>
          <w:p w14:paraId="0E3EBD1A">
            <w:pPr>
              <w:widowControl w:val="0"/>
              <w:tabs>
                <w:tab w:val="left" w:pos="1260"/>
              </w:tabs>
              <w:rPr>
                <w:bCs/>
                <w:kern w:val="2"/>
              </w:rPr>
            </w:pPr>
            <w:r>
              <w:rPr>
                <w:rFonts w:hint="eastAsia" w:ascii="宋体" w:hAnsi="宋体" w:cs="宋体"/>
                <w:color w:val="000000"/>
              </w:rPr>
              <w:t>货物运输中、项目实施过程中所产生的一切风险，包括但不限于项目工作人员的人身安全事故、意外伤害事故、施工过程中致第三方的人身财产损害等，皆由中标人承担，皆由中标人负责解决。若由此导致采购人承担了相关法律责任或经济赔偿责任，中标人应给予采购人全部的补偿，并承担采购人为解决此类纠纷过程中所产生的实际费用。</w:t>
            </w:r>
          </w:p>
        </w:tc>
      </w:tr>
      <w:tr w14:paraId="0848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09" w:type="dxa"/>
            <w:tcBorders>
              <w:top w:val="single" w:color="auto" w:sz="4" w:space="0"/>
            </w:tcBorders>
            <w:vAlign w:val="center"/>
          </w:tcPr>
          <w:p w14:paraId="341DF952">
            <w:pPr>
              <w:jc w:val="center"/>
              <w:rPr>
                <w:rFonts w:hint="eastAsia" w:ascii="宋体" w:hAnsi="宋体" w:cs="宋体"/>
                <w:b/>
              </w:rPr>
            </w:pPr>
            <w:r>
              <w:rPr>
                <w:rFonts w:hint="eastAsia" w:ascii="宋体" w:hAnsi="宋体" w:cs="宋体"/>
                <w:b/>
              </w:rPr>
              <w:t>4</w:t>
            </w:r>
          </w:p>
        </w:tc>
        <w:tc>
          <w:tcPr>
            <w:tcW w:w="1616" w:type="dxa"/>
            <w:tcBorders>
              <w:top w:val="single" w:color="auto" w:sz="4" w:space="0"/>
            </w:tcBorders>
            <w:vAlign w:val="center"/>
          </w:tcPr>
          <w:p w14:paraId="0068FD16">
            <w:pPr>
              <w:jc w:val="center"/>
              <w:rPr>
                <w:rFonts w:hint="eastAsia" w:ascii="宋体" w:hAnsi="宋体" w:cs="宋体"/>
                <w:b/>
              </w:rPr>
            </w:pPr>
            <w:r>
              <w:rPr>
                <w:rFonts w:hint="eastAsia" w:ascii="宋体" w:hAnsi="宋体" w:cs="宋体"/>
                <w:b/>
              </w:rPr>
              <w:t>培训</w:t>
            </w:r>
          </w:p>
        </w:tc>
        <w:tc>
          <w:tcPr>
            <w:tcW w:w="6889" w:type="dxa"/>
            <w:tcBorders>
              <w:top w:val="single" w:color="auto" w:sz="4" w:space="0"/>
            </w:tcBorders>
          </w:tcPr>
          <w:p w14:paraId="7CA79ECB">
            <w:pPr>
              <w:jc w:val="left"/>
              <w:rPr>
                <w:rFonts w:hint="eastAsia" w:ascii="宋体" w:hAnsi="宋体" w:cs="宋体"/>
                <w:color w:val="000000"/>
              </w:rPr>
            </w:pPr>
            <w:r>
              <w:rPr>
                <w:rFonts w:hint="eastAsia" w:ascii="宋体" w:hAnsi="宋体" w:cs="宋体"/>
                <w:color w:val="000000"/>
              </w:rPr>
              <w:t>4.1投标供应商应派专业技术人员免费对采购单位指定人员进行定期培训及指导，直至其完全掌握设备的基本故障处理技术。</w:t>
            </w:r>
          </w:p>
        </w:tc>
      </w:tr>
      <w:tr w14:paraId="47E9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09" w:type="dxa"/>
            <w:vAlign w:val="center"/>
          </w:tcPr>
          <w:p w14:paraId="678AF184">
            <w:pPr>
              <w:jc w:val="center"/>
              <w:rPr>
                <w:rFonts w:hint="eastAsia" w:ascii="宋体" w:hAnsi="宋体" w:cs="宋体"/>
                <w:b/>
              </w:rPr>
            </w:pPr>
            <w:r>
              <w:rPr>
                <w:rFonts w:hint="eastAsia" w:ascii="宋体" w:hAnsi="宋体" w:cs="宋体"/>
                <w:b/>
              </w:rPr>
              <w:t>5</w:t>
            </w:r>
          </w:p>
        </w:tc>
        <w:tc>
          <w:tcPr>
            <w:tcW w:w="1616" w:type="dxa"/>
            <w:vAlign w:val="center"/>
          </w:tcPr>
          <w:p w14:paraId="43C8CABE">
            <w:pPr>
              <w:jc w:val="center"/>
              <w:rPr>
                <w:rFonts w:hint="eastAsia" w:ascii="宋体" w:hAnsi="宋体" w:cs="宋体"/>
                <w:b/>
              </w:rPr>
            </w:pPr>
            <w:r>
              <w:rPr>
                <w:rFonts w:hint="eastAsia" w:ascii="宋体" w:hAnsi="宋体" w:cs="宋体"/>
                <w:b/>
              </w:rPr>
              <w:t>知识产权</w:t>
            </w:r>
          </w:p>
        </w:tc>
        <w:tc>
          <w:tcPr>
            <w:tcW w:w="6889" w:type="dxa"/>
          </w:tcPr>
          <w:p w14:paraId="781E24D6">
            <w:pPr>
              <w:jc w:val="left"/>
              <w:rPr>
                <w:rFonts w:hint="eastAsia" w:ascii="宋体" w:hAnsi="宋体" w:cs="宋体"/>
                <w:color w:val="000000"/>
              </w:rPr>
            </w:pPr>
            <w:r>
              <w:rPr>
                <w:rFonts w:hint="eastAsia" w:ascii="宋体" w:hAnsi="宋体" w:cs="宋体"/>
                <w:color w:val="000000"/>
              </w:rPr>
              <w:t>5.1采购人购买产品后，有权对该产品与其他设备进行配套、整合或适当改进，而免受侵犯专利权的起诉。</w:t>
            </w:r>
          </w:p>
        </w:tc>
      </w:tr>
      <w:tr w14:paraId="72CB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709" w:type="dxa"/>
            <w:vAlign w:val="center"/>
          </w:tcPr>
          <w:p w14:paraId="36B4DFD2">
            <w:pPr>
              <w:jc w:val="center"/>
              <w:rPr>
                <w:rFonts w:hint="eastAsia" w:ascii="宋体" w:hAnsi="宋体" w:cs="宋体"/>
                <w:b/>
              </w:rPr>
            </w:pPr>
            <w:r>
              <w:rPr>
                <w:rFonts w:hint="eastAsia" w:ascii="宋体" w:hAnsi="宋体" w:cs="宋体"/>
                <w:b/>
              </w:rPr>
              <w:t>6</w:t>
            </w:r>
          </w:p>
        </w:tc>
        <w:tc>
          <w:tcPr>
            <w:tcW w:w="1616" w:type="dxa"/>
            <w:vAlign w:val="center"/>
          </w:tcPr>
          <w:p w14:paraId="0AE83DC4">
            <w:pPr>
              <w:jc w:val="center"/>
              <w:rPr>
                <w:rFonts w:hint="eastAsia" w:ascii="宋体" w:hAnsi="宋体" w:cs="宋体"/>
                <w:b/>
              </w:rPr>
            </w:pPr>
            <w:r>
              <w:rPr>
                <w:rFonts w:hint="eastAsia" w:ascii="宋体" w:hAnsi="宋体" w:cs="宋体"/>
                <w:b/>
              </w:rPr>
              <w:t>保密条款</w:t>
            </w:r>
          </w:p>
        </w:tc>
        <w:tc>
          <w:tcPr>
            <w:tcW w:w="6889" w:type="dxa"/>
          </w:tcPr>
          <w:p w14:paraId="17BEDEA9">
            <w:pPr>
              <w:jc w:val="left"/>
              <w:rPr>
                <w:rFonts w:hint="eastAsia" w:ascii="宋体" w:hAnsi="宋体" w:cs="宋体"/>
                <w:color w:val="000000"/>
              </w:rPr>
            </w:pPr>
            <w:r>
              <w:rPr>
                <w:rFonts w:hint="eastAsia" w:ascii="宋体" w:hAnsi="宋体" w:cs="宋体"/>
                <w:color w:val="000000"/>
              </w:rPr>
              <w:t>6.1合同履行期间，投标单位应严格遵守合同中的保密条款。未经书面同意，不得透露因合同知悉的秘密，包括但不限于政府数据、技术信息、个人隐私，否则应承担因此引起的一切责任及后果。</w:t>
            </w:r>
          </w:p>
          <w:p w14:paraId="6A0E326B">
            <w:pPr>
              <w:jc w:val="left"/>
              <w:rPr>
                <w:rFonts w:hint="eastAsia" w:ascii="宋体" w:hAnsi="宋体" w:cs="宋体"/>
                <w:color w:val="000000"/>
              </w:rPr>
            </w:pPr>
            <w:r>
              <w:rPr>
                <w:rFonts w:hint="eastAsia" w:ascii="宋体" w:hAnsi="宋体" w:cs="宋体"/>
                <w:color w:val="000000"/>
              </w:rPr>
              <w:t>6.2由招标单位收集的、开发的、整理的、复制的、研究的和准备的与本合同有关的所有资料在提供给投标单位时，均被视为保密，不得泄漏给除招标单位或其指定的代表之外的任何人、企业或公司，不管本合同因何种原因终止，本条款一直约束投标单位。</w:t>
            </w:r>
          </w:p>
          <w:p w14:paraId="03A1525F">
            <w:pPr>
              <w:jc w:val="left"/>
              <w:rPr>
                <w:rFonts w:hint="eastAsia" w:ascii="宋体" w:hAnsi="宋体" w:cs="宋体"/>
                <w:color w:val="000000"/>
              </w:rPr>
            </w:pPr>
            <w:r>
              <w:rPr>
                <w:rFonts w:hint="eastAsia" w:ascii="宋体" w:hAnsi="宋体" w:cs="宋体"/>
                <w:color w:val="000000"/>
              </w:rPr>
              <w:t>6.3投标单位实施项目的一切程序都应符合国家安全、保密的有关规定和标准。</w:t>
            </w:r>
          </w:p>
        </w:tc>
      </w:tr>
      <w:tr w14:paraId="5651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9" w:type="dxa"/>
            <w:vAlign w:val="center"/>
          </w:tcPr>
          <w:p w14:paraId="168436CB">
            <w:pPr>
              <w:jc w:val="center"/>
              <w:rPr>
                <w:rFonts w:hint="eastAsia" w:ascii="宋体" w:hAnsi="宋体" w:cs="宋体"/>
                <w:b/>
              </w:rPr>
            </w:pPr>
            <w:r>
              <w:rPr>
                <w:rFonts w:hint="eastAsia" w:ascii="宋体" w:hAnsi="宋体" w:cs="宋体"/>
                <w:b/>
              </w:rPr>
              <w:t>7</w:t>
            </w:r>
          </w:p>
        </w:tc>
        <w:tc>
          <w:tcPr>
            <w:tcW w:w="1616" w:type="dxa"/>
            <w:vAlign w:val="center"/>
          </w:tcPr>
          <w:p w14:paraId="19E08837">
            <w:pPr>
              <w:jc w:val="center"/>
              <w:rPr>
                <w:rFonts w:hint="eastAsia" w:ascii="宋体" w:hAnsi="宋体" w:cs="宋体"/>
                <w:b/>
              </w:rPr>
            </w:pPr>
            <w:r>
              <w:rPr>
                <w:rFonts w:hint="eastAsia" w:ascii="宋体" w:hAnsi="宋体" w:cs="宋体"/>
                <w:b/>
              </w:rPr>
              <w:t>违约处罚措施</w:t>
            </w:r>
          </w:p>
        </w:tc>
        <w:tc>
          <w:tcPr>
            <w:tcW w:w="6889" w:type="dxa"/>
          </w:tcPr>
          <w:p w14:paraId="02D689AD">
            <w:pPr>
              <w:jc w:val="left"/>
            </w:pPr>
            <w:r>
              <w:rPr>
                <w:rFonts w:hint="eastAsia"/>
              </w:rPr>
              <w:t>7.1投标单位未按下列情况做到时，投标单位每次向招标单位支付违约金5000元，同时必须立即进行整改，由此产生一切费用由投标单位承担，并赔偿招标单位由此产生的一切损失。</w:t>
            </w:r>
          </w:p>
          <w:p w14:paraId="14586F0B">
            <w:pPr>
              <w:jc w:val="left"/>
            </w:pPr>
            <w:r>
              <w:rPr>
                <w:rFonts w:hint="eastAsia"/>
              </w:rPr>
              <w:t>1.1持证上岗：施工人员在特种作业、电力施工、机械操作等施工时，必须持证上岗且证件有效。</w:t>
            </w:r>
          </w:p>
          <w:p w14:paraId="7B3631DD">
            <w:pPr>
              <w:jc w:val="left"/>
            </w:pPr>
            <w:r>
              <w:rPr>
                <w:rFonts w:hint="eastAsia"/>
              </w:rPr>
              <w:t>1.2安全措施保障：1）安全交底；2）对施工现场进行摸底排查（燃气、电力、供水等）；3）户外维护作业中的悬挂安全警示牌，有效的围挡，穿戴安全服装，高空作业措施（安全绳等）；4）密闭空间作业，对作业场所通风，探测有毒有害气体。</w:t>
            </w:r>
          </w:p>
          <w:p w14:paraId="59577228">
            <w:pPr>
              <w:jc w:val="left"/>
            </w:pPr>
            <w:r>
              <w:rPr>
                <w:rFonts w:hint="eastAsia"/>
              </w:rPr>
              <w:t>1.3施工现场产生的垃圾及时清理，施工完后现场保持清洁。</w:t>
            </w:r>
          </w:p>
          <w:p w14:paraId="6002E2A0">
            <w:pPr>
              <w:jc w:val="left"/>
            </w:pPr>
            <w:r>
              <w:rPr>
                <w:rFonts w:hint="eastAsia"/>
              </w:rPr>
              <w:t>1.4文明施工：佩戴工作证件，举止文明有理。</w:t>
            </w:r>
          </w:p>
          <w:p w14:paraId="7BA7EF10">
            <w:pPr>
              <w:jc w:val="left"/>
            </w:pPr>
            <w:r>
              <w:rPr>
                <w:rFonts w:hint="eastAsia"/>
              </w:rPr>
              <w:t>1.5提交安全文明施工证明资料。</w:t>
            </w:r>
          </w:p>
          <w:p w14:paraId="1BF1AD2D">
            <w:pPr>
              <w:jc w:val="left"/>
            </w:pPr>
            <w:r>
              <w:rPr>
                <w:rFonts w:hint="eastAsia"/>
              </w:rPr>
              <w:t>7.2工程维修质量。对出现施工中弄虚作假、偷工减料及以次充好的问题，投标单位每次向招标单位支付违约金5000元，同时必须立即进行整改，由此产生一切费用由投标单位承担，并赔偿招标单位由此产生的一切损失。</w:t>
            </w:r>
          </w:p>
          <w:p w14:paraId="25DB9DCC">
            <w:pPr>
              <w:jc w:val="left"/>
            </w:pPr>
            <w:r>
              <w:rPr>
                <w:rFonts w:hint="eastAsia"/>
              </w:rPr>
              <w:t>7.3投标单位在工作过程中对相关信息进行查询、下载挪作他用，泄露招标单位工作秘密，产生的民事或刑事责任由投标单位承担，同时投标单位每次向招标单位支付违约金10000元。如出现由于投标单位的原因导致数据丢失的情形，投标单位应承担法律及赔偿责任。</w:t>
            </w:r>
          </w:p>
          <w:p w14:paraId="69882C19">
            <w:pPr>
              <w:jc w:val="left"/>
            </w:pPr>
            <w:r>
              <w:rPr>
                <w:rFonts w:hint="eastAsia"/>
              </w:rPr>
              <w:t>7.4若投标方未能在故障处理时限内排除故障，每次支付违约金1万元，若导致业务受到严重影响的，每次须支付赔偿金10万元。因遭受黑客攻击、地震等非人为因素导致的除外，以上赔偿金和违约金从尾款中扣除。</w:t>
            </w:r>
          </w:p>
          <w:p w14:paraId="4F72B362">
            <w:pPr>
              <w:jc w:val="left"/>
            </w:pPr>
            <w:r>
              <w:rPr>
                <w:rFonts w:hint="eastAsia"/>
              </w:rPr>
              <w:t>7.5投标方提供的施工人员需通过招标方的技术考核，考核不通过可更换技术人员再考核一次，如更换人员后再次考核仍不通过，有权终止合同。</w:t>
            </w:r>
          </w:p>
        </w:tc>
      </w:tr>
      <w:tr w14:paraId="38A3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9" w:type="dxa"/>
            <w:vAlign w:val="center"/>
          </w:tcPr>
          <w:p w14:paraId="332879E8">
            <w:pPr>
              <w:jc w:val="center"/>
              <w:rPr>
                <w:rFonts w:hint="eastAsia" w:ascii="宋体" w:hAnsi="宋体" w:cs="宋体"/>
                <w:b/>
              </w:rPr>
            </w:pPr>
            <w:r>
              <w:rPr>
                <w:rFonts w:hint="eastAsia" w:ascii="宋体" w:hAnsi="宋体" w:cs="宋体"/>
                <w:b/>
              </w:rPr>
              <w:t>8</w:t>
            </w:r>
          </w:p>
        </w:tc>
        <w:tc>
          <w:tcPr>
            <w:tcW w:w="1616" w:type="dxa"/>
            <w:vAlign w:val="center"/>
          </w:tcPr>
          <w:p w14:paraId="195A5984">
            <w:pPr>
              <w:jc w:val="center"/>
              <w:rPr>
                <w:rFonts w:hint="eastAsia" w:ascii="宋体" w:hAnsi="宋体" w:cs="宋体"/>
                <w:b/>
              </w:rPr>
            </w:pPr>
            <w:r>
              <w:rPr>
                <w:rFonts w:hint="eastAsia" w:ascii="宋体" w:hAnsi="宋体" w:cs="宋体"/>
                <w:b/>
                <w:color w:val="000000"/>
              </w:rPr>
              <w:t>其他</w:t>
            </w:r>
          </w:p>
        </w:tc>
        <w:tc>
          <w:tcPr>
            <w:tcW w:w="6889" w:type="dxa"/>
          </w:tcPr>
          <w:p w14:paraId="4E569A4D">
            <w:pPr>
              <w:jc w:val="left"/>
              <w:rPr>
                <w:rFonts w:hint="eastAsia" w:ascii="宋体" w:hAnsi="宋体" w:cs="宋体"/>
              </w:rPr>
            </w:pPr>
            <w:r>
              <w:rPr>
                <w:rFonts w:hint="eastAsia" w:ascii="宋体" w:hAnsi="宋体" w:cs="宋体"/>
              </w:rPr>
              <w:t>8.1 投标供应商应按其投标文件中的承诺，进行其他售后服务工作。</w:t>
            </w:r>
          </w:p>
          <w:p w14:paraId="2DF6AAFF">
            <w:pPr>
              <w:pStyle w:val="2"/>
              <w:rPr>
                <w:rFonts w:hint="eastAsia" w:ascii="宋体" w:hAnsi="宋体" w:cs="宋体"/>
                <w:sz w:val="21"/>
                <w:szCs w:val="21"/>
              </w:rPr>
            </w:pPr>
            <w:r>
              <w:rPr>
                <w:rFonts w:hint="eastAsia" w:ascii="宋体" w:hAnsi="宋体" w:cs="宋体"/>
                <w:color w:val="000000"/>
                <w:sz w:val="21"/>
                <w:szCs w:val="21"/>
              </w:rPr>
              <w:t>8.2投标人应对投标内容所涉及的一切专利等知识产权承担责任，并负有保护采购人的利益不受任何损害。一切由于文字、商标和技术专利等侵权引起的法律诉讼和裁决等均由投标人负责，与采购人无关。</w:t>
            </w:r>
          </w:p>
        </w:tc>
      </w:tr>
    </w:tbl>
    <w:p w14:paraId="10FA1EF5">
      <w:pPr>
        <w:spacing w:line="480" w:lineRule="exact"/>
        <w:ind w:right="40"/>
        <w:jc w:val="left"/>
      </w:pPr>
    </w:p>
    <w:p w14:paraId="766F4DBB">
      <w:pPr>
        <w:spacing w:line="360" w:lineRule="auto"/>
        <w:ind w:left="359" w:firstLine="420"/>
      </w:pPr>
    </w:p>
    <w:sectPr>
      <w:footerReference r:id="rId9" w:type="default"/>
      <w:pgSz w:w="11906" w:h="16838"/>
      <w:pgMar w:top="1134" w:right="1134" w:bottom="1134" w:left="1134"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605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矩形 1"/>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14:paraId="37903F87">
                          <w:pPr>
                            <w:pStyle w:val="9"/>
                          </w:pPr>
                          <w:r>
                            <w:fldChar w:fldCharType="begin"/>
                          </w:r>
                          <w:r>
                            <w:instrText xml:space="preserve"> PAGE  \* MERGEFORMAT </w:instrText>
                          </w:r>
                          <w:r>
                            <w:fldChar w:fldCharType="separate"/>
                          </w:r>
                          <w:r>
                            <w:t>8</w:t>
                          </w:r>
                          <w:r>
                            <w:fldChar w:fldCharType="end"/>
                          </w:r>
                        </w:p>
                      </w:txbxContent>
                    </wps:txbx>
                    <wps:bodyPr lIns="0" tIns="0" rIns="0" bIns="0" upright="1">
                      <a:spAutoFit/>
                    </wps:bodyPr>
                  </wps:wsp>
                </a:graphicData>
              </a:graphic>
            </wp:anchor>
          </w:drawing>
        </mc:Choice>
        <mc:Fallback>
          <w:pict>
            <v:rect id="_x0000_s1026" o:spid="_x0000_s1026" o:spt="1" style="position:absolute;left:0pt;margin-top:0pt;height:10.35pt;width:4.55pt;mso-position-horizontal:center;mso-position-horizontal-relative:margin;z-index:251660288;mso-width-relative:page;mso-height-relative:page;" filled="f" stroked="f" coordsize="21600,21600" o:gfxdata="UEsDBAoAAAAAAIdO4kAAAAAAAAAAAAAAAAAEAAAAZHJzL1BLAwQUAAAACACHTuJAOJdR29MAAAAC&#10;AQAADwAAAGRycy9kb3ducmV2LnhtbE2PMU/DMBCFd6T+B+uQuiBqJwO0aZwOlbohoQYG2K7xEafE&#10;5yh2m5Zfj2GB5aSn9/Ted+Xm4npxpjF0njVkCwWCuPGm41bD68vufgkiRGSDvWfScKUAm2p2U2Jh&#10;/MR7OtexFamEQ4EabIxDIWVoLDkMCz8QJ+/Djw5jkmMrzYhTKne9zJV6kA47TgsWB9paaj7rk9Ow&#10;e37riL/k/m61nPyxyd9r+zRoPb/N1BpEpEv8C8MPfkKHKjEd/IlNEL2G9Ej8vclbZSAOGnL1CLIq&#10;5X/06htQSwMEFAAAAAgAh07iQNAav3q7AQAAfQMAAA4AAABkcnMvZTJvRG9jLnhtbK1TS27bMBDd&#10;F8gdCO5jWWncBILloICRIEDRBkh7AJqiLAL8YYa25NMU6K6H6HGKXqNDSnbaZJNFNtRwOHrz3hty&#10;eTNYw/YKUHtX83I250w56RvttjX/9vX2/JozjMI1wninan5QyG9WZ++WfajUhe+8aRQwAnFY9aHm&#10;XYyhKgqUnbICZz4oR4etBysibWFbNCB6QremuJjPPxS9hyaAlwqRsuvxkE+I8BpA37ZaqrWXO6tc&#10;HFFBGRFJEnY6IF9ltm2rZPzStqgiMzUnpTGv1ITiTVqL1VJUWxCh03KiIF5D4ZkmK7SjpieotYiC&#10;7UC/gLJagkffxpn0thiFZEdIRTl/5s1jJ4LKWshqDCfT8e1g5ef9AzDd0E3gzAlLA//z/efvXz9Y&#10;mbzpA1ZU8hgeYNohhUno0IJNX5LAhuzn4eSnGiKTlFxcXV0vOJN0Ur4vLy8XCbJ4+jcAxjvlLUtB&#10;zYGmlU0U+08Yx9JjSWrl/K02hvKiMu6/BGGmTJHojgRTFIfNMLHe+OZAOs29I+/SPTgGcAw2x2AX&#10;QG87olNmLhg+7iI1znwS6gg1NaOpZEXTDUpj/3efq55eze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JdR29MAAAACAQAADwAAAAAAAAABACAAAAAiAAAAZHJzL2Rvd25yZXYueG1sUEsBAhQAFAAA&#10;AAgAh07iQNAav3q7AQAAfQMAAA4AAAAAAAAAAQAgAAAAIgEAAGRycy9lMm9Eb2MueG1sUEsFBgAA&#10;AAAGAAYAWQEAAE8FAAAAAA==&#10;">
              <v:fill on="f" focussize="0,0"/>
              <v:stroke on="f"/>
              <v:imagedata o:title=""/>
              <o:lock v:ext="edit" aspectratio="f"/>
              <v:textbox inset="0mm,0mm,0mm,0mm" style="mso-fit-shape-to-text:t;">
                <w:txbxContent>
                  <w:p w14:paraId="37903F87">
                    <w:pPr>
                      <w:pStyle w:val="9"/>
                    </w:pPr>
                    <w:r>
                      <w:fldChar w:fldCharType="begin"/>
                    </w:r>
                    <w:r>
                      <w:instrText xml:space="preserve"> PAGE  \* MERGEFORMAT </w:instrText>
                    </w:r>
                    <w:r>
                      <w:fldChar w:fldCharType="separate"/>
                    </w:r>
                    <w:r>
                      <w:t>8</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5D4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E50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7200A">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矩形 4"/>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14:paraId="5643776B">
                          <w:pPr>
                            <w:pStyle w:val="9"/>
                            <w:rPr>
                              <w:rStyle w:val="17"/>
                            </w:rPr>
                          </w:pPr>
                          <w:r>
                            <w:fldChar w:fldCharType="begin"/>
                          </w:r>
                          <w:r>
                            <w:instrText xml:space="preserve">PAGE  </w:instrText>
                          </w:r>
                          <w:r>
                            <w:fldChar w:fldCharType="separate"/>
                          </w:r>
                          <w:r>
                            <w:t>32</w:t>
                          </w:r>
                          <w:r>
                            <w:fldChar w:fldCharType="end"/>
                          </w:r>
                        </w:p>
                      </w:txbxContent>
                    </wps:txbx>
                    <wps:bodyPr lIns="0" tIns="0" rIns="0" bIns="0" upright="1">
                      <a:spAutoFit/>
                    </wps:bodyPr>
                  </wps:wsp>
                </a:graphicData>
              </a:graphic>
            </wp:anchor>
          </w:drawing>
        </mc:Choice>
        <mc:Fallback>
          <w:pict>
            <v:rect id="_x0000_s1026" o:spid="_x0000_s1026" o:spt="1" style="position:absolute;left:0pt;margin-top:0pt;height:10.35pt;width:9.05pt;mso-position-horizontal:center;mso-position-horizontal-relative:margin;z-index:251661312;mso-width-relative:page;mso-height-relative:page;" filled="f" stroked="f" coordsize="21600,21600" o:gfxdata="UEsDBAoAAAAAAIdO4kAAAAAAAAAAAAAAAAAEAAAAZHJzL1BLAwQUAAAACACHTuJA4A44atMAAAAD&#10;AQAADwAAAGRycy9kb3ducmV2LnhtbE2PMU/DMBCFd6T+B+sqdUHUTgYIIU4HpG5IVQMDbNf4iAPx&#10;OYrdpvDrcVlgOenpPb33XbU5u0GcaAq9Zw3ZWoEgbr3pudPw8ry9KUCEiGxw8EwavijApl5cVVga&#10;P/OeTk3sRCrhUKIGG+NYShlaSw7D2o/EyXv3k8OY5NRJM+Gcyt0gc6VupcOe04LFkR4ttZ/N0WnY&#10;7l574m+5v74vZv/R5m+NfRq1Xi0z9QAi0jn+heGCn9ChTkwHf2QTxKAhPRJ/78UrMhAHDbm6A1lX&#10;8j97/QNQSwMEFAAAAAgAh07iQEU1JkW8AQAAfgMAAA4AAABkcnMvZTJvRG9jLnhtbK1TS27bMBDd&#10;F+gdCO5rWYlStILloICRokDRBkh6AJqiLAL8YYa25NMU6K6H6HGKXqNDSnbaZJNFNtRwOHrz3hty&#10;dT1aww4KUHvX8HKx5Ew56Vvtdg3/dn/z5h1nGIVrhfFONfyokF+vX79aDaFWF773plXACMRhPYSG&#10;9zGGuihQ9soKXPigHB12HqyItIVd0YIYCN2a4mK5fFsMHtoAXipEym6mQz4jwnMAfddpqTZe7q1y&#10;cUIFZUQkSdjrgHyd2XadkvFr16GKzDSclMa8UhOKt2kt1itR70CEXsuZgngOhUearNCOmp6hNiIK&#10;tgf9BMpqCR59FxfS22ISkh0hFeXykTd3vQgqayGrMZxNx5eDlV8Ot8B02/CKMycsDfzP95+/f/1g&#10;VfJmCFhTyV24hXmHFCahYwc2fUkCG7Ofx7OfaoxMUrIsq/eXV5xJOiovy6q6SpjFw88BMH5U3rIU&#10;NBxoXNlFcfiMcSo9laRezt9oYygvauP+SxBmyhSJ78QwRXHcjjPtrW+PJNR8cmReuginAE7B9hTs&#10;A+hdT3TKzAXDh32kxplPQp2g5mY0lqxovkJp7v/uc9XDs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AOOGrTAAAAAwEAAA8AAAAAAAAAAQAgAAAAIgAAAGRycy9kb3ducmV2LnhtbFBLAQIUABQA&#10;AAAIAIdO4kBFNSZFvAEAAH4DAAAOAAAAAAAAAAEAIAAAACIBAABkcnMvZTJvRG9jLnhtbFBLBQYA&#10;AAAABgAGAFkBAABQBQAAAAA=&#10;">
              <v:fill on="f" focussize="0,0"/>
              <v:stroke on="f"/>
              <v:imagedata o:title=""/>
              <o:lock v:ext="edit" aspectratio="f"/>
              <v:textbox inset="0mm,0mm,0mm,0mm" style="mso-fit-shape-to-text:t;">
                <w:txbxContent>
                  <w:p w14:paraId="5643776B">
                    <w:pPr>
                      <w:pStyle w:val="9"/>
                      <w:rPr>
                        <w:rStyle w:val="17"/>
                      </w:rPr>
                    </w:pPr>
                    <w:r>
                      <w:fldChar w:fldCharType="begin"/>
                    </w:r>
                    <w:r>
                      <w:instrText xml:space="preserve">PAGE  </w:instrText>
                    </w:r>
                    <w:r>
                      <w:fldChar w:fldCharType="separate"/>
                    </w:r>
                    <w:r>
                      <w:t>32</w:t>
                    </w:r>
                    <w:r>
                      <w:fldChar w:fldCharType="end"/>
                    </w:r>
                  </w:p>
                </w:txbxContent>
              </v:textbox>
            </v:rect>
          </w:pict>
        </mc:Fallback>
      </mc:AlternateContent>
    </w:r>
  </w:p>
  <w:p w14:paraId="7A04F3CD">
    <w:pPr>
      <w:pStyle w:val="9"/>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609219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092190" cy="0"/>
                      </a:xfrm>
                      <a:prstGeom prst="line">
                        <a:avLst/>
                      </a:prstGeom>
                      <a:ln w="9525"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0pt;margin-top:4pt;height:0pt;width:479.7pt;z-index:251659264;mso-width-relative:page;mso-height-relative:page;" filled="f" stroked="t" coordsize="21600,21600" o:gfxdata="UEsDBAoAAAAAAIdO4kAAAAAAAAAAAAAAAAAEAAAAZHJzL1BLAwQUAAAACACHTuJAGR5V1NQAAAAE&#10;AQAADwAAAGRycy9kb3ducmV2LnhtbE2PzU7DMBCE70i8g7VI3KhTBKgNcSqBlBOIihQO3LbxNgnE&#10;69R2f3h7ll7gNBrNaubbYnF0g9pTiL1nA9NJBoq48bbn1sDbqrqagYoJ2eLgmQx8U4RFeX5WYG79&#10;gV9pX6dWSQnHHA10KY251rHpyGGc+JFYso0PDpPY0Gob8CDlbtDXWXanHfYsCx2O9NhR81XvnIEN&#10;vbw/xUDb5+3y4aOql5+urVbGXF5Ms3tQiY7p7xh+8QUdSmFa+x3bqAYD8kgyMBORcH47vwG1Pnld&#10;Fvo/fPkDUEsDBBQAAAAIAIdO4kBtLqZb8QEAAOIDAAAOAAAAZHJzL2Uyb0RvYy54bWytU81uEzEQ&#10;viPxDpbvZJNUrcgqmx4aygVBJOABJrY3a8l/8rjZ5CV4ASRucOLInbehfQzG3jSF9pJD9+Adj2e+&#10;me/zeH65s4ZtVUTtXcMnozFnygkvtds0/POn61evOcMEToLxTjV8r5BfLl6+mPehVlPfeSNVZATi&#10;sO5Dw7uUQl1VKDplAUc+KEeHrY8WEm3jppIRekK3ppqOxxdV76MM0QuFSN7lcMgPiPEUQN+2Wqil&#10;FzdWuTSgRmUgESXsdEC+KN22rRLpQ9uiSsw0nJimslIRstd5rRZzqDcRQqfFoQU4pYVHnCxoR0WP&#10;UEtIwG6ifgJltYgefZtGwttqIFIUIRaT8SNtPnYQVOFCUmM4io7PByveb1eRadnwM84cWLrw26+/&#10;/nz5fvf7G623P3+wsyxSH7Cm2Cu3iocdhlXMjHdttPlPXNiuCLs/Cqt2iQlyXoxn08mMNBf3Z9VD&#10;YoiY3ipvWTYabrTLnKGG7TtMVIxC70Oy2zjWN3x2Pj0nOKABbOniybSBSKDblFz0RstrbUzOwLhZ&#10;X5nItpCHoHyZEuH+F5aLLAG7Ia4cDeNhdVKZNdSdAvnGSZb2gYRy9D54bsYqyZlR9JyyVSITaHNK&#10;JDVhHPWS9R0Uzdbay30Ruvjp6ku3hzHNs/XvvmQ/PM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keVdTUAAAABAEAAA8AAAAAAAAAAQAgAAAAIgAAAGRycy9kb3ducmV2LnhtbFBLAQIUABQAAAAI&#10;AIdO4kBtLqZb8QEAAOIDAAAOAAAAAAAAAAEAIAAAACMBAABkcnMvZTJvRG9jLnhtbFBLBQYAAAAA&#10;BgAGAFkBAACGBQAAAAA=&#10;">
              <v:fill on="f" focussize="0,0"/>
              <v:stroke color="#000000" joinstyle="miter"/>
              <v:imagedata o:title=""/>
              <o:lock v:ext="edit" aspectratio="f"/>
            </v:line>
          </w:pict>
        </mc:Fallback>
      </mc:AlternateContent>
    </w:r>
  </w:p>
  <w:p w14:paraId="370C44DB">
    <w:pPr>
      <w:pStyle w:val="9"/>
      <w:ind w:firstLine="9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AEE2">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B6C5">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0F066">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4B4D1"/>
    <w:multiLevelType w:val="singleLevel"/>
    <w:tmpl w:val="1AE4B4D1"/>
    <w:lvl w:ilvl="0" w:tentative="0">
      <w:start w:val="1"/>
      <w:numFmt w:val="chineseCounting"/>
      <w:suff w:val="nothing"/>
      <w:lvlText w:val="（%1）"/>
      <w:lvlJc w:val="left"/>
      <w:rPr>
        <w:rFonts w:hint="eastAsia"/>
      </w:rPr>
    </w:lvl>
  </w:abstractNum>
  <w:abstractNum w:abstractNumId="1">
    <w:nsid w:val="23E40F5F"/>
    <w:multiLevelType w:val="multilevel"/>
    <w:tmpl w:val="23E40F5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F83CBC"/>
    <w:rsid w:val="000458F0"/>
    <w:rsid w:val="00097DD7"/>
    <w:rsid w:val="000A74CA"/>
    <w:rsid w:val="000C0D61"/>
    <w:rsid w:val="0011339C"/>
    <w:rsid w:val="00115F04"/>
    <w:rsid w:val="00121D85"/>
    <w:rsid w:val="0012653F"/>
    <w:rsid w:val="001333AE"/>
    <w:rsid w:val="00181396"/>
    <w:rsid w:val="00194F5C"/>
    <w:rsid w:val="001C4124"/>
    <w:rsid w:val="001D56EF"/>
    <w:rsid w:val="001E357A"/>
    <w:rsid w:val="001F2923"/>
    <w:rsid w:val="00207849"/>
    <w:rsid w:val="00215EC6"/>
    <w:rsid w:val="0021776A"/>
    <w:rsid w:val="00225C78"/>
    <w:rsid w:val="00241B6C"/>
    <w:rsid w:val="002814B5"/>
    <w:rsid w:val="002A6605"/>
    <w:rsid w:val="002B244D"/>
    <w:rsid w:val="002B7C4F"/>
    <w:rsid w:val="00395062"/>
    <w:rsid w:val="003A07E0"/>
    <w:rsid w:val="003C7B13"/>
    <w:rsid w:val="003D74B3"/>
    <w:rsid w:val="003F70AE"/>
    <w:rsid w:val="004313CD"/>
    <w:rsid w:val="00433110"/>
    <w:rsid w:val="00435424"/>
    <w:rsid w:val="004754C3"/>
    <w:rsid w:val="004A6562"/>
    <w:rsid w:val="004C2D49"/>
    <w:rsid w:val="004E3379"/>
    <w:rsid w:val="004E47A2"/>
    <w:rsid w:val="004F7CAF"/>
    <w:rsid w:val="00503442"/>
    <w:rsid w:val="0053612D"/>
    <w:rsid w:val="005549F0"/>
    <w:rsid w:val="00554D40"/>
    <w:rsid w:val="005552C4"/>
    <w:rsid w:val="00556A63"/>
    <w:rsid w:val="0057209A"/>
    <w:rsid w:val="005739C2"/>
    <w:rsid w:val="005823B6"/>
    <w:rsid w:val="005B2F01"/>
    <w:rsid w:val="005B7312"/>
    <w:rsid w:val="00637D67"/>
    <w:rsid w:val="00656B75"/>
    <w:rsid w:val="006D08E6"/>
    <w:rsid w:val="006E2468"/>
    <w:rsid w:val="006E5BF6"/>
    <w:rsid w:val="00707254"/>
    <w:rsid w:val="00796808"/>
    <w:rsid w:val="00797324"/>
    <w:rsid w:val="007D543F"/>
    <w:rsid w:val="007D7479"/>
    <w:rsid w:val="007E789E"/>
    <w:rsid w:val="007F47FC"/>
    <w:rsid w:val="00830396"/>
    <w:rsid w:val="0083565B"/>
    <w:rsid w:val="00857B79"/>
    <w:rsid w:val="008627DE"/>
    <w:rsid w:val="00881BFB"/>
    <w:rsid w:val="00887865"/>
    <w:rsid w:val="008A15B7"/>
    <w:rsid w:val="008C1120"/>
    <w:rsid w:val="008D201F"/>
    <w:rsid w:val="008D4721"/>
    <w:rsid w:val="008D6F78"/>
    <w:rsid w:val="0091351A"/>
    <w:rsid w:val="00916987"/>
    <w:rsid w:val="009315BB"/>
    <w:rsid w:val="0093538B"/>
    <w:rsid w:val="00935EDB"/>
    <w:rsid w:val="009364BC"/>
    <w:rsid w:val="009642A8"/>
    <w:rsid w:val="00972592"/>
    <w:rsid w:val="00987102"/>
    <w:rsid w:val="009A1ADF"/>
    <w:rsid w:val="009A377B"/>
    <w:rsid w:val="009A3A2A"/>
    <w:rsid w:val="009A6CED"/>
    <w:rsid w:val="009C0C25"/>
    <w:rsid w:val="009C470C"/>
    <w:rsid w:val="00A145BB"/>
    <w:rsid w:val="00A244D9"/>
    <w:rsid w:val="00A27D2B"/>
    <w:rsid w:val="00A5013E"/>
    <w:rsid w:val="00A90497"/>
    <w:rsid w:val="00A9699B"/>
    <w:rsid w:val="00AB480F"/>
    <w:rsid w:val="00AB7819"/>
    <w:rsid w:val="00B254F8"/>
    <w:rsid w:val="00B25D5E"/>
    <w:rsid w:val="00B31CF3"/>
    <w:rsid w:val="00B33FD3"/>
    <w:rsid w:val="00B375EE"/>
    <w:rsid w:val="00B46299"/>
    <w:rsid w:val="00B843E7"/>
    <w:rsid w:val="00B95170"/>
    <w:rsid w:val="00BB6B3B"/>
    <w:rsid w:val="00BC10DE"/>
    <w:rsid w:val="00BD3896"/>
    <w:rsid w:val="00BE47FD"/>
    <w:rsid w:val="00C343B8"/>
    <w:rsid w:val="00C53EF3"/>
    <w:rsid w:val="00C610B3"/>
    <w:rsid w:val="00C650CD"/>
    <w:rsid w:val="00C76DA7"/>
    <w:rsid w:val="00C76EAA"/>
    <w:rsid w:val="00C87466"/>
    <w:rsid w:val="00CB56BA"/>
    <w:rsid w:val="00CD6B73"/>
    <w:rsid w:val="00CF0DF7"/>
    <w:rsid w:val="00D32759"/>
    <w:rsid w:val="00D50BCA"/>
    <w:rsid w:val="00D64EDA"/>
    <w:rsid w:val="00D9420A"/>
    <w:rsid w:val="00DB614F"/>
    <w:rsid w:val="00DE153C"/>
    <w:rsid w:val="00E00625"/>
    <w:rsid w:val="00E01CD7"/>
    <w:rsid w:val="00E3206D"/>
    <w:rsid w:val="00E660C4"/>
    <w:rsid w:val="00E94A30"/>
    <w:rsid w:val="00EE57E9"/>
    <w:rsid w:val="00F37764"/>
    <w:rsid w:val="00F4469D"/>
    <w:rsid w:val="00F516C4"/>
    <w:rsid w:val="00F56ACD"/>
    <w:rsid w:val="00FE45D1"/>
    <w:rsid w:val="032D7D62"/>
    <w:rsid w:val="11594DCB"/>
    <w:rsid w:val="19A62D8E"/>
    <w:rsid w:val="19BC4B5E"/>
    <w:rsid w:val="1D0D266F"/>
    <w:rsid w:val="23311CBD"/>
    <w:rsid w:val="3BF83CBC"/>
    <w:rsid w:val="6A111AF3"/>
    <w:rsid w:val="7E05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6"/>
    <w:next w:val="1"/>
    <w:qFormat/>
    <w:uiPriority w:val="0"/>
    <w:pPr>
      <w:spacing w:before="260" w:after="260" w:line="416" w:lineRule="auto"/>
      <w:outlineLvl w:val="2"/>
    </w:pPr>
    <w:rPr>
      <w:rFonts w:ascii="Times New Roman" w:hAnsi="Times New Roman"/>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 w:val="24"/>
      <w:szCs w:val="24"/>
    </w:rPr>
  </w:style>
  <w:style w:type="paragraph" w:styleId="7">
    <w:name w:val="annotation text"/>
    <w:basedOn w:val="1"/>
    <w:link w:val="25"/>
    <w:qFormat/>
    <w:uiPriority w:val="99"/>
    <w:pPr>
      <w:jc w:val="left"/>
    </w:pPr>
    <w:rPr>
      <w:sz w:val="24"/>
      <w:szCs w:val="24"/>
    </w:rPr>
  </w:style>
  <w:style w:type="paragraph" w:styleId="8">
    <w:name w:val="Plain Text"/>
    <w:basedOn w:val="1"/>
    <w:qFormat/>
    <w:uiPriority w:val="0"/>
    <w:rPr>
      <w:rFonts w:ascii="宋体" w:hAnsi="Courier New"/>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widowControl w:val="0"/>
      <w:spacing w:line="360" w:lineRule="auto"/>
    </w:pPr>
    <w:rPr>
      <w:kern w:val="2"/>
      <w:sz w:val="24"/>
      <w:szCs w:val="24"/>
    </w:rPr>
  </w:style>
  <w:style w:type="paragraph" w:styleId="12">
    <w:name w:val="Title"/>
    <w:basedOn w:val="1"/>
    <w:qFormat/>
    <w:uiPriority w:val="0"/>
    <w:pPr>
      <w:spacing w:before="240" w:after="60"/>
      <w:jc w:val="center"/>
    </w:pPr>
    <w:rPr>
      <w:rFonts w:ascii="Arial" w:hAnsi="Arial" w:eastAsia="隶书"/>
      <w:b/>
      <w:bCs/>
      <w:sz w:val="32"/>
      <w:szCs w:val="32"/>
    </w:rPr>
  </w:style>
  <w:style w:type="paragraph" w:styleId="13">
    <w:name w:val="annotation subject"/>
    <w:basedOn w:val="7"/>
    <w:next w:val="7"/>
    <w:link w:val="26"/>
    <w:qFormat/>
    <w:uiPriority w:val="0"/>
    <w:rPr>
      <w:b/>
      <w:bCs/>
      <w:sz w:val="21"/>
      <w:szCs w:val="21"/>
    </w:rPr>
  </w:style>
  <w:style w:type="character" w:styleId="16">
    <w:name w:val="Strong"/>
    <w:qFormat/>
    <w:uiPriority w:val="0"/>
    <w:rPr>
      <w:rFonts w:hint="default"/>
      <w:b/>
      <w:bCs/>
    </w:rPr>
  </w:style>
  <w:style w:type="character" w:styleId="17">
    <w:name w:val="page number"/>
    <w:qFormat/>
    <w:uiPriority w:val="0"/>
    <w:rPr>
      <w:rFonts w:hint="default"/>
    </w:rPr>
  </w:style>
  <w:style w:type="character" w:styleId="18">
    <w:name w:val="annotation reference"/>
    <w:qFormat/>
    <w:uiPriority w:val="0"/>
    <w:rPr>
      <w:rFonts w:hint="default"/>
      <w:sz w:val="21"/>
      <w:szCs w:val="21"/>
    </w:rPr>
  </w:style>
  <w:style w:type="paragraph" w:customStyle="1" w:styleId="19">
    <w:name w:val="标题 11"/>
    <w:basedOn w:val="5"/>
    <w:next w:val="1"/>
    <w:qFormat/>
    <w:uiPriority w:val="0"/>
    <w:pPr>
      <w:shd w:val="clear" w:color="auto" w:fill="FFFFFF"/>
      <w:tabs>
        <w:tab w:val="left" w:pos="567"/>
      </w:tabs>
      <w:spacing w:before="0" w:after="0" w:line="300" w:lineRule="atLeast"/>
      <w:jc w:val="center"/>
    </w:pPr>
    <w:rPr>
      <w:sz w:val="44"/>
      <w:szCs w:val="44"/>
    </w:rPr>
  </w:style>
  <w:style w:type="paragraph" w:customStyle="1" w:styleId="20">
    <w:name w:val="标题 21"/>
    <w:basedOn w:val="1"/>
    <w:next w:val="1"/>
    <w:qFormat/>
    <w:uiPriority w:val="0"/>
    <w:pPr>
      <w:keepNext/>
      <w:keepLines/>
      <w:spacing w:before="260" w:after="260" w:line="416" w:lineRule="auto"/>
    </w:pPr>
    <w:rPr>
      <w:rFonts w:ascii="Arial" w:hAnsi="Arial" w:eastAsia="黑体"/>
      <w:b/>
      <w:bCs/>
      <w:sz w:val="32"/>
      <w:szCs w:val="32"/>
    </w:rPr>
  </w:style>
  <w:style w:type="paragraph" w:customStyle="1" w:styleId="21">
    <w:name w:val="Default"/>
    <w:qFormat/>
    <w:uiPriority w:val="0"/>
    <w:rPr>
      <w:rFonts w:ascii="黑体" w:hAnsi="黑体" w:eastAsia="宋体" w:cs="黑体"/>
      <w:color w:val="000000"/>
      <w:sz w:val="24"/>
      <w:szCs w:val="24"/>
      <w:lang w:val="en-US" w:eastAsia="zh-CN" w:bidi="ar-SA"/>
    </w:rPr>
  </w:style>
  <w:style w:type="character" w:customStyle="1" w:styleId="22">
    <w:name w:val="无"/>
    <w:qFormat/>
    <w:uiPriority w:val="0"/>
  </w:style>
  <w:style w:type="paragraph" w:customStyle="1" w:styleId="23">
    <w:name w:val="Char"/>
    <w:basedOn w:val="1"/>
    <w:qFormat/>
    <w:uiPriority w:val="0"/>
    <w:pPr>
      <w:spacing w:after="160" w:line="360" w:lineRule="auto"/>
      <w:jc w:val="center"/>
    </w:pPr>
    <w:rPr>
      <w:rFonts w:ascii="宋体" w:hAnsi="宋体" w:cs="宋体"/>
      <w:sz w:val="52"/>
      <w:szCs w:val="52"/>
    </w:rPr>
  </w:style>
  <w:style w:type="paragraph" w:customStyle="1" w:styleId="24">
    <w:name w:val="Revision"/>
    <w:hidden/>
    <w:unhideWhenUsed/>
    <w:qFormat/>
    <w:uiPriority w:val="99"/>
    <w:rPr>
      <w:rFonts w:ascii="Times New Roman" w:hAnsi="Times New Roman" w:eastAsia="宋体" w:cs="Times New Roman"/>
      <w:sz w:val="21"/>
      <w:szCs w:val="21"/>
      <w:lang w:val="en-US" w:eastAsia="zh-CN" w:bidi="ar-SA"/>
    </w:rPr>
  </w:style>
  <w:style w:type="character" w:customStyle="1" w:styleId="25">
    <w:name w:val="批注文字 字符"/>
    <w:basedOn w:val="15"/>
    <w:link w:val="7"/>
    <w:qFormat/>
    <w:uiPriority w:val="99"/>
    <w:rPr>
      <w:rFonts w:ascii="Times New Roman" w:hAnsi="Times New Roman" w:eastAsia="宋体" w:cs="Times New Roman"/>
      <w:sz w:val="24"/>
      <w:szCs w:val="24"/>
    </w:rPr>
  </w:style>
  <w:style w:type="character" w:customStyle="1" w:styleId="26">
    <w:name w:val="批注主题 字符"/>
    <w:basedOn w:val="25"/>
    <w:link w:val="13"/>
    <w:qFormat/>
    <w:uiPriority w:val="0"/>
    <w:rPr>
      <w:rFonts w:ascii="Times New Roman" w:hAnsi="Times New Roman" w:eastAsia="宋体" w:cs="Times New Roman"/>
      <w:b/>
      <w:bCs/>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7391</Words>
  <Characters>7895</Characters>
  <Lines>61</Lines>
  <Paragraphs>17</Paragraphs>
  <TotalTime>5</TotalTime>
  <ScaleCrop>false</ScaleCrop>
  <LinksUpToDate>false</LinksUpToDate>
  <CharactersWithSpaces>8010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2026-03-21T13:54:00Z</dcterms:created>
  <dc:creator>谢永峰</dc:creator>
  <cp:lastModifiedBy>lenovo</cp:lastModifiedBy>
  <dcterms:modified xsi:type="dcterms:W3CDTF">2026-03-26T06:10:02Z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364BFF65645047A48160EF3A5FD95CEF_13</vt:lpwstr>
  </property>
  <property fmtid="{D5CDD505-2E9C-101B-9397-08002B2CF9AE}" pid="4" name="KSOTemplateDocerSaveRecord">
    <vt:lpwstr>eyJoZGlkIjoiNjFkY2I4ZTFmZWIzZDcyNjRhYjBiMzRhNmQ4NWM3MDgiLCJ1c2VySWQiOiIxNTY4NDc2MjkzIn0=</vt:lpwstr>
  </property>
  <property fmtid="{D5CDD505-2E9C-101B-9397-08002B2CF9AE}" pid="5" name="MSIP_Label_ff418558-72e5-4d8e-958f-cfe0e73e210d_Enabled">
    <vt:lpwstr>true</vt:lpwstr>
  </property>
  <property fmtid="{D5CDD505-2E9C-101B-9397-08002B2CF9AE}" pid="6" name="MSIP_Label_ff418558-72e5-4d8e-958f-cfe0e73e210d_SetDate">
    <vt:lpwstr>2026-03-16T03:39:31Z</vt:lpwstr>
  </property>
  <property fmtid="{D5CDD505-2E9C-101B-9397-08002B2CF9AE}" pid="7" name="MSIP_Label_ff418558-72e5-4d8e-958f-cfe0e73e210d_Method">
    <vt:lpwstr>Standard</vt:lpwstr>
  </property>
  <property fmtid="{D5CDD505-2E9C-101B-9397-08002B2CF9AE}" pid="8" name="MSIP_Label_ff418558-72e5-4d8e-958f-cfe0e73e210d_Name">
    <vt:lpwstr>Eaton Internal Only (IP2)</vt:lpwstr>
  </property>
  <property fmtid="{D5CDD505-2E9C-101B-9397-08002B2CF9AE}" pid="9" name="MSIP_Label_ff418558-72e5-4d8e-958f-cfe0e73e210d_SiteId">
    <vt:lpwstr>d6525c95-b906-431a-b926-e9b51ba43cc4</vt:lpwstr>
  </property>
  <property fmtid="{D5CDD505-2E9C-101B-9397-08002B2CF9AE}" pid="10" name="MSIP_Label_ff418558-72e5-4d8e-958f-cfe0e73e210d_ActionId">
    <vt:lpwstr>fb70843b-43ac-4350-9acb-dde43b92bcc6</vt:lpwstr>
  </property>
  <property fmtid="{D5CDD505-2E9C-101B-9397-08002B2CF9AE}" pid="11" name="MSIP_Label_ff418558-72e5-4d8e-958f-cfe0e73e210d_ContentBits">
    <vt:lpwstr>0</vt:lpwstr>
  </property>
  <property fmtid="{D5CDD505-2E9C-101B-9397-08002B2CF9AE}" pid="12" name="MSIP_Label_ff418558-72e5-4d8e-958f-cfe0e73e210d_Tag">
    <vt:lpwstr>10, 3, 0, 1</vt:lpwstr>
  </property>
</Properties>
</file>