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rPr>
          <w:rFonts w:hint="eastAsia" w:ascii="黑体" w:hAnsi="黑体" w:eastAsia="黑体" w:cs="黑体"/>
          <w:lang w:eastAsia="zh-CN"/>
        </w:rPr>
      </w:pPr>
      <w:r>
        <w:rPr>
          <w:rFonts w:hint="eastAsia" w:ascii="黑体" w:hAnsi="黑体" w:eastAsia="黑体" w:cs="黑体"/>
          <w:lang w:eastAsia="zh-CN"/>
        </w:rPr>
        <w:t>附</w:t>
      </w:r>
      <w:r>
        <w:rPr>
          <w:rFonts w:hint="default" w:ascii="黑体" w:hAnsi="黑体" w:eastAsia="黑体" w:cs="黑体"/>
          <w:lang w:val="en-US" w:eastAsia="zh-CN"/>
        </w:rPr>
        <w:t xml:space="preserve">  </w:t>
      </w:r>
      <w:r>
        <w:rPr>
          <w:rFonts w:hint="eastAsia" w:ascii="黑体" w:hAnsi="黑体" w:eastAsia="黑体" w:cs="黑体"/>
          <w:lang w:eastAsia="zh-CN"/>
        </w:rPr>
        <w:t>件</w:t>
      </w:r>
    </w:p>
    <w:p>
      <w:pPr>
        <w:overflowPunct w:val="0"/>
        <w:spacing w:line="560" w:lineRule="exact"/>
        <w:ind w:firstLine="0" w:firstLineChars="0"/>
        <w:jc w:val="center"/>
        <w:rPr>
          <w:rFonts w:hint="eastAsia" w:ascii="方正小标宋简体" w:hAnsi="方正小标宋简体" w:eastAsia="方正小标宋简体" w:cs="方正小标宋简体"/>
          <w:color w:val="auto"/>
          <w:kern w:val="0"/>
          <w:sz w:val="36"/>
          <w:szCs w:val="36"/>
          <w:u w:val="none"/>
          <w:lang w:eastAsia="zh-CN"/>
        </w:rPr>
      </w:pPr>
      <w:r>
        <w:rPr>
          <w:rFonts w:hint="eastAsia" w:ascii="方正小标宋简体" w:hAnsi="方正小标宋简体" w:eastAsia="方正小标宋简体" w:cs="方正小标宋简体"/>
          <w:color w:val="auto"/>
          <w:kern w:val="0"/>
          <w:sz w:val="36"/>
          <w:szCs w:val="36"/>
          <w:u w:val="none"/>
          <w:lang w:eastAsia="zh-CN"/>
        </w:rPr>
        <w:t>2025年电子商务创新发展扶持计划网络零售大额增长奖励项目下达明细表</w:t>
      </w:r>
    </w:p>
    <w:p>
      <w:pPr>
        <w:pStyle w:val="5"/>
        <w:rPr>
          <w:rFonts w:hint="eastAsia"/>
          <w:sz w:val="24"/>
          <w:szCs w:val="24"/>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204"/>
        <w:gridCol w:w="3977"/>
        <w:gridCol w:w="1841"/>
        <w:gridCol w:w="1966"/>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申报单位名称</w:t>
            </w:r>
          </w:p>
        </w:tc>
        <w:tc>
          <w:tcPr>
            <w:tcW w:w="4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项目名称</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申报金额</w:t>
            </w:r>
            <w:r>
              <w:rPr>
                <w:rFonts w:hint="default" w:ascii="仿宋_GB2312" w:hAnsi="仿宋_GB2312" w:eastAsia="仿宋_GB2312" w:cs="仿宋_GB2312"/>
                <w:b/>
                <w:bCs/>
                <w:i w:val="0"/>
                <w:iCs w:val="0"/>
                <w:color w:val="000000"/>
                <w:kern w:val="0"/>
                <w:sz w:val="22"/>
                <w:szCs w:val="22"/>
                <w:u w:val="none"/>
                <w:lang w:eastAsia="zh-CN" w:bidi="ar"/>
              </w:rPr>
              <w:t>（万元）</w:t>
            </w:r>
          </w:p>
        </w:tc>
        <w:tc>
          <w:tcPr>
            <w:tcW w:w="2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奖励金额</w:t>
            </w:r>
            <w:r>
              <w:rPr>
                <w:rFonts w:hint="default" w:ascii="仿宋_GB2312" w:hAnsi="仿宋_GB2312" w:eastAsia="仿宋_GB2312" w:cs="仿宋_GB2312"/>
                <w:b/>
                <w:bCs/>
                <w:i w:val="0"/>
                <w:iCs w:val="0"/>
                <w:color w:val="000000"/>
                <w:kern w:val="0"/>
                <w:sz w:val="22"/>
                <w:szCs w:val="22"/>
                <w:u w:val="none"/>
                <w:lang w:eastAsia="zh-CN" w:bidi="ar"/>
              </w:rPr>
              <w:t>（万元）</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核减情况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深圳昊超电子商务有限公司</w:t>
            </w:r>
          </w:p>
        </w:tc>
        <w:tc>
          <w:tcPr>
            <w:tcW w:w="4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深圳昊超电子商务有限公司2025年电子商务创新发展扶持计划网络零售大额增长奖励项目</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1178</w:t>
            </w:r>
          </w:p>
        </w:tc>
        <w:tc>
          <w:tcPr>
            <w:tcW w:w="2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871.6366</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受年度资金预算控制，根据调整系数0.73962对拟奖励金额进行折算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中邮普泰汽车销售服务（深圳）有限公司</w:t>
            </w:r>
          </w:p>
        </w:tc>
        <w:tc>
          <w:tcPr>
            <w:tcW w:w="4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中邮普泰汽车销售服务（深圳）有限公司2025年电子商务创新发展扶持计划网络零售大额增长奖励项目</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1404</w:t>
            </w:r>
          </w:p>
        </w:tc>
        <w:tc>
          <w:tcPr>
            <w:tcW w:w="2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1038.4579</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受年度资金预算控制，根据调整系数0.73962对拟奖励金额进行折算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深圳春晓花开科技有限公司</w:t>
            </w:r>
          </w:p>
        </w:tc>
        <w:tc>
          <w:tcPr>
            <w:tcW w:w="4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深圳春晓花开科技有限公司2025年电子商务创新发展扶持计划网络零售大额增长奖励项目</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1683</w:t>
            </w:r>
          </w:p>
        </w:tc>
        <w:tc>
          <w:tcPr>
            <w:tcW w:w="2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1244.9882</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受年度资金预算控制，根据调整系数0.73962对拟奖励金额进行折算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深圳象鲜科技有限公司</w:t>
            </w:r>
          </w:p>
        </w:tc>
        <w:tc>
          <w:tcPr>
            <w:tcW w:w="4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深圳象鲜科技有限公司2025年电子商务创新发展扶持计划网络零售大额增长奖励项目</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1126</w:t>
            </w:r>
          </w:p>
        </w:tc>
        <w:tc>
          <w:tcPr>
            <w:tcW w:w="2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832.6057</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受年度资金预算控制，根据调整系数0.73962对拟奖励金额进行折算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23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理想智行汽车销售服务（深圳）有限公司</w:t>
            </w:r>
          </w:p>
        </w:tc>
        <w:tc>
          <w:tcPr>
            <w:tcW w:w="42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理想智行汽车销售服务（深圳）有限公司2025年电子商务创新发展扶持计划网络零售大额增长奖励项目</w:t>
            </w:r>
          </w:p>
        </w:tc>
        <w:tc>
          <w:tcPr>
            <w:tcW w:w="1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1369</w:t>
            </w:r>
          </w:p>
        </w:tc>
        <w:tc>
          <w:tcPr>
            <w:tcW w:w="2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1012.2683</w:t>
            </w:r>
          </w:p>
        </w:tc>
        <w:tc>
          <w:tcPr>
            <w:tcW w:w="2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受年度资金预算控制，根据调整系数0.73962对拟奖励金额进行折算</w:t>
            </w:r>
          </w:p>
        </w:tc>
      </w:tr>
    </w:tbl>
    <w:p>
      <w:bookmarkStart w:id="0" w:name="_GoBack"/>
      <w:bookmarkEnd w:id="0"/>
    </w:p>
    <w:sectPr>
      <w:pgSz w:w="16838" w:h="11906" w:orient="landscape"/>
      <w:pgMar w:top="1474" w:right="1814" w:bottom="1474" w:left="181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C2B29"/>
    <w:rsid w:val="211E5811"/>
    <w:rsid w:val="29BC2B29"/>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5">
    <w:name w:val="_Style 1"/>
    <w:basedOn w:val="1"/>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2026-02-13T11:14:00Z</dcterms:created>
  <dc:creator>收文会务（陈楠）</dc:creator>
  <cp:lastModifiedBy>收文会务（陈楠）</cp:lastModifiedBy>
  <dcterms:modified xsi:type="dcterms:W3CDTF">2026-02-13T11:14:37Z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