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60" w:lineRule="exact"/>
        <w:contextualSpacing/>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南山区促进产业高质量发展专项资金——</w:t>
      </w:r>
    </w:p>
    <w:p>
      <w:pPr>
        <w:spacing w:after="0" w:line="560" w:lineRule="exact"/>
        <w:contextualSpacing/>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区文化广电旅游体育局分项资金鼓励企业发展工业旅游项目操作规程（</w:t>
      </w:r>
      <w:r>
        <w:rPr>
          <w:rFonts w:hint="eastAsia" w:ascii="方正小标宋_GBK" w:hAnsi="宋体" w:eastAsia="方正小标宋_GBK"/>
          <w:sz w:val="44"/>
          <w:szCs w:val="44"/>
          <w:lang w:val="en-US" w:eastAsia="zh-CN"/>
        </w:rPr>
        <w:t>202</w:t>
      </w:r>
      <w:r>
        <w:rPr>
          <w:rFonts w:hint="default" w:ascii="方正小标宋_GBK" w:hAnsi="宋体" w:eastAsia="方正小标宋_GBK"/>
          <w:sz w:val="44"/>
          <w:szCs w:val="44"/>
          <w:lang w:val="en-US" w:eastAsia="zh-CN"/>
        </w:rPr>
        <w:t>6</w:t>
      </w:r>
      <w:r>
        <w:rPr>
          <w:rFonts w:hint="eastAsia" w:ascii="方正小标宋_GBK" w:hAnsi="宋体" w:eastAsia="方正小标宋_GBK"/>
          <w:sz w:val="44"/>
          <w:szCs w:val="44"/>
          <w:lang w:val="en-US" w:eastAsia="zh-CN"/>
        </w:rPr>
        <w:t>年</w:t>
      </w:r>
      <w:r>
        <w:rPr>
          <w:rFonts w:hint="eastAsia" w:ascii="方正小标宋_GBK" w:hAnsi="宋体" w:eastAsia="方正小标宋_GBK"/>
          <w:sz w:val="44"/>
          <w:szCs w:val="44"/>
          <w:lang w:eastAsia="zh-CN"/>
        </w:rPr>
        <w:t>）</w:t>
      </w:r>
    </w:p>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eastAsia="黑体"/>
          <w:color w:val="000000"/>
          <w:sz w:val="32"/>
          <w:szCs w:val="32"/>
        </w:rPr>
      </w:pPr>
      <w:r>
        <w:rPr>
          <w:rFonts w:hint="eastAsia" w:hAnsi="黑体" w:eastAsia="黑体"/>
          <w:color w:val="000000"/>
          <w:sz w:val="32"/>
          <w:szCs w:val="32"/>
        </w:rPr>
        <w:t>一、政策内容</w:t>
      </w:r>
    </w:p>
    <w:p>
      <w:pPr>
        <w:pageBreakBefore w:val="0"/>
        <w:widowControl/>
        <w:kinsoku/>
        <w:wordWrap/>
        <w:overflowPunct/>
        <w:topLinePunct w:val="0"/>
        <w:autoSpaceDE/>
        <w:autoSpaceDN/>
        <w:bidi w:val="0"/>
        <w:spacing w:line="560" w:lineRule="exact"/>
        <w:ind w:firstLine="537" w:firstLineChars="168"/>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鼓励企业发展工业旅游，提升企业品牌。支持南山区具备条件的企业发展工业旅游项目，对辖区内经国家、省、市旅游主管部门组织评定的南山区“工业旅游景点”“工业旅游示范点”“工业旅游示范基地”，根据接待设施、硬件升级改造投资情况，按照不超过企业支付的50%给予资助，每家企业每年最高不超过20万元。</w:t>
      </w:r>
    </w:p>
    <w:p>
      <w:pPr>
        <w:pageBreakBefore w:val="0"/>
        <w:widowControl/>
        <w:kinsoku/>
        <w:wordWrap/>
        <w:overflowPunct/>
        <w:topLinePunct w:val="0"/>
        <w:autoSpaceDE/>
        <w:autoSpaceDN/>
        <w:bidi w:val="0"/>
        <w:spacing w:line="560" w:lineRule="exact"/>
        <w:ind w:firstLine="640" w:firstLineChars="200"/>
        <w:outlineLvl w:val="0"/>
        <w:rPr>
          <w:rFonts w:hint="default" w:hAnsi="黑体" w:eastAsia="黑体"/>
          <w:sz w:val="32"/>
          <w:szCs w:val="32"/>
          <w:lang w:val="en-US" w:eastAsia="zh-CN"/>
        </w:rPr>
      </w:pPr>
      <w:r>
        <w:rPr>
          <w:rFonts w:hint="eastAsia" w:hAnsi="黑体" w:eastAsia="黑体"/>
          <w:sz w:val="32"/>
          <w:szCs w:val="32"/>
          <w:lang w:val="en-US" w:eastAsia="zh-CN"/>
        </w:rPr>
        <w:t>二、设定依据</w:t>
      </w:r>
    </w:p>
    <w:p>
      <w:pPr>
        <w:pageBreakBefore w:val="0"/>
        <w:widowControl/>
        <w:kinsoku/>
        <w:wordWrap/>
        <w:overflowPunct/>
        <w:topLinePunct w:val="0"/>
        <w:autoSpaceDE/>
        <w:autoSpaceDN/>
        <w:bidi w:val="0"/>
        <w:spacing w:line="560" w:lineRule="exact"/>
        <w:ind w:firstLine="537" w:firstLineChars="168"/>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为支持旅游业创新发展</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鼓励旅游企业升级完善</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根据《南山区促进产业高质量发展专项资金管理办法》和《</w:t>
      </w:r>
      <w:r>
        <w:rPr>
          <w:rFonts w:hint="eastAsia" w:ascii="Times New Roman" w:hAnsi="Times New Roman" w:eastAsia="仿宋_GB2312" w:cs="Times New Roman"/>
          <w:sz w:val="32"/>
          <w:szCs w:val="32"/>
          <w:lang w:eastAsia="zh-CN"/>
        </w:rPr>
        <w:t>南山区促进文化旅游体育产业发展专项扶持措施</w:t>
      </w:r>
      <w:r>
        <w:rPr>
          <w:rFonts w:hint="eastAsia" w:ascii="Times New Roman" w:hAnsi="Times New Roman" w:eastAsia="仿宋_GB2312" w:cs="Times New Roman"/>
          <w:sz w:val="32"/>
          <w:szCs w:val="32"/>
        </w:rPr>
        <w:t>》，制定本操作规程。</w:t>
      </w:r>
    </w:p>
    <w:p>
      <w:pPr>
        <w:pageBreakBefore w:val="0"/>
        <w:widowControl/>
        <w:kinsoku/>
        <w:wordWrap/>
        <w:overflowPunct/>
        <w:topLinePunct w:val="0"/>
        <w:autoSpaceDE/>
        <w:autoSpaceDN/>
        <w:bidi w:val="0"/>
        <w:spacing w:line="560" w:lineRule="exact"/>
        <w:ind w:firstLine="640" w:firstLineChars="200"/>
        <w:outlineLvl w:val="0"/>
        <w:rPr>
          <w:rFonts w:hint="eastAsia" w:hAnsi="黑体" w:eastAsia="黑体"/>
          <w:sz w:val="32"/>
          <w:szCs w:val="32"/>
          <w:lang w:eastAsia="zh-CN"/>
        </w:rPr>
      </w:pPr>
      <w:r>
        <w:rPr>
          <w:rFonts w:hint="eastAsia" w:hAnsi="黑体" w:eastAsia="黑体"/>
          <w:sz w:val="32"/>
          <w:szCs w:val="32"/>
          <w:lang w:eastAsia="zh-CN"/>
        </w:rPr>
        <w:t>三、申请条件</w:t>
      </w:r>
    </w:p>
    <w:p>
      <w:pPr>
        <w:keepNext w:val="0"/>
        <w:keepLines w:val="0"/>
        <w:pageBreakBefore w:val="0"/>
        <w:widowControl w:val="0"/>
        <w:kinsoku/>
        <w:wordWrap/>
        <w:overflowPunct/>
        <w:topLinePunct w:val="0"/>
        <w:autoSpaceDE/>
        <w:autoSpaceDN/>
        <w:bidi w:val="0"/>
        <w:spacing w:line="560" w:lineRule="exact"/>
        <w:ind w:firstLine="480" w:firstLineChars="150"/>
        <w:textAlignment w:val="auto"/>
        <w:rPr>
          <w:rFonts w:hint="eastAsia"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（一）申请专项资金资助的</w:t>
      </w:r>
      <w:r>
        <w:rPr>
          <w:rFonts w:hint="eastAsia" w:ascii="仿宋_GB2312" w:hAnsi="仿宋" w:eastAsia="仿宋_GB2312"/>
          <w:color w:val="auto"/>
          <w:sz w:val="32"/>
          <w:szCs w:val="32"/>
          <w:highlight w:val="none"/>
          <w:lang w:eastAsia="zh-CN"/>
        </w:rPr>
        <w:t>主体</w:t>
      </w:r>
      <w:r>
        <w:rPr>
          <w:rFonts w:hint="eastAsia" w:ascii="仿宋_GB2312" w:hAnsi="仿宋" w:eastAsia="仿宋_GB2312"/>
          <w:color w:val="auto"/>
          <w:sz w:val="32"/>
          <w:szCs w:val="32"/>
          <w:highlight w:val="none"/>
        </w:rPr>
        <w:t>原则上须满足以下基本条件：</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ascii="仿宋_GB2312" w:hAnsi="仿宋" w:eastAsia="仿宋_GB2312"/>
          <w:color w:val="auto"/>
          <w:sz w:val="32"/>
          <w:szCs w:val="32"/>
          <w:highlight w:val="none"/>
        </w:rPr>
        <w:t>1</w:t>
      </w:r>
      <w:r>
        <w:rPr>
          <w:rFonts w:hint="eastAsia" w:ascii="仿宋_GB2312" w:hAnsi="仿宋" w:eastAsia="仿宋_GB2312"/>
          <w:color w:val="auto"/>
          <w:sz w:val="32"/>
          <w:szCs w:val="32"/>
          <w:highlight w:val="none"/>
        </w:rPr>
        <w:t>.</w:t>
      </w:r>
      <w:r>
        <w:rPr>
          <w:rFonts w:hint="eastAsia" w:ascii="仿宋_GB2312" w:hAnsi="仿宋_GB2312" w:eastAsia="仿宋_GB2312" w:cs="仿宋_GB2312"/>
          <w:color w:val="auto"/>
          <w:kern w:val="2"/>
          <w:sz w:val="32"/>
          <w:szCs w:val="32"/>
          <w:highlight w:val="none"/>
          <w:lang w:val="en-US" w:eastAsia="zh-CN" w:bidi="ar-SA"/>
        </w:rPr>
        <w:t>在南山区依法从事实际经营，并具有独立法人资格的企业。</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eastAsia" w:ascii="仿宋_GB2312" w:hAnsi="仿宋" w:eastAsia="仿宋_GB2312" w:cs="Times New Roman"/>
          <w:color w:val="auto"/>
          <w:sz w:val="32"/>
          <w:szCs w:val="32"/>
          <w:highlight w:val="none"/>
          <w:lang w:val="en-US" w:eastAsia="zh-CN"/>
        </w:rPr>
      </w:pPr>
      <w:r>
        <w:rPr>
          <w:rFonts w:ascii="仿宋_GB2312" w:hAnsi="仿宋" w:eastAsia="仿宋_GB2312"/>
          <w:color w:val="auto"/>
          <w:sz w:val="32"/>
          <w:szCs w:val="32"/>
          <w:highlight w:val="none"/>
        </w:rPr>
        <w:t>2</w:t>
      </w:r>
      <w:r>
        <w:rPr>
          <w:rFonts w:hint="eastAsia" w:ascii="仿宋_GB2312" w:hAnsi="仿宋" w:eastAsia="仿宋_GB2312"/>
          <w:color w:val="auto"/>
          <w:sz w:val="32"/>
          <w:szCs w:val="32"/>
          <w:highlight w:val="none"/>
        </w:rPr>
        <w:t>.</w:t>
      </w:r>
      <w:r>
        <w:rPr>
          <w:rFonts w:ascii="仿宋_GB2312" w:hAnsi="仿宋" w:eastAsia="仿宋_GB2312"/>
          <w:color w:val="auto"/>
          <w:sz w:val="32"/>
          <w:szCs w:val="32"/>
          <w:highlight w:val="none"/>
        </w:rPr>
        <w:t>守法经营、诚实守信、有规范健全的财务制度</w:t>
      </w:r>
      <w:r>
        <w:rPr>
          <w:rFonts w:hint="eastAsia" w:ascii="仿宋_GB2312" w:hAnsi="仿宋" w:eastAsia="仿宋_GB2312"/>
          <w:color w:val="auto"/>
          <w:sz w:val="32"/>
          <w:szCs w:val="32"/>
          <w:highlight w:val="none"/>
          <w:lang w:eastAsia="zh-CN"/>
        </w:rPr>
        <w:t>、</w:t>
      </w:r>
      <w:r>
        <w:rPr>
          <w:rFonts w:ascii="仿宋_GB2312" w:hAnsi="仿宋" w:eastAsia="仿宋_GB2312"/>
          <w:color w:val="auto"/>
          <w:sz w:val="32"/>
          <w:szCs w:val="32"/>
          <w:highlight w:val="none"/>
        </w:rPr>
        <w:t>履行统计数据申报</w:t>
      </w:r>
      <w:r>
        <w:rPr>
          <w:rFonts w:hint="eastAsia" w:ascii="仿宋_GB2312" w:hAnsi="仿宋" w:eastAsia="仿宋_GB2312" w:cs="Times New Roman"/>
          <w:color w:val="auto"/>
          <w:sz w:val="32"/>
          <w:szCs w:val="32"/>
          <w:highlight w:val="none"/>
          <w:lang w:val="en-US" w:eastAsia="zh-CN"/>
        </w:rPr>
        <w:t>义务；</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eastAsia" w:ascii="仿宋_GB2312" w:hAnsi="仿宋" w:eastAsia="仿宋_GB2312" w:cs="Times New Roman"/>
          <w:color w:val="auto"/>
          <w:sz w:val="32"/>
          <w:szCs w:val="32"/>
          <w:highlight w:val="none"/>
          <w:lang w:val="en-US" w:eastAsia="zh-CN"/>
        </w:rPr>
      </w:pPr>
      <w:r>
        <w:rPr>
          <w:rFonts w:hint="eastAsia" w:ascii="仿宋_GB2312" w:hAnsi="仿宋" w:eastAsia="仿宋_GB2312" w:cs="Times New Roman"/>
          <w:color w:val="auto"/>
          <w:sz w:val="32"/>
          <w:szCs w:val="32"/>
          <w:highlight w:val="none"/>
          <w:lang w:val="en-US" w:eastAsia="zh-CN"/>
        </w:rPr>
        <w:t>3.应积极配合区委、区政府相关工作；</w:t>
      </w:r>
    </w:p>
    <w:p>
      <w:pPr>
        <w:pageBreakBefore w:val="0"/>
        <w:widowControl/>
        <w:kinsoku/>
        <w:wordWrap/>
        <w:overflowPunct/>
        <w:topLinePunct w:val="0"/>
        <w:autoSpaceDE/>
        <w:autoSpaceDN/>
        <w:bidi w:val="0"/>
        <w:spacing w:line="560" w:lineRule="exact"/>
        <w:ind w:firstLine="640" w:firstLineChars="200"/>
        <w:rPr>
          <w:rFonts w:hint="default" w:ascii="仿宋_GB2312" w:hAnsi="仿宋" w:eastAsia="仿宋_GB2312" w:cs="Times New Roman"/>
          <w:color w:val="auto"/>
          <w:sz w:val="32"/>
          <w:szCs w:val="32"/>
          <w:highlight w:val="none"/>
          <w:lang w:val="en-US" w:eastAsia="zh-CN"/>
        </w:rPr>
      </w:pPr>
      <w:r>
        <w:rPr>
          <w:rFonts w:hint="eastAsia" w:ascii="仿宋_GB2312" w:hAnsi="仿宋_GB2312" w:eastAsia="仿宋_GB2312" w:cs="仿宋_GB2312"/>
          <w:color w:val="auto"/>
          <w:kern w:val="2"/>
          <w:sz w:val="32"/>
          <w:szCs w:val="32"/>
          <w:highlight w:val="none"/>
          <w:lang w:val="en-US" w:eastAsia="zh-CN" w:bidi="ar-SA"/>
        </w:rPr>
        <w:t>4.申报主体需为四上在库企业。</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eastAsia"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w:t>
      </w:r>
      <w:r>
        <w:rPr>
          <w:rFonts w:hint="eastAsia" w:ascii="仿宋_GB2312" w:hAnsi="仿宋" w:eastAsia="仿宋_GB2312"/>
          <w:color w:val="auto"/>
          <w:sz w:val="32"/>
          <w:szCs w:val="32"/>
          <w:highlight w:val="none"/>
          <w:lang w:val="en-US" w:eastAsia="zh-CN"/>
        </w:rPr>
        <w:t>二</w:t>
      </w:r>
      <w:r>
        <w:rPr>
          <w:rFonts w:hint="eastAsia" w:ascii="仿宋_GB2312" w:hAnsi="仿宋" w:eastAsia="仿宋_GB2312"/>
          <w:color w:val="auto"/>
          <w:sz w:val="32"/>
          <w:szCs w:val="32"/>
          <w:highlight w:val="none"/>
        </w:rPr>
        <w:t>）有下列情况之一的，本项资金不予资助：</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 w:eastAsia="仿宋_GB2312" w:cs="Times New Roman"/>
          <w:color w:val="auto"/>
          <w:sz w:val="32"/>
          <w:szCs w:val="32"/>
          <w:highlight w:val="none"/>
        </w:rPr>
      </w:pPr>
      <w:r>
        <w:rPr>
          <w:rFonts w:ascii="仿宋_GB2312" w:hAnsi="仿宋" w:eastAsia="仿宋_GB2312" w:cs="Times New Roman"/>
          <w:color w:val="auto"/>
          <w:sz w:val="32"/>
          <w:szCs w:val="32"/>
          <w:highlight w:val="none"/>
        </w:rPr>
        <w:t>1.被依法依规纳入严重失信主体名单或失信惩戒措施清单的；</w:t>
      </w:r>
      <w:r>
        <w:rPr>
          <w:rFonts w:ascii="仿宋_GB2312" w:hAnsi="仿宋" w:eastAsia="仿宋_GB2312" w:cs="Times New Roman"/>
          <w:color w:val="auto"/>
          <w:sz w:val="32"/>
          <w:szCs w:val="32"/>
          <w:highlight w:val="none"/>
        </w:rPr>
        <w:br w:type="textWrapping"/>
      </w:r>
      <w:r>
        <w:rPr>
          <w:rFonts w:hint="eastAsia" w:ascii="仿宋_GB2312" w:hAnsi="仿宋" w:eastAsia="仿宋_GB2312" w:cs="Times New Roman"/>
          <w:color w:val="auto"/>
          <w:sz w:val="32"/>
          <w:szCs w:val="32"/>
          <w:highlight w:val="none"/>
          <w:lang w:val="en-US" w:eastAsia="zh-CN"/>
        </w:rPr>
        <w:t xml:space="preserve">    </w:t>
      </w:r>
      <w:r>
        <w:rPr>
          <w:rFonts w:ascii="仿宋_GB2312" w:hAnsi="仿宋" w:eastAsia="仿宋_GB2312" w:cs="Times New Roman"/>
          <w:color w:val="auto"/>
          <w:sz w:val="32"/>
          <w:szCs w:val="32"/>
          <w:highlight w:val="none"/>
        </w:rPr>
        <w:t>2.提出资助申请后，申报主体</w:t>
      </w:r>
      <w:r>
        <w:rPr>
          <w:rFonts w:hint="eastAsia" w:ascii="仿宋_GB2312" w:hAnsi="仿宋" w:eastAsia="仿宋_GB2312" w:cs="Times New Roman"/>
          <w:color w:val="auto"/>
          <w:sz w:val="32"/>
          <w:szCs w:val="32"/>
          <w:highlight w:val="none"/>
          <w:lang w:eastAsia="zh-CN"/>
        </w:rPr>
        <w:t>项目实施</w:t>
      </w:r>
      <w:r>
        <w:rPr>
          <w:rFonts w:ascii="仿宋_GB2312" w:hAnsi="仿宋" w:eastAsia="仿宋_GB2312" w:cs="Times New Roman"/>
          <w:color w:val="auto"/>
          <w:sz w:val="32"/>
          <w:szCs w:val="32"/>
          <w:highlight w:val="none"/>
        </w:rPr>
        <w:t>地或</w:t>
      </w:r>
      <w:r>
        <w:rPr>
          <w:rFonts w:hint="eastAsia" w:ascii="仿宋_GB2312" w:hAnsi="仿宋" w:eastAsia="仿宋_GB2312" w:cs="Times New Roman"/>
          <w:color w:val="auto"/>
          <w:sz w:val="32"/>
          <w:szCs w:val="32"/>
          <w:highlight w:val="none"/>
          <w:lang w:eastAsia="zh-CN"/>
        </w:rPr>
        <w:t>数据申报</w:t>
      </w:r>
      <w:r>
        <w:rPr>
          <w:rFonts w:ascii="仿宋_GB2312" w:hAnsi="仿宋" w:eastAsia="仿宋_GB2312" w:cs="Times New Roman"/>
          <w:color w:val="auto"/>
          <w:sz w:val="32"/>
          <w:szCs w:val="32"/>
          <w:highlight w:val="none"/>
        </w:rPr>
        <w:t>关系发生变化，不再符合申报条件的。</w:t>
      </w:r>
    </w:p>
    <w:p>
      <w:pPr>
        <w:pageBreakBefore w:val="0"/>
        <w:widowControl/>
        <w:kinsoku/>
        <w:wordWrap/>
        <w:overflowPunct/>
        <w:topLinePunct w:val="0"/>
        <w:autoSpaceDE/>
        <w:autoSpaceDN/>
        <w:bidi w:val="0"/>
        <w:spacing w:line="560" w:lineRule="exact"/>
        <w:ind w:firstLine="640" w:firstLineChars="200"/>
        <w:outlineLvl w:val="0"/>
        <w:rPr>
          <w:rFonts w:hint="default" w:hAnsi="黑体" w:eastAsia="黑体"/>
          <w:sz w:val="32"/>
          <w:szCs w:val="32"/>
          <w:highlight w:val="none"/>
          <w:lang w:val="en-US" w:eastAsia="zh-CN"/>
        </w:rPr>
      </w:pPr>
      <w:r>
        <w:rPr>
          <w:rFonts w:hint="eastAsia" w:hAnsi="黑体" w:eastAsia="黑体"/>
          <w:sz w:val="32"/>
          <w:szCs w:val="32"/>
          <w:highlight w:val="none"/>
          <w:lang w:eastAsia="zh-CN"/>
        </w:rPr>
        <w:t>四、</w:t>
      </w:r>
      <w:r>
        <w:rPr>
          <w:rFonts w:hint="eastAsia" w:hAnsi="黑体" w:eastAsia="黑体"/>
          <w:sz w:val="32"/>
          <w:szCs w:val="32"/>
          <w:highlight w:val="none"/>
          <w:lang w:val="en-US" w:eastAsia="zh-CN"/>
        </w:rPr>
        <w:t>资助标准</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hAnsi="黑体" w:eastAsia="黑体" w:cs="Times New Roman"/>
          <w:color w:val="000000"/>
          <w:sz w:val="32"/>
          <w:szCs w:val="32"/>
          <w:lang w:val="en-US" w:eastAsia="zh-CN"/>
        </w:rPr>
      </w:pPr>
      <w:r>
        <w:rPr>
          <w:rFonts w:hint="eastAsia" w:ascii="仿宋" w:hAnsi="仿宋" w:eastAsia="仿宋"/>
          <w:color w:val="auto"/>
          <w:sz w:val="32"/>
          <w:szCs w:val="32"/>
        </w:rPr>
        <w:t>鼓励我区具备条件的企业发展工业旅游项目，对经</w:t>
      </w:r>
      <w:r>
        <w:rPr>
          <w:rFonts w:hint="eastAsia" w:ascii="仿宋" w:hAnsi="仿宋" w:eastAsia="仿宋"/>
          <w:color w:val="auto"/>
          <w:sz w:val="32"/>
          <w:szCs w:val="32"/>
          <w:lang w:val="en-US" w:eastAsia="zh-CN"/>
        </w:rPr>
        <w:t>国家、省、</w:t>
      </w:r>
      <w:r>
        <w:rPr>
          <w:rFonts w:hint="eastAsia" w:ascii="仿宋" w:hAnsi="仿宋" w:eastAsia="仿宋"/>
          <w:color w:val="auto"/>
          <w:sz w:val="32"/>
          <w:szCs w:val="32"/>
        </w:rPr>
        <w:t>市、区旅游主管部门组织评定的南山区“工业旅游景点”</w:t>
      </w:r>
      <w:r>
        <w:rPr>
          <w:rFonts w:hint="eastAsia" w:ascii="Times New Roman" w:hAnsi="仿宋" w:eastAsia="仿宋" w:cs="Times New Roman"/>
          <w:color w:val="000000"/>
          <w:kern w:val="0"/>
          <w:sz w:val="32"/>
          <w:szCs w:val="32"/>
        </w:rPr>
        <w:t>“工业旅游示范点”“工业旅游示范基地”</w:t>
      </w:r>
      <w:r>
        <w:rPr>
          <w:rFonts w:hint="eastAsia" w:ascii="仿宋" w:hAnsi="仿宋" w:eastAsia="仿宋"/>
          <w:color w:val="auto"/>
          <w:sz w:val="32"/>
          <w:szCs w:val="32"/>
        </w:rPr>
        <w:t>，根据接待设施、硬件投入、服务项目、人员培训等情况，按照不超过企业</w:t>
      </w:r>
      <w:r>
        <w:rPr>
          <w:rFonts w:hint="eastAsia" w:ascii="仿宋" w:hAnsi="仿宋" w:eastAsia="仿宋"/>
          <w:color w:val="auto"/>
          <w:sz w:val="32"/>
          <w:szCs w:val="32"/>
          <w:lang w:val="en-US" w:eastAsia="zh-CN"/>
        </w:rPr>
        <w:t>支付的</w:t>
      </w:r>
      <w:r>
        <w:rPr>
          <w:rFonts w:hint="eastAsia" w:ascii="仿宋" w:hAnsi="仿宋" w:eastAsia="仿宋"/>
          <w:color w:val="auto"/>
          <w:sz w:val="32"/>
          <w:szCs w:val="32"/>
        </w:rPr>
        <w:t>50%的比例给予资助，每家企业每年最高不超过20万元。申请项目合同数不超过10个，投入时间不超过上两年度。</w:t>
      </w:r>
    </w:p>
    <w:p>
      <w:pPr>
        <w:pageBreakBefore w:val="0"/>
        <w:widowControl/>
        <w:kinsoku/>
        <w:wordWrap/>
        <w:overflowPunct/>
        <w:topLinePunct w:val="0"/>
        <w:autoSpaceDE/>
        <w:autoSpaceDN/>
        <w:bidi w:val="0"/>
        <w:spacing w:line="560" w:lineRule="exact"/>
        <w:ind w:firstLine="640" w:firstLineChars="200"/>
        <w:outlineLvl w:val="0"/>
        <w:rPr>
          <w:rFonts w:hint="eastAsia" w:hAnsi="黑体" w:eastAsia="黑体"/>
          <w:sz w:val="32"/>
          <w:szCs w:val="32"/>
          <w:lang w:eastAsia="zh-CN"/>
        </w:rPr>
      </w:pPr>
      <w:r>
        <w:rPr>
          <w:rFonts w:hint="eastAsia" w:hAnsi="黑体" w:eastAsia="黑体"/>
          <w:sz w:val="32"/>
          <w:szCs w:val="32"/>
          <w:lang w:eastAsia="zh-CN"/>
        </w:rPr>
        <w:t>五、资助方式</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ascii="仿宋" w:hAnsi="仿宋" w:eastAsia="仿宋"/>
          <w:sz w:val="32"/>
          <w:szCs w:val="32"/>
        </w:rPr>
      </w:pPr>
      <w:r>
        <w:rPr>
          <w:rFonts w:hint="eastAsia" w:ascii="仿宋" w:hAnsi="仿宋" w:eastAsia="仿宋"/>
          <w:sz w:val="32"/>
          <w:szCs w:val="32"/>
        </w:rPr>
        <w:t>本项</w:t>
      </w:r>
      <w:r>
        <w:rPr>
          <w:rFonts w:hint="eastAsia" w:ascii="仿宋" w:hAnsi="仿宋" w:eastAsia="仿宋"/>
          <w:sz w:val="32"/>
          <w:szCs w:val="32"/>
          <w:lang w:eastAsia="zh-CN"/>
        </w:rPr>
        <w:t>资金</w:t>
      </w:r>
      <w:r>
        <w:rPr>
          <w:rFonts w:hint="eastAsia" w:ascii="仿宋" w:hAnsi="仿宋" w:eastAsia="仿宋"/>
          <w:sz w:val="32"/>
          <w:szCs w:val="32"/>
        </w:rPr>
        <w:t>资助属于核准类项目，坚持公平、公开、公正的原则，实行自愿申报、科学决策和绩效评估的管理制度，采取无偿资助方式和事后补贴制，受资助项目无需验收。</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rPr>
      </w:pPr>
      <w:r>
        <w:rPr>
          <w:rFonts w:hint="eastAsia" w:ascii="仿宋" w:hAnsi="仿宋" w:eastAsia="仿宋"/>
          <w:sz w:val="32"/>
          <w:szCs w:val="32"/>
        </w:rPr>
        <w:t>本项资助受年度资金预算控制，区文化广电旅游体育局视申报情况和预算安排，可以对资助金额、支持比例和拨付进度等进行统一调整，申报主体应无条件同意调整结果。</w:t>
      </w:r>
    </w:p>
    <w:p>
      <w:pPr>
        <w:keepNext w:val="0"/>
        <w:keepLines w:val="0"/>
        <w:pageBreakBefore w:val="0"/>
        <w:widowControl w:val="0"/>
        <w:kinsoku/>
        <w:wordWrap/>
        <w:overflowPunct/>
        <w:topLinePunct w:val="0"/>
        <w:autoSpaceDE/>
        <w:autoSpaceDN/>
        <w:bidi w:val="0"/>
        <w:adjustRightInd w:val="0"/>
        <w:snapToGrid w:val="0"/>
        <w:spacing w:before="0" w:line="560" w:lineRule="exact"/>
        <w:ind w:left="0" w:leftChars="0" w:right="0" w:rightChars="0" w:firstLine="640" w:firstLineChars="200"/>
        <w:textAlignment w:val="auto"/>
        <w:outlineLvl w:val="9"/>
        <w:rPr>
          <w:rFonts w:ascii="黑体" w:eastAsia="黑体"/>
          <w:sz w:val="32"/>
          <w:szCs w:val="32"/>
          <w:highlight w:val="none"/>
        </w:rPr>
      </w:pPr>
      <w:r>
        <w:rPr>
          <w:rFonts w:hint="eastAsia" w:ascii="黑体" w:eastAsia="黑体"/>
          <w:sz w:val="32"/>
          <w:szCs w:val="32"/>
          <w:highlight w:val="none"/>
          <w:lang w:eastAsia="zh-CN"/>
        </w:rPr>
        <w:t>六</w:t>
      </w:r>
      <w:r>
        <w:rPr>
          <w:rFonts w:hint="eastAsia" w:ascii="黑体" w:eastAsia="黑体"/>
          <w:sz w:val="32"/>
          <w:szCs w:val="32"/>
          <w:highlight w:val="none"/>
        </w:rPr>
        <w:t>、办理流程</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（一）申报</w:t>
      </w:r>
      <w:r>
        <w:rPr>
          <w:rFonts w:ascii="仿宋_GB2312" w:hAnsi="ˎ̥" w:eastAsia="仿宋_GB2312" w:cs="宋体"/>
          <w:sz w:val="32"/>
          <w:szCs w:val="32"/>
          <w:lang w:eastAsia="zh-CN" w:bidi="ar-SA"/>
        </w:rPr>
        <w:t>主体</w:t>
      </w:r>
      <w:r>
        <w:rPr>
          <w:rFonts w:hint="eastAsia" w:ascii="仿宋_GB2312" w:eastAsia="仿宋_GB2312"/>
          <w:sz w:val="32"/>
          <w:szCs w:val="32"/>
          <w:lang w:eastAsia="zh-CN"/>
        </w:rPr>
        <w:t>登录</w:t>
      </w:r>
      <w:r>
        <w:rPr>
          <w:rFonts w:ascii="仿宋_GB2312" w:eastAsia="仿宋_GB2312"/>
          <w:sz w:val="32"/>
          <w:szCs w:val="32"/>
          <w:highlight w:val="none"/>
          <w:lang w:eastAsia="zh-CN"/>
        </w:rPr>
        <w:t>“</w:t>
      </w:r>
      <w:r>
        <w:rPr>
          <w:rFonts w:hint="eastAsia" w:ascii="仿宋_GB2312" w:eastAsia="仿宋_GB2312"/>
          <w:sz w:val="32"/>
          <w:szCs w:val="32"/>
          <w:highlight w:val="none"/>
          <w:lang w:val="en-US" w:eastAsia="zh-CN"/>
        </w:rPr>
        <w:t>A</w:t>
      </w:r>
      <w:r>
        <w:rPr>
          <w:rFonts w:hint="eastAsia" w:ascii="仿宋_GB2312" w:eastAsia="仿宋_GB2312"/>
          <w:sz w:val="32"/>
          <w:szCs w:val="32"/>
          <w:highlight w:val="none"/>
          <w:lang w:eastAsia="zh-CN"/>
        </w:rPr>
        <w:t>i南山企业服务综合平台</w:t>
      </w:r>
      <w:r>
        <w:rPr>
          <w:rFonts w:ascii="仿宋_GB2312" w:eastAsia="仿宋_GB2312"/>
          <w:sz w:val="32"/>
          <w:szCs w:val="32"/>
          <w:highlight w:val="none"/>
          <w:lang w:eastAsia="zh-CN"/>
        </w:rPr>
        <w:t>”</w:t>
      </w:r>
      <w:r>
        <w:rPr>
          <w:rFonts w:hint="eastAsia" w:ascii="仿宋_GB2312" w:eastAsia="仿宋_GB2312"/>
          <w:sz w:val="32"/>
          <w:szCs w:val="32"/>
          <w:highlight w:val="none"/>
          <w:lang w:eastAsia="zh-CN"/>
        </w:rPr>
        <w:t>（</w:t>
      </w:r>
      <w:r>
        <w:rPr>
          <w:rFonts w:hint="eastAsia" w:ascii="仿宋_GB2312" w:eastAsia="仿宋_GB2312"/>
          <w:kern w:val="2"/>
          <w:sz w:val="32"/>
          <w:szCs w:val="32"/>
          <w:highlight w:val="none"/>
        </w:rPr>
        <w:t>https://www.inanshan.org.cn/</w:t>
      </w:r>
      <w:r>
        <w:rPr>
          <w:rFonts w:hint="eastAsia" w:ascii="仿宋_GB2312" w:eastAsia="仿宋_GB2312"/>
          <w:sz w:val="32"/>
          <w:szCs w:val="32"/>
          <w:highlight w:val="none"/>
          <w:lang w:eastAsia="zh-CN"/>
        </w:rPr>
        <w:t>）</w:t>
      </w:r>
      <w:r>
        <w:rPr>
          <w:rFonts w:hint="eastAsia" w:ascii="仿宋_GB2312" w:eastAsia="仿宋_GB2312"/>
          <w:sz w:val="32"/>
          <w:szCs w:val="32"/>
          <w:lang w:eastAsia="zh-CN"/>
        </w:rPr>
        <w:t>，网上提交项目申报材料；</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（二）区企业发展服务中心受理</w:t>
      </w:r>
      <w:r>
        <w:rPr>
          <w:rFonts w:hint="eastAsia" w:ascii="仿宋_GB2312" w:eastAsia="仿宋_GB2312"/>
          <w:kern w:val="2"/>
          <w:sz w:val="32"/>
          <w:szCs w:val="32"/>
          <w:lang w:eastAsia="zh-CN"/>
        </w:rPr>
        <w:t>申请，对申报材料进行形式性审核</w:t>
      </w:r>
      <w:r>
        <w:rPr>
          <w:rFonts w:hint="eastAsia" w:ascii="仿宋_GB2312" w:eastAsia="仿宋_GB2312"/>
          <w:sz w:val="32"/>
          <w:szCs w:val="32"/>
          <w:lang w:eastAsia="zh-CN"/>
        </w:rPr>
        <w:t>，区</w:t>
      </w:r>
      <w:r>
        <w:rPr>
          <w:rFonts w:hint="eastAsia" w:ascii="仿宋_GB2312" w:eastAsia="仿宋_GB2312" w:cs="Times New Roman"/>
          <w:sz w:val="32"/>
          <w:szCs w:val="32"/>
          <w:highlight w:val="none"/>
          <w:lang w:val="en-US" w:eastAsia="zh-CN"/>
        </w:rPr>
        <w:t>文化广电旅游体育</w:t>
      </w:r>
      <w:r>
        <w:rPr>
          <w:rFonts w:hint="eastAsia" w:ascii="仿宋_GB2312" w:eastAsia="仿宋_GB2312"/>
          <w:sz w:val="32"/>
          <w:szCs w:val="32"/>
          <w:lang w:eastAsia="zh-CN"/>
        </w:rPr>
        <w:t xml:space="preserve">局复审项目申报材料； </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（三）区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局拟定资助计划；</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（四）区相关部门对申报主体的有关经营资质情况进行核查；</w:t>
      </w:r>
    </w:p>
    <w:p>
      <w:pPr>
        <w:spacing w:after="0" w:line="560" w:lineRule="exact"/>
        <w:ind w:firstLine="640" w:firstLineChars="200"/>
        <w:contextualSpacing/>
        <w:jc w:val="both"/>
        <w:rPr>
          <w:rFonts w:ascii="仿宋_GB2312" w:eastAsia="仿宋_GB2312"/>
          <w:sz w:val="32"/>
          <w:szCs w:val="32"/>
          <w:lang w:eastAsia="zh-Hans"/>
        </w:rPr>
      </w:pPr>
      <w:r>
        <w:rPr>
          <w:rFonts w:hint="eastAsia" w:ascii="仿宋_GB2312" w:eastAsia="仿宋_GB2312"/>
          <w:sz w:val="32"/>
          <w:szCs w:val="32"/>
          <w:lang w:eastAsia="zh-Hans"/>
        </w:rPr>
        <w:t>（</w:t>
      </w:r>
      <w:r>
        <w:rPr>
          <w:rFonts w:hint="eastAsia" w:ascii="仿宋_GB2312" w:eastAsia="仿宋_GB2312"/>
          <w:sz w:val="32"/>
          <w:szCs w:val="32"/>
          <w:lang w:eastAsia="zh-CN"/>
        </w:rPr>
        <w:t>五</w:t>
      </w:r>
      <w:r>
        <w:rPr>
          <w:rFonts w:hint="eastAsia" w:ascii="仿宋_GB2312" w:eastAsia="仿宋_GB2312"/>
          <w:sz w:val="32"/>
          <w:szCs w:val="32"/>
          <w:lang w:eastAsia="zh-Hans"/>
        </w:rPr>
        <w:t>）</w:t>
      </w:r>
      <w:r>
        <w:rPr>
          <w:rFonts w:hint="eastAsia" w:ascii="仿宋_GB2312" w:hAnsi="仿宋_GB2312" w:eastAsia="仿宋_GB2312" w:cs="仿宋_GB2312"/>
          <w:sz w:val="32"/>
          <w:szCs w:val="32"/>
          <w:lang w:eastAsia="zh-CN"/>
        </w:rPr>
        <w:t>区企业</w:t>
      </w:r>
      <w:r>
        <w:rPr>
          <w:rFonts w:hint="eastAsia" w:ascii="仿宋_GB2312" w:eastAsia="仿宋_GB2312"/>
          <w:sz w:val="32"/>
          <w:szCs w:val="32"/>
          <w:lang w:eastAsia="zh-CN"/>
        </w:rPr>
        <w:t>发展</w:t>
      </w:r>
      <w:r>
        <w:rPr>
          <w:rFonts w:hint="eastAsia" w:ascii="仿宋_GB2312" w:hAnsi="仿宋_GB2312" w:eastAsia="仿宋_GB2312" w:cs="仿宋_GB2312"/>
          <w:sz w:val="32"/>
          <w:szCs w:val="32"/>
          <w:lang w:eastAsia="zh-CN"/>
        </w:rPr>
        <w:t>服务中心将拟资助项目向社会公示5个工作日，</w:t>
      </w:r>
      <w:r>
        <w:rPr>
          <w:rFonts w:hint="eastAsia" w:ascii="仿宋_GB2312" w:hAnsi="宋体" w:eastAsia="仿宋_GB2312"/>
          <w:sz w:val="32"/>
          <w:szCs w:val="32"/>
          <w:lang w:eastAsia="zh-CN"/>
        </w:rPr>
        <w:t>对公示期满，无有效投诉的项目资助计划，</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w:t>
      </w:r>
      <w:r>
        <w:rPr>
          <w:rFonts w:hint="eastAsia" w:ascii="仿宋_GB2312" w:hAnsi="宋体" w:eastAsia="仿宋_GB2312"/>
          <w:sz w:val="32"/>
          <w:szCs w:val="32"/>
          <w:lang w:eastAsia="zh-CN"/>
        </w:rPr>
        <w:t>再按照相应审核程序提交审议</w:t>
      </w:r>
      <w:r>
        <w:rPr>
          <w:rFonts w:hint="eastAsia" w:ascii="仿宋_GB2312" w:eastAsia="仿宋_GB2312"/>
          <w:sz w:val="32"/>
          <w:szCs w:val="32"/>
          <w:lang w:eastAsia="zh-CN"/>
        </w:rPr>
        <w:t>；</w:t>
      </w:r>
    </w:p>
    <w:p>
      <w:pPr>
        <w:spacing w:after="0" w:line="560" w:lineRule="exact"/>
        <w:ind w:firstLine="640" w:firstLineChars="200"/>
        <w:contextualSpacing/>
        <w:jc w:val="both"/>
        <w:outlineLvl w:val="1"/>
        <w:rPr>
          <w:rFonts w:ascii="仿宋_GB2312" w:eastAsia="仿宋_GB2312"/>
          <w:sz w:val="32"/>
          <w:szCs w:val="32"/>
          <w:lang w:eastAsia="zh-CN"/>
        </w:rPr>
      </w:pPr>
      <w:r>
        <w:rPr>
          <w:rFonts w:hint="eastAsia" w:ascii="仿宋_GB2312" w:eastAsia="仿宋_GB2312"/>
          <w:sz w:val="32"/>
          <w:szCs w:val="32"/>
          <w:lang w:eastAsia="zh-CN"/>
        </w:rPr>
        <w:t>（</w:t>
      </w:r>
      <w:r>
        <w:rPr>
          <w:rFonts w:ascii="仿宋_GB2312" w:eastAsia="仿宋_GB2312"/>
          <w:sz w:val="32"/>
          <w:szCs w:val="32"/>
          <w:lang w:eastAsia="zh-CN"/>
        </w:rPr>
        <w:t>六</w:t>
      </w:r>
      <w:r>
        <w:rPr>
          <w:rFonts w:hint="eastAsia" w:ascii="仿宋_GB2312" w:eastAsia="仿宋_GB2312"/>
          <w:sz w:val="32"/>
          <w:szCs w:val="32"/>
          <w:lang w:eastAsia="zh-CN"/>
        </w:rPr>
        <w:t>）经审议后，由区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局直接行文下达资金计划；</w:t>
      </w:r>
    </w:p>
    <w:p>
      <w:pPr>
        <w:spacing w:after="0" w:line="560" w:lineRule="exact"/>
        <w:ind w:firstLine="640" w:firstLineChars="200"/>
        <w:contextualSpacing/>
        <w:jc w:val="both"/>
        <w:outlineLvl w:val="1"/>
        <w:rPr>
          <w:rFonts w:hint="eastAsia" w:ascii="仿宋_GB2312" w:hAnsi="宋体" w:eastAsia="仿宋_GB2312"/>
          <w:sz w:val="32"/>
          <w:szCs w:val="32"/>
          <w:lang w:eastAsia="zh-CN"/>
        </w:rPr>
      </w:pPr>
      <w:r>
        <w:rPr>
          <w:rFonts w:hint="eastAsia" w:ascii="仿宋_GB2312" w:hAnsi="宋体" w:eastAsia="仿宋_GB2312"/>
          <w:sz w:val="32"/>
          <w:szCs w:val="32"/>
        </w:rPr>
        <w:t>（七）申报主体线上提交加盖单位财务专用章的收据；</w:t>
      </w:r>
    </w:p>
    <w:p>
      <w:pPr>
        <w:spacing w:after="0" w:line="560" w:lineRule="exact"/>
        <w:ind w:firstLine="640" w:firstLineChars="200"/>
        <w:contextualSpacing/>
        <w:jc w:val="both"/>
        <w:outlineLvl w:val="1"/>
        <w:rPr>
          <w:rFonts w:hint="default"/>
          <w:lang w:val="en-US" w:eastAsia="zh-CN"/>
        </w:rPr>
      </w:pPr>
      <w:r>
        <w:rPr>
          <w:rFonts w:hint="eastAsia" w:ascii="仿宋_GB2312" w:hAnsi="宋体" w:eastAsia="仿宋_GB2312"/>
          <w:sz w:val="32"/>
          <w:szCs w:val="32"/>
          <w:lang w:eastAsia="zh-CN"/>
        </w:rPr>
        <w:t>（八）区财政部门及时安排资金，</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bookmarkStart w:id="0" w:name="_GoBack"/>
      <w:bookmarkEnd w:id="0"/>
      <w:r>
        <w:rPr>
          <w:rFonts w:hint="eastAsia" w:ascii="仿宋_GB2312" w:eastAsia="仿宋_GB2312"/>
          <w:sz w:val="32"/>
          <w:szCs w:val="32"/>
          <w:lang w:eastAsia="zh-CN"/>
        </w:rPr>
        <w:t>局</w:t>
      </w:r>
      <w:r>
        <w:rPr>
          <w:rFonts w:hint="eastAsia" w:ascii="仿宋_GB2312" w:hAnsi="宋体" w:eastAsia="仿宋_GB2312"/>
          <w:sz w:val="32"/>
          <w:szCs w:val="32"/>
          <w:lang w:eastAsia="zh-CN"/>
        </w:rPr>
        <w:t>办理资金拨付手续</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spacing w:line="560" w:lineRule="exact"/>
        <w:ind w:firstLine="640" w:firstLineChars="200"/>
        <w:contextualSpacing/>
        <w:jc w:val="both"/>
        <w:textAlignment w:val="auto"/>
        <w:rPr>
          <w:rFonts w:ascii="黑体" w:hAnsi="黑体" w:eastAsia="黑体"/>
          <w:bCs/>
          <w:kern w:val="2"/>
          <w:sz w:val="32"/>
          <w:szCs w:val="32"/>
          <w:highlight w:val="none"/>
          <w:lang w:eastAsia="zh-CN" w:bidi="ar-SA"/>
        </w:rPr>
      </w:pPr>
      <w:r>
        <w:rPr>
          <w:rFonts w:hint="eastAsia" w:ascii="黑体" w:hAnsi="黑体" w:eastAsia="黑体"/>
          <w:bCs/>
          <w:kern w:val="2"/>
          <w:sz w:val="32"/>
          <w:szCs w:val="32"/>
          <w:highlight w:val="none"/>
          <w:lang w:eastAsia="zh-CN" w:bidi="ar-SA"/>
        </w:rPr>
        <w:t>七、所需材料</w:t>
      </w:r>
    </w:p>
    <w:p>
      <w:pPr>
        <w:adjustRightInd w:val="0"/>
        <w:snapToGrid w:val="0"/>
        <w:spacing w:line="560" w:lineRule="exact"/>
        <w:ind w:firstLine="656" w:firstLineChars="200"/>
        <w:rPr>
          <w:rFonts w:hint="eastAsia" w:ascii="仿宋_GB2312" w:hAnsi="宋体" w:eastAsia="仿宋_GB2312" w:cs="宋体"/>
          <w:spacing w:val="4"/>
          <w:kern w:val="0"/>
          <w:sz w:val="32"/>
          <w:szCs w:val="32"/>
          <w:lang w:val="en-US" w:eastAsia="zh-CN"/>
        </w:rPr>
      </w:pPr>
      <w:r>
        <w:rPr>
          <w:rFonts w:hint="eastAsia" w:ascii="仿宋_GB2312" w:hAnsi="宋体" w:eastAsia="仿宋_GB2312" w:cs="宋体"/>
          <w:spacing w:val="4"/>
          <w:kern w:val="0"/>
          <w:sz w:val="32"/>
          <w:szCs w:val="32"/>
        </w:rPr>
        <w:t>登录“</w:t>
      </w:r>
      <w:r>
        <w:rPr>
          <w:rFonts w:hint="eastAsia" w:ascii="仿宋_GB2312" w:hAnsi="宋体" w:eastAsia="仿宋_GB2312" w:cs="宋体"/>
          <w:spacing w:val="4"/>
          <w:kern w:val="0"/>
          <w:sz w:val="32"/>
          <w:szCs w:val="32"/>
          <w:lang w:val="en-US" w:eastAsia="zh-CN"/>
        </w:rPr>
        <w:t>A</w:t>
      </w:r>
      <w:r>
        <w:rPr>
          <w:rFonts w:hint="eastAsia" w:ascii="仿宋_GB2312" w:hAnsi="宋体" w:eastAsia="仿宋_GB2312" w:cs="宋体"/>
          <w:spacing w:val="4"/>
          <w:kern w:val="0"/>
          <w:sz w:val="32"/>
          <w:szCs w:val="32"/>
        </w:rPr>
        <w:t>i南山企业服务综合平台”（https://www.inanshan.org.cn/）在线填写《南山区促进产业高质量发展专项资金—区文化广电旅游体育局分项资金-</w:t>
      </w:r>
      <w:r>
        <w:rPr>
          <w:rFonts w:hint="eastAsia" w:ascii="仿宋_GB2312" w:hAnsi="宋体" w:eastAsia="仿宋_GB2312" w:cs="宋体"/>
          <w:spacing w:val="4"/>
          <w:kern w:val="0"/>
          <w:sz w:val="32"/>
          <w:szCs w:val="32"/>
          <w:lang w:eastAsia="zh-CN"/>
        </w:rPr>
        <w:t>鼓励企业发展工业旅游</w:t>
      </w:r>
      <w:r>
        <w:rPr>
          <w:rFonts w:hint="eastAsia" w:ascii="仿宋_GB2312" w:hAnsi="宋体" w:eastAsia="仿宋_GB2312" w:cs="宋体"/>
          <w:spacing w:val="4"/>
          <w:kern w:val="0"/>
          <w:sz w:val="32"/>
          <w:szCs w:val="32"/>
          <w:lang w:val="en-US" w:eastAsia="zh-CN"/>
        </w:rPr>
        <w:t>项目申请书</w:t>
      </w:r>
      <w:r>
        <w:rPr>
          <w:rFonts w:hint="eastAsia" w:ascii="仿宋_GB2312" w:hAnsi="宋体" w:eastAsia="仿宋_GB2312" w:cs="宋体"/>
          <w:spacing w:val="4"/>
          <w:kern w:val="0"/>
          <w:sz w:val="32"/>
          <w:szCs w:val="32"/>
        </w:rPr>
        <w:t>》。</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4590"/>
        <w:gridCol w:w="1185"/>
        <w:gridCol w:w="16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center"/>
              <w:rPr>
                <w:rFonts w:ascii="楷体" w:hAnsi="楷体" w:eastAsia="楷体"/>
                <w:b/>
                <w:bCs/>
                <w:sz w:val="24"/>
              </w:rPr>
            </w:pPr>
            <w:r>
              <w:rPr>
                <w:rFonts w:hint="eastAsia" w:ascii="楷体" w:hAnsi="楷体" w:eastAsia="楷体"/>
                <w:b/>
                <w:bCs/>
                <w:sz w:val="24"/>
              </w:rPr>
              <w:t>序号</w:t>
            </w:r>
          </w:p>
        </w:tc>
        <w:tc>
          <w:tcPr>
            <w:tcW w:w="4590" w:type="dxa"/>
            <w:vAlign w:val="center"/>
          </w:tcPr>
          <w:p>
            <w:pPr>
              <w:jc w:val="center"/>
              <w:rPr>
                <w:rFonts w:ascii="楷体" w:hAnsi="楷体" w:eastAsia="楷体"/>
                <w:b/>
                <w:bCs/>
                <w:sz w:val="24"/>
              </w:rPr>
            </w:pPr>
            <w:r>
              <w:rPr>
                <w:rFonts w:hint="eastAsia" w:ascii="楷体" w:hAnsi="楷体" w:eastAsia="楷体"/>
                <w:b/>
                <w:bCs/>
                <w:sz w:val="24"/>
              </w:rPr>
              <w:t>附件名称</w:t>
            </w:r>
          </w:p>
        </w:tc>
        <w:tc>
          <w:tcPr>
            <w:tcW w:w="1185" w:type="dxa"/>
            <w:vAlign w:val="center"/>
          </w:tcPr>
          <w:p>
            <w:pPr>
              <w:jc w:val="center"/>
              <w:rPr>
                <w:rFonts w:ascii="楷体" w:hAnsi="楷体" w:eastAsia="楷体"/>
                <w:b/>
                <w:bCs/>
                <w:sz w:val="24"/>
              </w:rPr>
            </w:pPr>
            <w:r>
              <w:rPr>
                <w:rFonts w:hint="eastAsia" w:ascii="楷体" w:hAnsi="楷体" w:eastAsia="楷体"/>
                <w:b/>
                <w:bCs/>
                <w:sz w:val="24"/>
              </w:rPr>
              <w:t>是否必备材料</w:t>
            </w:r>
          </w:p>
        </w:tc>
        <w:tc>
          <w:tcPr>
            <w:tcW w:w="1674" w:type="dxa"/>
            <w:vAlign w:val="center"/>
          </w:tcPr>
          <w:p>
            <w:pPr>
              <w:jc w:val="center"/>
              <w:rPr>
                <w:rFonts w:hint="eastAsia" w:ascii="楷体" w:hAnsi="楷体" w:eastAsia="楷体"/>
                <w:b/>
                <w:bCs/>
                <w:sz w:val="24"/>
              </w:rPr>
            </w:pPr>
            <w:r>
              <w:rPr>
                <w:rFonts w:hint="eastAsia" w:ascii="楷体" w:hAnsi="楷体" w:eastAsia="楷体"/>
                <w:b/>
                <w:bCs/>
                <w:sz w:val="24"/>
              </w:rPr>
              <w:t>网上提交资料要求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4590"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《南山区促进产业高质量发展专项资金—区文化广电旅游体育局分项资金-</w:t>
            </w:r>
            <w:r>
              <w:rPr>
                <w:rFonts w:hint="eastAsia" w:ascii="宋体" w:hAnsi="宋体" w:eastAsia="宋体" w:cs="宋体"/>
                <w:color w:val="auto"/>
                <w:sz w:val="21"/>
                <w:szCs w:val="21"/>
                <w:highlight w:val="none"/>
                <w:lang w:eastAsia="zh-CN"/>
              </w:rPr>
              <w:t>鼓励企业发展工业旅游项目</w:t>
            </w:r>
            <w:r>
              <w:rPr>
                <w:rFonts w:hint="eastAsia" w:ascii="宋体" w:hAnsi="宋体" w:eastAsia="宋体" w:cs="宋体"/>
                <w:color w:val="auto"/>
                <w:sz w:val="21"/>
                <w:szCs w:val="21"/>
                <w:highlight w:val="none"/>
              </w:rPr>
              <w:t>申请书》</w:t>
            </w:r>
          </w:p>
        </w:tc>
        <w:tc>
          <w:tcPr>
            <w:tcW w:w="1185" w:type="dxa"/>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w:t>
            </w:r>
          </w:p>
        </w:tc>
        <w:tc>
          <w:tcPr>
            <w:tcW w:w="1674"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法定代表人签字并加盖单位公章后，原件彩色扫描成PDF文件上传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4590" w:type="dxa"/>
            <w:vAlign w:val="center"/>
          </w:tcPr>
          <w:p>
            <w:pPr>
              <w:jc w:val="left"/>
              <w:rPr>
                <w:rFonts w:hint="eastAsia" w:ascii="宋体" w:hAnsi="宋体" w:eastAsia="宋体" w:cs="宋体"/>
                <w:color w:val="auto"/>
                <w:sz w:val="21"/>
                <w:szCs w:val="21"/>
                <w:highlight w:val="none"/>
              </w:rPr>
            </w:pPr>
            <w:r>
              <w:rPr>
                <w:rFonts w:hint="eastAsia"/>
                <w:color w:val="000000" w:themeColor="text1"/>
                <w:highlight w:val="none"/>
                <w14:textFill>
                  <w14:solidFill>
                    <w14:schemeClr w14:val="tx1"/>
                  </w14:solidFill>
                </w14:textFill>
              </w:rPr>
              <w:t>统一社会信用代码证书（新版“三证合一”营业执照、事业单位提交新版“三证合一”法人证书；未换领“三证合一”新版营业执照的，提交原旧版营业执照、组织机构代码证书、税务登记证书）</w:t>
            </w:r>
          </w:p>
        </w:tc>
        <w:tc>
          <w:tcPr>
            <w:tcW w:w="1185" w:type="dxa"/>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w:t>
            </w:r>
          </w:p>
        </w:tc>
        <w:tc>
          <w:tcPr>
            <w:tcW w:w="1674"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原件彩色扫描成PDF文件上传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4590"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法定代表人身份证</w:t>
            </w:r>
          </w:p>
        </w:tc>
        <w:tc>
          <w:tcPr>
            <w:tcW w:w="1185" w:type="dxa"/>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w:t>
            </w:r>
          </w:p>
        </w:tc>
        <w:tc>
          <w:tcPr>
            <w:tcW w:w="1674"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原件（或复印件加盖单位公章）彩色扫描成PDF文件上传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c>
          <w:tcPr>
            <w:tcW w:w="4590"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申报主体由税务部门开具的单位上年度纳税证明，事业单位除外</w:t>
            </w:r>
          </w:p>
        </w:tc>
        <w:tc>
          <w:tcPr>
            <w:tcW w:w="1185" w:type="dxa"/>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w:t>
            </w:r>
          </w:p>
        </w:tc>
        <w:tc>
          <w:tcPr>
            <w:tcW w:w="1674" w:type="dxa"/>
            <w:vAlign w:val="center"/>
          </w:tcPr>
          <w:p>
            <w:pPr>
              <w:jc w:val="left"/>
              <w:rPr>
                <w:rFonts w:hint="default" w:ascii="宋体" w:hAnsi="宋体" w:eastAsia="宋体" w:cs="宋体"/>
                <w:color w:val="auto"/>
                <w:sz w:val="21"/>
                <w:szCs w:val="21"/>
                <w:highlight w:val="none"/>
                <w:lang w:val="en"/>
              </w:rPr>
            </w:pPr>
            <w:r>
              <w:rPr>
                <w:rFonts w:hint="eastAsia" w:ascii="宋体" w:hAnsi="宋体" w:eastAsia="宋体" w:cs="宋体"/>
                <w:color w:val="auto"/>
                <w:sz w:val="21"/>
                <w:szCs w:val="21"/>
                <w:highlight w:val="none"/>
              </w:rPr>
              <w:t>上传税务系统下载带有税务机关红色印章的电子版</w:t>
            </w:r>
            <w:r>
              <w:rPr>
                <w:rFonts w:hint="default" w:ascii="宋体" w:hAnsi="宋体" w:cs="宋体"/>
                <w:color w:val="auto"/>
                <w:sz w:val="21"/>
                <w:szCs w:val="21"/>
                <w:highlight w:val="none"/>
                <w:lang w:val="en"/>
              </w:rPr>
              <w:t>，事业单位除外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p>
        </w:tc>
        <w:tc>
          <w:tcPr>
            <w:tcW w:w="4590"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工业旅游景点单位提供年度工业旅游项目开展情况报告</w:t>
            </w:r>
          </w:p>
        </w:tc>
        <w:tc>
          <w:tcPr>
            <w:tcW w:w="1185" w:type="dxa"/>
            <w:vAlign w:val="center"/>
          </w:tcPr>
          <w:p>
            <w:pPr>
              <w:spacing w:line="276" w:lineRule="auto"/>
              <w:jc w:val="center"/>
              <w:rPr>
                <w:rFonts w:hint="eastAsia" w:ascii="宋体" w:hAnsi="宋体" w:eastAsia="宋体" w:cs="宋体"/>
                <w:color w:val="auto"/>
                <w:sz w:val="21"/>
                <w:szCs w:val="21"/>
                <w:highlight w:val="none"/>
              </w:rPr>
            </w:pPr>
            <w:r>
              <w:rPr>
                <w:rFonts w:hint="eastAsia" w:ascii="宋体" w:hAnsi="宋体" w:cs="Times New Roman"/>
                <w:szCs w:val="21"/>
                <w:highlight w:val="none"/>
                <w:lang w:val="en-US" w:eastAsia="zh-CN"/>
              </w:rPr>
              <w:t>是</w:t>
            </w:r>
          </w:p>
        </w:tc>
        <w:tc>
          <w:tcPr>
            <w:tcW w:w="1674" w:type="dxa"/>
            <w:vMerge w:val="restart"/>
            <w:vAlign w:val="center"/>
          </w:tcPr>
          <w:p>
            <w:pPr>
              <w:jc w:val="center"/>
              <w:rPr>
                <w:rFonts w:hint="eastAsia" w:ascii="楷体" w:hAnsi="楷体" w:eastAsia="楷体"/>
                <w:sz w:val="24"/>
              </w:rPr>
            </w:pPr>
            <w:r>
              <w:rPr>
                <w:rFonts w:hint="eastAsia" w:ascii="宋体" w:hAnsi="宋体" w:eastAsia="宋体" w:cs="宋体"/>
                <w:color w:val="auto"/>
                <w:sz w:val="21"/>
                <w:szCs w:val="21"/>
                <w:highlight w:val="none"/>
              </w:rPr>
              <w:t>原件彩色扫描PDF</w:t>
            </w:r>
            <w:r>
              <w:rPr>
                <w:rFonts w:hint="eastAsia" w:ascii="宋体" w:hAnsi="宋体" w:eastAsia="宋体" w:cs="宋体"/>
                <w:color w:val="auto"/>
                <w:sz w:val="21"/>
                <w:szCs w:val="21"/>
                <w:highlight w:val="none"/>
                <w:lang w:eastAsia="zh-CN"/>
              </w:rPr>
              <w:t>文件</w:t>
            </w:r>
            <w:r>
              <w:rPr>
                <w:rFonts w:hint="eastAsia" w:ascii="宋体" w:hAnsi="宋体" w:eastAsia="宋体" w:cs="宋体"/>
                <w:color w:val="auto"/>
                <w:sz w:val="21"/>
                <w:szCs w:val="21"/>
                <w:highlight w:val="none"/>
              </w:rPr>
              <w:t>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w:t>
            </w:r>
          </w:p>
        </w:tc>
        <w:tc>
          <w:tcPr>
            <w:tcW w:w="4590" w:type="dxa"/>
            <w:vAlign w:val="center"/>
          </w:tcPr>
          <w:p>
            <w:pPr>
              <w:jc w:val="left"/>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与项目实施有关的合同、协议</w:t>
            </w:r>
          </w:p>
        </w:tc>
        <w:tc>
          <w:tcPr>
            <w:tcW w:w="1185" w:type="dxa"/>
            <w:vAlign w:val="center"/>
          </w:tcPr>
          <w:p>
            <w:pPr>
              <w:spacing w:line="276" w:lineRule="auto"/>
              <w:jc w:val="center"/>
              <w:rPr>
                <w:rFonts w:hint="eastAsia" w:ascii="宋体" w:hAnsi="宋体" w:eastAsia="宋体" w:cs="宋体"/>
                <w:color w:val="auto"/>
                <w:sz w:val="21"/>
                <w:szCs w:val="21"/>
                <w:highlight w:val="none"/>
              </w:rPr>
            </w:pPr>
            <w:r>
              <w:rPr>
                <w:rFonts w:hint="eastAsia" w:ascii="宋体" w:hAnsi="宋体" w:cs="Times New Roman"/>
                <w:szCs w:val="21"/>
                <w:highlight w:val="none"/>
                <w:lang w:val="en-US" w:eastAsia="zh-CN"/>
              </w:rPr>
              <w:t>是</w:t>
            </w:r>
          </w:p>
        </w:tc>
        <w:tc>
          <w:tcPr>
            <w:tcW w:w="1674" w:type="dxa"/>
            <w:vMerge w:val="continue"/>
            <w:vAlign w:val="center"/>
          </w:tcPr>
          <w:p>
            <w:pPr>
              <w:jc w:val="center"/>
              <w:rPr>
                <w:rFonts w:hint="eastAsia"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w:t>
            </w:r>
          </w:p>
        </w:tc>
        <w:tc>
          <w:tcPr>
            <w:tcW w:w="4590" w:type="dxa"/>
            <w:vAlign w:val="center"/>
          </w:tcPr>
          <w:p>
            <w:pPr>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接待游客现场照片</w:t>
            </w:r>
          </w:p>
        </w:tc>
        <w:tc>
          <w:tcPr>
            <w:tcW w:w="1185" w:type="dxa"/>
            <w:vAlign w:val="center"/>
          </w:tcPr>
          <w:p>
            <w:pPr>
              <w:spacing w:line="276" w:lineRule="auto"/>
              <w:jc w:val="center"/>
              <w:rPr>
                <w:rFonts w:hint="eastAsia" w:ascii="宋体" w:hAnsi="宋体" w:eastAsia="宋体" w:cs="宋体"/>
                <w:color w:val="auto"/>
                <w:sz w:val="21"/>
                <w:szCs w:val="21"/>
                <w:highlight w:val="none"/>
              </w:rPr>
            </w:pPr>
            <w:r>
              <w:rPr>
                <w:rFonts w:hint="eastAsia" w:ascii="宋体" w:hAnsi="宋体" w:cs="Times New Roman"/>
                <w:szCs w:val="21"/>
                <w:highlight w:val="none"/>
                <w:lang w:val="en-US" w:eastAsia="zh-CN"/>
              </w:rPr>
              <w:t>是</w:t>
            </w:r>
          </w:p>
        </w:tc>
        <w:tc>
          <w:tcPr>
            <w:tcW w:w="1674" w:type="dxa"/>
            <w:vMerge w:val="continue"/>
            <w:vAlign w:val="center"/>
          </w:tcPr>
          <w:p>
            <w:pPr>
              <w:jc w:val="center"/>
              <w:rPr>
                <w:rFonts w:hint="eastAsia"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w:t>
            </w:r>
          </w:p>
        </w:tc>
        <w:tc>
          <w:tcPr>
            <w:tcW w:w="4590"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项目投入明细表，其中须包括合同时间、合同名称、合同金额等</w:t>
            </w:r>
          </w:p>
        </w:tc>
        <w:tc>
          <w:tcPr>
            <w:tcW w:w="1185" w:type="dxa"/>
            <w:vAlign w:val="center"/>
          </w:tcPr>
          <w:p>
            <w:pPr>
              <w:spacing w:line="276" w:lineRule="auto"/>
              <w:jc w:val="center"/>
              <w:rPr>
                <w:rFonts w:hint="eastAsia" w:ascii="宋体" w:hAnsi="宋体" w:eastAsia="宋体" w:cs="宋体"/>
                <w:color w:val="auto"/>
                <w:sz w:val="21"/>
                <w:szCs w:val="21"/>
                <w:highlight w:val="none"/>
              </w:rPr>
            </w:pPr>
            <w:r>
              <w:rPr>
                <w:rFonts w:hint="eastAsia" w:ascii="宋体" w:hAnsi="宋体" w:cs="Times New Roman"/>
                <w:szCs w:val="21"/>
                <w:highlight w:val="none"/>
                <w:lang w:val="en-US" w:eastAsia="zh-CN"/>
              </w:rPr>
              <w:t>是</w:t>
            </w:r>
          </w:p>
        </w:tc>
        <w:tc>
          <w:tcPr>
            <w:tcW w:w="1674" w:type="dxa"/>
            <w:vMerge w:val="continue"/>
            <w:vAlign w:val="center"/>
          </w:tcPr>
          <w:p>
            <w:pPr>
              <w:jc w:val="center"/>
              <w:rPr>
                <w:rFonts w:hint="eastAsia"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left"/>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9</w:t>
            </w:r>
          </w:p>
        </w:tc>
        <w:tc>
          <w:tcPr>
            <w:tcW w:w="4590"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有资质的会计事务所提供的项目投入专项审计报告</w:t>
            </w:r>
          </w:p>
        </w:tc>
        <w:tc>
          <w:tcPr>
            <w:tcW w:w="1185" w:type="dxa"/>
            <w:vAlign w:val="center"/>
          </w:tcPr>
          <w:p>
            <w:pPr>
              <w:spacing w:line="276" w:lineRule="auto"/>
              <w:jc w:val="center"/>
              <w:rPr>
                <w:rFonts w:hint="eastAsia" w:ascii="宋体" w:hAnsi="宋体" w:eastAsia="宋体" w:cs="宋体"/>
                <w:color w:val="auto"/>
                <w:sz w:val="21"/>
                <w:szCs w:val="21"/>
                <w:highlight w:val="none"/>
              </w:rPr>
            </w:pPr>
            <w:r>
              <w:rPr>
                <w:rFonts w:hint="eastAsia" w:ascii="宋体" w:hAnsi="宋体" w:cs="Times New Roman"/>
                <w:szCs w:val="21"/>
                <w:highlight w:val="none"/>
                <w:lang w:val="en-US" w:eastAsia="zh-CN"/>
              </w:rPr>
              <w:t>是</w:t>
            </w:r>
          </w:p>
        </w:tc>
        <w:tc>
          <w:tcPr>
            <w:tcW w:w="1674" w:type="dxa"/>
            <w:vMerge w:val="continue"/>
            <w:vAlign w:val="center"/>
          </w:tcPr>
          <w:p>
            <w:pPr>
              <w:jc w:val="center"/>
              <w:rPr>
                <w:rFonts w:hint="eastAsia"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left"/>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10</w:t>
            </w:r>
          </w:p>
        </w:tc>
        <w:tc>
          <w:tcPr>
            <w:tcW w:w="4590"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审核部门认为需要提供的其他材料</w:t>
            </w:r>
          </w:p>
        </w:tc>
        <w:tc>
          <w:tcPr>
            <w:tcW w:w="1185" w:type="dxa"/>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否</w:t>
            </w:r>
          </w:p>
        </w:tc>
        <w:tc>
          <w:tcPr>
            <w:tcW w:w="1674" w:type="dxa"/>
            <w:vAlign w:val="center"/>
          </w:tcPr>
          <w:p>
            <w:pPr>
              <w:jc w:val="center"/>
              <w:rPr>
                <w:rFonts w:hint="eastAsia" w:ascii="楷体" w:hAnsi="楷体" w:eastAsia="楷体"/>
                <w:sz w:val="24"/>
              </w:rPr>
            </w:pPr>
            <w:r>
              <w:rPr>
                <w:rFonts w:hint="eastAsia" w:ascii="宋体" w:hAnsi="宋体" w:eastAsia="宋体" w:cs="宋体"/>
                <w:color w:val="auto"/>
                <w:sz w:val="21"/>
                <w:szCs w:val="21"/>
                <w:highlight w:val="none"/>
              </w:rPr>
              <w:t>原件彩色扫描PDF</w:t>
            </w:r>
            <w:r>
              <w:rPr>
                <w:rFonts w:hint="eastAsia" w:ascii="宋体" w:hAnsi="宋体" w:eastAsia="宋体" w:cs="宋体"/>
                <w:color w:val="auto"/>
                <w:sz w:val="21"/>
                <w:szCs w:val="21"/>
                <w:highlight w:val="none"/>
                <w:lang w:eastAsia="zh-CN"/>
              </w:rPr>
              <w:t>文件</w:t>
            </w:r>
            <w:r>
              <w:rPr>
                <w:rFonts w:hint="eastAsia" w:ascii="宋体" w:hAnsi="宋体" w:eastAsia="宋体" w:cs="宋体"/>
                <w:color w:val="auto"/>
                <w:sz w:val="21"/>
                <w:szCs w:val="21"/>
                <w:highlight w:val="none"/>
              </w:rPr>
              <w:t>上传</w:t>
            </w:r>
          </w:p>
        </w:tc>
      </w:tr>
    </w:tbl>
    <w:p>
      <w:pPr>
        <w:widowControl/>
        <w:adjustRightInd w:val="0"/>
        <w:snapToGrid w:val="0"/>
        <w:spacing w:line="560" w:lineRule="exact"/>
        <w:ind w:firstLine="537" w:firstLineChars="168"/>
        <w:rPr>
          <w:rFonts w:hint="eastAsia" w:hAnsi="黑体" w:eastAsia="黑体"/>
          <w:color w:val="000000"/>
          <w:sz w:val="32"/>
          <w:szCs w:val="32"/>
          <w:lang w:eastAsia="zh-CN"/>
        </w:rPr>
      </w:pPr>
      <w:r>
        <w:rPr>
          <w:rFonts w:hint="eastAsia" w:hAnsi="黑体" w:eastAsia="黑体"/>
          <w:color w:val="000000"/>
          <w:sz w:val="32"/>
          <w:szCs w:val="32"/>
          <w:lang w:eastAsia="zh-CN"/>
        </w:rPr>
        <w:t>八、时限要求</w:t>
      </w:r>
    </w:p>
    <w:p>
      <w:pPr>
        <w:widowControl/>
        <w:adjustRightInd/>
        <w:snapToGrid/>
        <w:spacing w:line="560" w:lineRule="exact"/>
        <w:ind w:firstLine="640" w:firstLineChars="200"/>
        <w:contextualSpacing/>
        <w:rPr>
          <w:rFonts w:hint="eastAsia" w:ascii="仿宋_GB2312" w:hAnsi="仿宋" w:eastAsia="仿宋_GB2312"/>
          <w:color w:val="000000"/>
          <w:sz w:val="32"/>
          <w:szCs w:val="32"/>
          <w:lang w:eastAsia="zh-CN"/>
        </w:rPr>
      </w:pPr>
      <w:r>
        <w:rPr>
          <w:rFonts w:hint="eastAsia" w:ascii="仿宋_GB2312" w:hAnsi="仿宋" w:eastAsia="仿宋_GB2312"/>
          <w:color w:val="000000"/>
          <w:sz w:val="32"/>
          <w:szCs w:val="32"/>
          <w:lang w:eastAsia="zh-CN"/>
        </w:rPr>
        <w:t>（一）区文化广电旅游体育局视申请情况安排集中受理企业申请，具体受理时间以发布的申报通知为准。</w:t>
      </w:r>
    </w:p>
    <w:p>
      <w:pPr>
        <w:widowControl/>
        <w:adjustRightInd/>
        <w:snapToGrid/>
        <w:spacing w:line="560" w:lineRule="exact"/>
        <w:ind w:firstLine="640" w:firstLineChars="200"/>
        <w:contextualSpacing/>
        <w:rPr>
          <w:rFonts w:hint="eastAsia" w:ascii="仿宋_GB2312" w:hAnsi="仿宋" w:eastAsia="仿宋_GB2312"/>
          <w:color w:val="000000"/>
          <w:sz w:val="32"/>
          <w:szCs w:val="32"/>
          <w:lang w:eastAsia="zh-CN"/>
        </w:rPr>
      </w:pPr>
      <w:r>
        <w:rPr>
          <w:rFonts w:hint="eastAsia" w:ascii="仿宋_GB2312" w:hAnsi="仿宋" w:eastAsia="仿宋_GB2312"/>
          <w:color w:val="000000"/>
          <w:sz w:val="32"/>
          <w:szCs w:val="32"/>
          <w:lang w:eastAsia="zh-CN"/>
        </w:rPr>
        <w:t>（二）申报主体须按照区文化广电旅游体育局相关通知要求及时提交资金拨付所需材料，逾期不办理者视为自动放弃。</w:t>
      </w:r>
    </w:p>
    <w:p>
      <w:pPr>
        <w:widowControl/>
        <w:adjustRightInd w:val="0"/>
        <w:snapToGrid w:val="0"/>
        <w:spacing w:line="560" w:lineRule="exact"/>
        <w:ind w:firstLine="537" w:firstLineChars="168"/>
        <w:rPr>
          <w:rFonts w:hint="eastAsia" w:hAnsi="黑体" w:eastAsia="黑体"/>
          <w:color w:val="000000"/>
          <w:sz w:val="32"/>
          <w:szCs w:val="32"/>
          <w:lang w:eastAsia="zh-CN"/>
        </w:rPr>
      </w:pPr>
      <w:r>
        <w:rPr>
          <w:rFonts w:hint="eastAsia" w:hAnsi="黑体" w:eastAsia="黑体"/>
          <w:color w:val="000000"/>
          <w:sz w:val="32"/>
          <w:szCs w:val="32"/>
          <w:lang w:eastAsia="zh-CN"/>
        </w:rPr>
        <w:t>九、其他事项</w:t>
      </w:r>
    </w:p>
    <w:p>
      <w:pPr>
        <w:widowControl/>
        <w:adjustRightInd/>
        <w:snapToGrid/>
        <w:spacing w:line="560" w:lineRule="exact"/>
        <w:ind w:firstLine="640" w:firstLineChars="200"/>
        <w:contextualSpacing/>
        <w:rPr>
          <w:rFonts w:hint="eastAsia" w:ascii="仿宋_GB2312" w:hAnsi="仿宋" w:eastAsia="仿宋_GB2312"/>
          <w:color w:val="000000"/>
          <w:sz w:val="32"/>
          <w:szCs w:val="32"/>
          <w:lang w:eastAsia="zh-CN"/>
        </w:rPr>
      </w:pPr>
      <w:r>
        <w:rPr>
          <w:rFonts w:hint="eastAsia" w:ascii="仿宋_GB2312" w:hAnsi="仿宋" w:eastAsia="仿宋_GB2312"/>
          <w:color w:val="000000"/>
          <w:sz w:val="32"/>
          <w:szCs w:val="32"/>
          <w:lang w:eastAsia="zh-CN"/>
        </w:rPr>
        <w:t>（一）本项目所依据的政策内容执行期间如遇国家、省、市有关政策调整的，按照上级有关规定执行。</w:t>
      </w:r>
    </w:p>
    <w:p>
      <w:pPr>
        <w:spacing w:after="0" w:line="560" w:lineRule="exact"/>
        <w:ind w:firstLine="640" w:firstLineChars="200"/>
        <w:contextualSpacing/>
        <w:rPr>
          <w:rFonts w:hint="eastAsia" w:ascii="仿宋_GB2312" w:hAnsi="仿宋" w:eastAsia="仿宋_GB2312"/>
          <w:sz w:val="32"/>
          <w:szCs w:val="32"/>
          <w:lang w:eastAsia="zh-CN"/>
        </w:rPr>
      </w:pPr>
      <w:r>
        <w:rPr>
          <w:rFonts w:hint="eastAsia" w:ascii="仿宋_GB2312" w:hAnsi="仿宋" w:eastAsia="仿宋_GB2312"/>
          <w:color w:val="000000"/>
          <w:sz w:val="32"/>
          <w:szCs w:val="32"/>
          <w:lang w:eastAsia="zh-CN"/>
        </w:rPr>
        <w:t>（二）申请本项目资助的主体应保证其申报材料的完整性、真实性、准确性及合法性，并承担因其提交的项目申报材料产生的相关法律责任，如有虚假或侵权等行为，该项目申请无效，如事后发现存在以上行为，本资金主管部门将保留依法追究其法律责任的权利。</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hAnsi="黑体" w:eastAsia="黑体"/>
          <w:color w:val="000000"/>
          <w:sz w:val="32"/>
          <w:szCs w:val="32"/>
          <w:lang w:eastAsia="zh-CN"/>
        </w:rPr>
      </w:pPr>
      <w:r>
        <w:rPr>
          <w:rFonts w:hint="eastAsia" w:hAnsi="黑体" w:eastAsia="黑体"/>
          <w:color w:val="000000"/>
          <w:sz w:val="32"/>
          <w:szCs w:val="32"/>
          <w:lang w:eastAsia="zh-CN"/>
        </w:rPr>
        <w:t>十、附则</w:t>
      </w:r>
    </w:p>
    <w:p>
      <w:pPr>
        <w:spacing w:after="0" w:line="560" w:lineRule="exact"/>
        <w:ind w:firstLine="640" w:firstLineChars="200"/>
        <w:contextualSpacing/>
        <w:rPr>
          <w:rFonts w:hint="eastAsia" w:ascii="仿宋_GB2312" w:hAnsi="宋体" w:eastAsia="仿宋_GB2312" w:cs="宋体"/>
          <w:spacing w:val="4"/>
          <w:kern w:val="0"/>
          <w:sz w:val="32"/>
          <w:szCs w:val="32"/>
          <w:lang w:val="en-US" w:eastAsia="zh-CN" w:bidi="ar-SA"/>
        </w:rPr>
      </w:pPr>
      <w:r>
        <w:rPr>
          <w:rFonts w:hint="eastAsia" w:ascii="仿宋_GB2312" w:hAnsi="仿宋" w:eastAsia="仿宋_GB2312"/>
          <w:sz w:val="32"/>
          <w:szCs w:val="32"/>
          <w:lang w:eastAsia="zh-CN"/>
        </w:rPr>
        <w:t>本项目责任部门为区</w:t>
      </w:r>
      <w:r>
        <w:rPr>
          <w:rFonts w:hint="eastAsia" w:ascii="仿宋_GB2312" w:hAnsi="仿宋" w:eastAsia="仿宋_GB2312"/>
          <w:sz w:val="32"/>
          <w:szCs w:val="32"/>
          <w:lang w:val="en-US" w:eastAsia="zh-CN"/>
        </w:rPr>
        <w:t>文化广电旅游体育</w:t>
      </w:r>
      <w:r>
        <w:rPr>
          <w:rFonts w:hint="eastAsia" w:ascii="仿宋_GB2312" w:hAnsi="仿宋" w:eastAsia="仿宋_GB2312"/>
          <w:sz w:val="32"/>
          <w:szCs w:val="32"/>
          <w:lang w:eastAsia="zh-CN"/>
        </w:rPr>
        <w:t>局，本操作规程由其负责解释，自发布之日起施行。</w:t>
      </w:r>
    </w:p>
    <w:p/>
    <w:p>
      <w:pPr>
        <w:keepNext w:val="0"/>
        <w:keepLines w:val="0"/>
        <w:pageBreakBefore w:val="0"/>
        <w:widowControl w:val="0"/>
        <w:kinsoku/>
        <w:wordWrap/>
        <w:overflowPunct/>
        <w:topLinePunct w:val="0"/>
        <w:autoSpaceDE/>
        <w:autoSpaceDN/>
        <w:bidi w:val="0"/>
        <w:spacing w:line="560" w:lineRule="exact"/>
        <w:ind w:firstLine="640" w:firstLineChars="200"/>
        <w:contextualSpacing/>
        <w:jc w:val="both"/>
        <w:textAlignment w:val="auto"/>
        <w:rPr>
          <w:rFonts w:hint="eastAsia" w:ascii="仿宋_GB2312" w:hAnsi="ˎ̥" w:eastAsia="仿宋_GB2312" w:cs="宋体"/>
          <w:sz w:val="32"/>
          <w:szCs w:val="32"/>
          <w:highlight w:val="none"/>
          <w:lang w:eastAsia="zh-Hans" w:bidi="ar-SA"/>
        </w:rPr>
      </w:pPr>
    </w:p>
    <w:p>
      <w:pPr>
        <w:keepNext w:val="0"/>
        <w:keepLines w:val="0"/>
        <w:pageBreakBefore w:val="0"/>
        <w:widowControl w:val="0"/>
        <w:kinsoku/>
        <w:wordWrap/>
        <w:overflowPunct/>
        <w:topLinePunct w:val="0"/>
        <w:autoSpaceDE/>
        <w:autoSpaceDN/>
        <w:bidi w:val="0"/>
        <w:spacing w:line="560" w:lineRule="exact"/>
        <w:ind w:firstLine="640" w:firstLineChars="200"/>
        <w:contextualSpacing/>
        <w:jc w:val="both"/>
        <w:textAlignment w:val="auto"/>
        <w:rPr>
          <w:rFonts w:hint="eastAsia" w:ascii="仿宋_GB2312" w:hAnsi="ˎ̥" w:eastAsia="仿宋_GB2312" w:cs="宋体"/>
          <w:sz w:val="32"/>
          <w:szCs w:val="32"/>
          <w:highlight w:val="none"/>
          <w:lang w:eastAsia="zh-Hans" w:bidi="ar-S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ˎ̥">
    <w:altName w:val="华文仿宋"/>
    <w:panose1 w:val="00000000000000000000"/>
    <w:charset w:val="00"/>
    <w:family w:val="roman"/>
    <w:pitch w:val="default"/>
    <w:sig w:usb0="00000000" w:usb1="00000000" w:usb2="00000000"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 w:name="华文仿宋">
    <w:panose1 w:val="02010600040101010101"/>
    <w:charset w:val="86"/>
    <w:family w:val="auto"/>
    <w:pitch w:val="default"/>
    <w:sig w:usb0="00000287" w:usb1="080F0000" w:usb2="00000000" w:usb3="00000000" w:csb0="0004009F" w:csb1="DFD70000"/>
  </w:font>
  <w:font w:name="方正宋体S-超大字符集(SIP)">
    <w:panose1 w:val="03000509000000000000"/>
    <w:charset w:val="86"/>
    <w:family w:val="auto"/>
    <w:pitch w:val="default"/>
    <w:sig w:usb0="00000003" w:usb1="0A0E08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3FCE6A63"/>
    <w:rsid w:val="3FFF40FB"/>
    <w:rsid w:val="48FF171E"/>
    <w:rsid w:val="4A1947CF"/>
    <w:rsid w:val="779A70B2"/>
    <w:rsid w:val="787B6128"/>
    <w:rsid w:val="7CDF007F"/>
    <w:rsid w:val="B9D0DBA6"/>
    <w:rsid w:val="BF3CE79F"/>
    <w:rsid w:val="D7BFADC7"/>
    <w:rsid w:val="DFFF3221"/>
    <w:rsid w:val="F67F21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Heading4"/>
    <w:basedOn w:val="1"/>
    <w:next w:val="1"/>
    <w:qFormat/>
    <w:uiPriority w:val="0"/>
    <w:pPr>
      <w:keepNext/>
      <w:keepLines/>
      <w:spacing w:before="280" w:after="290" w:line="376" w:lineRule="auto"/>
      <w:textAlignment w:val="baseline"/>
    </w:pPr>
    <w:rPr>
      <w:rFonts w:ascii="Cambria" w:hAnsi="Cambria" w:eastAsia="宋体" w:cs="Times New Roman"/>
      <w:b/>
      <w:bCs/>
      <w:sz w:val="28"/>
      <w:szCs w:val="28"/>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2018-07-12T15:11:00Z</dcterms:created>
  <dc:creator>d</dc:creator>
  <cp:lastModifiedBy>江会</cp:lastModifiedBy>
  <dcterms:modified xsi:type="dcterms:W3CDTF">2026-02-04T15:10:34Z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ies>
</file>