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ascii="宋体" w:hAnsi="宋体" w:cs="宋体"/>
          <w:b/>
          <w:color w:val="000000" w:themeColor="text1"/>
          <w:sz w:val="36"/>
          <w:szCs w:val="36"/>
          <w14:textFill>
            <w14:solidFill>
              <w14:schemeClr w14:val="tx1"/>
            </w14:solidFill>
          </w14:textFill>
        </w:rPr>
        <w:t>QH2026011</w:t>
      </w: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前海管理局2026年度国库会计核算辅助技术服务项目采购（二次招标）</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2</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7"/>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11"/>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6"/>
        <w:tabs>
          <w:tab w:val="right" w:leader="dot" w:pos="8306"/>
        </w:tabs>
        <w:spacing w:line="480" w:lineRule="auto"/>
        <w:rPr>
          <w:b/>
          <w:bCs/>
          <w:color w:val="000000" w:themeColor="text1"/>
          <w:sz w:val="24"/>
          <w:szCs w:val="32"/>
          <w14:textFill>
            <w14:solidFill>
              <w14:schemeClr w14:val="tx1"/>
            </w14:solidFill>
          </w14:textFill>
        </w:rPr>
      </w:pPr>
    </w:p>
    <w:p>
      <w:pPr>
        <w:pStyle w:val="16"/>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6"/>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文件编码：0722-26FE6455SZF-1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前海管理局2026年度国库会计核算辅助技术服务项目采购（二次招标）</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QH2026011</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前海管理局2026年度国库会计核算辅助技术服务项目采购（二次招标）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国库会计</w:t>
            </w:r>
            <w:r>
              <w:rPr>
                <w:rFonts w:hint="eastAsia" w:ascii="宋体" w:hAnsi="宋体" w:eastAsia="宋体" w:cs="宋体"/>
                <w:b w:val="0"/>
                <w:bCs w:val="0"/>
                <w:color w:val="000000" w:themeColor="text1"/>
                <w:sz w:val="24"/>
                <w:szCs w:val="24"/>
                <w14:textFill>
                  <w14:solidFill>
                    <w14:schemeClr w14:val="tx1"/>
                  </w14:solidFill>
                </w14:textFill>
              </w:rPr>
              <w:t>核算辅助技术服务</w:t>
            </w:r>
            <w:r>
              <w:rPr>
                <w:rFonts w:hint="eastAsia" w:ascii="宋体" w:hAnsi="宋体" w:eastAsia="宋体" w:cs="宋体"/>
                <w:color w:val="000000" w:themeColor="text1"/>
                <w:sz w:val="24"/>
                <w:szCs w:val="24"/>
                <w14:textFill>
                  <w14:solidFill>
                    <w14:schemeClr w14:val="tx1"/>
                  </w14:solidFill>
                </w14:textFill>
              </w:rPr>
              <w:t>内容主要包括辅助账务处理工作、辅助月度年度对账</w:t>
            </w:r>
            <w:r>
              <w:rPr>
                <w:rFonts w:hint="eastAsia" w:ascii="宋体" w:hAnsi="宋体" w:eastAsia="宋体" w:cs="宋体"/>
                <w:b w:val="0"/>
                <w:bCs w:val="0"/>
                <w:color w:val="000000" w:themeColor="text1"/>
                <w:sz w:val="24"/>
                <w:szCs w:val="24"/>
                <w14:textFill>
                  <w14:solidFill>
                    <w14:schemeClr w14:val="tx1"/>
                  </w14:solidFill>
                </w14:textFill>
              </w:rPr>
              <w:t>以及</w:t>
            </w:r>
            <w:r>
              <w:rPr>
                <w:rFonts w:hint="eastAsia" w:ascii="宋体" w:hAnsi="宋体" w:eastAsia="宋体" w:cs="宋体"/>
                <w:b w:val="0"/>
                <w:bCs w:val="0"/>
                <w:color w:val="000000" w:themeColor="text1"/>
                <w:sz w:val="24"/>
                <w:szCs w:val="24"/>
                <w:lang w:val="en-US" w:eastAsia="zh-CN"/>
                <w14:textFill>
                  <w14:solidFill>
                    <w14:schemeClr w14:val="tx1"/>
                  </w14:solidFill>
                </w14:textFill>
              </w:rPr>
              <w:t>会计凭证、报表等档案管理、</w:t>
            </w:r>
            <w:r>
              <w:rPr>
                <w:rFonts w:hint="eastAsia" w:ascii="宋体" w:hAnsi="宋体" w:eastAsia="宋体" w:cs="宋体"/>
                <w:color w:val="000000" w:themeColor="text1"/>
                <w:sz w:val="24"/>
                <w:szCs w:val="24"/>
                <w14:textFill>
                  <w14:solidFill>
                    <w14:schemeClr w14:val="tx1"/>
                  </w14:solidFill>
                </w14:textFill>
              </w:rPr>
              <w:t>其他日常财</w:t>
            </w:r>
            <w:r>
              <w:rPr>
                <w:rFonts w:hint="eastAsia" w:ascii="宋体" w:hAnsi="宋体" w:eastAsia="宋体" w:cs="宋体"/>
                <w:color w:val="000000" w:themeColor="text1"/>
                <w:sz w:val="24"/>
                <w:szCs w:val="24"/>
                <w:lang w:val="en-US" w:eastAsia="zh-CN"/>
                <w14:textFill>
                  <w14:solidFill>
                    <w14:schemeClr w14:val="tx1"/>
                  </w14:solidFill>
                </w14:textFill>
              </w:rPr>
              <w:t>政</w:t>
            </w:r>
            <w:r>
              <w:rPr>
                <w:rFonts w:hint="eastAsia" w:ascii="宋体" w:hAnsi="宋体" w:eastAsia="宋体" w:cs="宋体"/>
                <w:color w:val="000000" w:themeColor="text1"/>
                <w:sz w:val="24"/>
                <w:szCs w:val="24"/>
                <w14:textFill>
                  <w14:solidFill>
                    <w14:schemeClr w14:val="tx1"/>
                  </w14:solidFill>
                </w14:textFill>
              </w:rPr>
              <w:t>管理咨询等工作</w:t>
            </w:r>
            <w:r>
              <w:rPr>
                <w:rFonts w:hint="eastAsia" w:ascii="宋体" w:hAnsi="宋体" w:cs="宋体"/>
                <w:color w:val="000000" w:themeColor="text1"/>
                <w:sz w:val="24"/>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¥490,000.00（人民币肆拾玖万元整）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shd w:val="clear" w:color="auto" w:fill="auto"/>
            <w:vAlign w:val="center"/>
          </w:tcPr>
          <w:p>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shd w:val="clear" w:color="auto" w:fill="auto"/>
            <w:vAlign w:val="center"/>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上</w:t>
            </w:r>
            <w:r>
              <w:rPr>
                <w:rFonts w:hint="eastAsia" w:ascii="宋体" w:hAnsi="宋体" w:cs="宋体"/>
                <w:b/>
                <w:bCs/>
                <w:color w:val="000000" w:themeColor="text1"/>
                <w:kern w:val="0"/>
                <w:sz w:val="24"/>
                <w14:textFill>
                  <w14:solidFill>
                    <w14:schemeClr w14:val="tx1"/>
                  </w14:solidFill>
                </w14:textFill>
              </w:rPr>
              <w:t>午</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0</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highlight w:val="none"/>
                <w:lang w:val="en-US" w:eastAsia="zh-CN"/>
                <w14:textFill>
                  <w14:solidFill>
                    <w14:schemeClr w14:val="tx1"/>
                  </w14:solidFill>
                </w14:textFill>
              </w:rPr>
              <w:t>2516</w:t>
            </w:r>
            <w:r>
              <w:rPr>
                <w:rFonts w:hint="eastAsia" w:ascii="宋体" w:hAnsi="宋体" w:cs="宋体"/>
                <w:color w:val="000000" w:themeColor="text1"/>
                <w:kern w:val="0"/>
                <w:sz w:val="24"/>
                <w:highlight w:val="none"/>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人：郭女士</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话：0755-88105026</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注：如需现场谈判，投标人需在评标半</w:t>
            </w:r>
            <w:r>
              <w:rPr>
                <w:rFonts w:hint="eastAsia" w:ascii="宋体" w:hAnsi="宋体" w:cs="宋体"/>
                <w:color w:val="000000" w:themeColor="text1"/>
                <w:kern w:val="0"/>
                <w:sz w:val="24"/>
                <w14:textFill>
                  <w14:solidFill>
                    <w14:schemeClr w14:val="tx1"/>
                  </w14:solidFill>
                </w14:textFill>
              </w:rPr>
              <w:t>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numPr>
                <w:ilvl w:val="0"/>
                <w:numId w:val="0"/>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11"/>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本次投标为总价包干，投标报价总价作为中标人与采购人签订的合同金额。投标人的报价不可高于预算（限价），否则投标人的投标文件视同无效。项目服务费已包含中标人提供本项目服务的全部费用，项目服务费包括但不限于调研费、资料费、税金、人员费用、差旅费、后续服务等所有费用，并提供合同要求的成果文件，以及其它相关服务的全部费用</w:t>
            </w:r>
            <w:r>
              <w:rPr>
                <w:rFonts w:hint="eastAsia" w:ascii="宋体" w:hAnsi="宋体" w:cs="宋体"/>
                <w:color w:val="000000" w:themeColor="text1"/>
                <w:sz w:val="24"/>
                <w14:textFill>
                  <w14:solidFill>
                    <w14:schemeClr w14:val="tx1"/>
                  </w14:solidFill>
                </w14:textFill>
              </w:rPr>
              <w:t>；由企业根据招标文件所提供的资料自行测算投标报价；一经中标，投标报价总价作为中标单位与采购人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8" w:name="_Toc28359086"/>
            <w:bookmarkStart w:id="9"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highlight w:val="none"/>
                <w14:textFill>
                  <w14:solidFill>
                    <w14:schemeClr w14:val="tx1"/>
                  </w14:solidFill>
                </w14:textFill>
              </w:rPr>
              <w:t>：郭女士</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话：0755-88105026</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10" w:name="_Toc28359087"/>
            <w:bookmarkStart w:id="11" w:name="_Toc28359010"/>
            <w:r>
              <w:rPr>
                <w:rFonts w:hint="eastAsia" w:ascii="宋体" w:hAnsi="宋体" w:cs="宋体"/>
                <w:color w:val="000000" w:themeColor="text1"/>
                <w:kern w:val="0"/>
                <w:sz w:val="24"/>
                <w:highlight w:val="none"/>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联系人：凌</w:t>
            </w:r>
            <w:r>
              <w:rPr>
                <w:rFonts w:hint="eastAsia" w:ascii="宋体" w:hAnsi="宋体" w:cs="宋体"/>
                <w:color w:val="000000" w:themeColor="text1"/>
                <w:kern w:val="0"/>
                <w:sz w:val="24"/>
                <w14:textFill>
                  <w14:solidFill>
                    <w14:schemeClr w14:val="tx1"/>
                  </w14:solidFill>
                </w14:textFill>
              </w:rPr>
              <w:t>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2" w:name="_Toc10214"/>
      <w:r>
        <w:rPr>
          <w:rFonts w:hint="eastAsia" w:ascii="宋体" w:hAnsi="宋体" w:cs="宋体"/>
          <w:b/>
          <w:bCs/>
          <w:color w:val="000000" w:themeColor="text1"/>
          <w:sz w:val="24"/>
          <w14:textFill>
            <w14:solidFill>
              <w14:schemeClr w14:val="tx1"/>
            </w14:solidFill>
          </w14:textFill>
        </w:rPr>
        <w:t>投标须知</w:t>
      </w:r>
      <w:bookmarkEnd w:id="12"/>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前海管理局2026年度国库会计核算辅助技术服务项目采购（二次招标）</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3"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3"/>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4" w:name="_Toc20176"/>
      <w:r>
        <w:rPr>
          <w:rFonts w:hint="eastAsia" w:ascii="宋体" w:hAnsi="宋体" w:cs="宋体"/>
          <w:b/>
          <w:bCs/>
          <w:color w:val="000000" w:themeColor="text1"/>
          <w:sz w:val="24"/>
          <w14:textFill>
            <w14:solidFill>
              <w14:schemeClr w14:val="tx1"/>
            </w14:solidFill>
          </w14:textFill>
        </w:rPr>
        <w:t>评标程序</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w:t>
      </w:r>
      <w:r>
        <w:rPr>
          <w:rFonts w:hint="eastAsia" w:ascii="宋体" w:hAnsi="宋体" w:cs="宋体"/>
          <w:color w:val="000000" w:themeColor="text1"/>
          <w:sz w:val="24"/>
          <w14:textFill>
            <w14:solidFill>
              <w14:schemeClr w14:val="tx1"/>
            </w14:solidFill>
          </w14:textFill>
        </w:rPr>
        <w:t>午1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w:t>
      </w:r>
      <w:r>
        <w:rPr>
          <w:rFonts w:hint="eastAsia" w:ascii="宋体" w:hAnsi="宋体" w:cs="宋体"/>
          <w:color w:val="000000" w:themeColor="text1"/>
          <w:sz w:val="24"/>
          <w14:textFill>
            <w14:solidFill>
              <w14:schemeClr w14:val="tx1"/>
            </w14:solidFill>
          </w14:textFill>
        </w:rPr>
        <w:t>午1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11"/>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5" w:name="_Toc3567"/>
      <w:r>
        <w:rPr>
          <w:rFonts w:hint="eastAsia" w:ascii="宋体" w:hAnsi="宋体" w:cs="宋体"/>
          <w:b/>
          <w:bCs/>
          <w:color w:val="000000" w:themeColor="text1"/>
          <w:sz w:val="24"/>
          <w14:textFill>
            <w14:solidFill>
              <w14:schemeClr w14:val="tx1"/>
            </w14:solidFill>
          </w14:textFill>
        </w:rPr>
        <w:t>合同格式及合同条款</w:t>
      </w:r>
      <w:bookmarkEnd w:id="15"/>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6" w:name="_Toc101074886"/>
      <w:bookmarkStart w:id="17" w:name="_Toc100052414"/>
      <w:bookmarkStart w:id="18" w:name="_Toc84303603"/>
      <w:bookmarkStart w:id="19" w:name="_Toc73517685"/>
      <w:bookmarkStart w:id="20" w:name="_Toc73518163"/>
      <w:bookmarkStart w:id="21" w:name="_Toc73521680"/>
      <w:bookmarkStart w:id="22" w:name="_Toc73521592"/>
    </w:p>
    <w:bookmarkEnd w:id="16"/>
    <w:bookmarkEnd w:id="17"/>
    <w:bookmarkEnd w:id="18"/>
    <w:bookmarkEnd w:id="19"/>
    <w:bookmarkEnd w:id="20"/>
    <w:bookmarkEnd w:id="21"/>
    <w:bookmarkEnd w:id="22"/>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前海管理局2026年度国库会计核算辅助技术服务项目采购</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前海管理局2026年度国库会计核算辅助技术服务项目采购</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项目类型：</w:t>
      </w:r>
      <w:r>
        <w:rPr>
          <w:rFonts w:hint="eastAsia" w:ascii="宋体" w:hAnsi="宋体" w:eastAsia="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hint="eastAsia" w:ascii="宋体" w:hAnsi="宋体" w:eastAsia="宋体" w:cs="宋体"/>
          <w:color w:val="000000" w:themeColor="text1"/>
          <w:sz w:val="24"/>
          <w14:textFill>
            <w14:solidFill>
              <w14:schemeClr w14:val="tx1"/>
            </w14:solidFill>
          </w14:textFill>
        </w:rPr>
        <w:t>年  月</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本合同共    页（不含封面）</w:t>
      </w:r>
    </w:p>
    <w:p>
      <w:pPr>
        <w:spacing w:line="560" w:lineRule="exact"/>
        <w:ind w:left="2160" w:hanging="2168" w:hangingChars="9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甲方：深圳市前海深港现代服务业合作区管理局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法定代表人：王守睿</w:t>
      </w:r>
    </w:p>
    <w:p>
      <w:pPr>
        <w:spacing w:line="560" w:lineRule="exact"/>
        <w:ind w:left="720" w:hanging="720" w:hanging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地址：深圳市前海深港合作区桂湾五路123号前海大厦T1栋前海管理局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widowControl/>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根据《中华人民共和国民法典》等法律、法规的相关规定和编号为【</w:t>
      </w:r>
      <w:r>
        <w:rPr>
          <w:rFonts w:hint="eastAsia" w:ascii="宋体" w:hAnsi="宋体" w:cs="宋体"/>
          <w:color w:val="000000" w:themeColor="text1"/>
          <w:sz w:val="24"/>
          <w:highlight w:val="none"/>
          <w:lang w:val="en-US" w:eastAsia="zh-CN"/>
          <w14:textFill>
            <w14:solidFill>
              <w14:schemeClr w14:val="tx1"/>
            </w14:solidFill>
          </w14:textFill>
        </w:rPr>
        <w:t>QH2026011</w:t>
      </w:r>
      <w:r>
        <w:rPr>
          <w:rFonts w:hint="eastAsia" w:ascii="宋体" w:hAnsi="宋体" w:eastAsia="宋体" w:cs="宋体"/>
          <w:color w:val="000000" w:themeColor="text1"/>
          <w:sz w:val="24"/>
          <w:highlight w:val="none"/>
          <w14:textFill>
            <w14:solidFill>
              <w14:schemeClr w14:val="tx1"/>
            </w14:solidFill>
          </w14:textFill>
        </w:rPr>
        <w:t>】招标项目的中标结果，甲、乙双方经友好协商，就甲方委托乙方承担</w:t>
      </w:r>
      <w:r>
        <w:rPr>
          <w:rFonts w:hint="eastAsia" w:ascii="宋体" w:hAnsi="宋体" w:cs="宋体"/>
          <w:color w:val="000000" w:themeColor="text1"/>
          <w:sz w:val="24"/>
          <w:highlight w:val="none"/>
          <w:lang w:eastAsia="zh-CN"/>
          <w14:textFill>
            <w14:solidFill>
              <w14:schemeClr w14:val="tx1"/>
            </w14:solidFill>
          </w14:textFill>
        </w:rPr>
        <w:t>前海管理局2026年度国库会计核算辅助技术服务项目采购</w:t>
      </w:r>
      <w:r>
        <w:rPr>
          <w:rFonts w:hint="eastAsia" w:ascii="宋体" w:hAnsi="宋体" w:eastAsia="宋体" w:cs="宋体"/>
          <w:color w:val="000000" w:themeColor="text1"/>
          <w:sz w:val="24"/>
          <w:highlight w:val="none"/>
          <w14:textFill>
            <w14:solidFill>
              <w14:schemeClr w14:val="tx1"/>
            </w14:solidFill>
          </w14:textFill>
        </w:rPr>
        <w:t>（以下简称本项目），达成以下合同条款：</w:t>
      </w:r>
    </w:p>
    <w:p>
      <w:pPr>
        <w:spacing w:line="560" w:lineRule="exact"/>
        <w:ind w:firstLine="482"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23" w:name="_Toc16131"/>
      <w:r>
        <w:rPr>
          <w:rFonts w:hint="eastAsia" w:ascii="宋体" w:hAnsi="宋体" w:eastAsia="宋体" w:cs="宋体"/>
          <w:b/>
          <w:bCs/>
          <w:color w:val="000000" w:themeColor="text1"/>
          <w:sz w:val="24"/>
          <w:highlight w:val="none"/>
          <w14:textFill>
            <w14:solidFill>
              <w14:schemeClr w14:val="tx1"/>
            </w14:solidFill>
          </w14:textFill>
        </w:rPr>
        <w:t>一、服务内容</w:t>
      </w:r>
      <w:bookmarkEnd w:id="23"/>
      <w:bookmarkStart w:id="24" w:name="_Toc23975"/>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国库会计核算辅助技术服务内容主要包括辅助账务处理工作、辅助月度年度对账以及会计凭证、报表等档案管理、其他日常财政管理咨询等工作，具体如下：</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开展</w:t>
      </w:r>
      <w:r>
        <w:rPr>
          <w:rFonts w:hint="eastAsia" w:ascii="宋体" w:hAnsi="宋体" w:eastAsia="宋体" w:cs="宋体"/>
          <w:color w:val="000000" w:themeColor="text1"/>
          <w:sz w:val="24"/>
          <w:highlight w:val="none"/>
          <w14:textFill>
            <w14:solidFill>
              <w14:schemeClr w14:val="tx1"/>
            </w14:solidFill>
          </w14:textFill>
        </w:rPr>
        <w:t>国库集中支付</w:t>
      </w:r>
      <w:r>
        <w:rPr>
          <w:rFonts w:hint="eastAsia" w:ascii="宋体" w:hAnsi="宋体" w:cs="宋体"/>
          <w:color w:val="000000" w:themeColor="text1"/>
          <w:sz w:val="24"/>
          <w:highlight w:val="none"/>
          <w:lang w:eastAsia="zh-CN"/>
          <w14:textFill>
            <w14:solidFill>
              <w14:schemeClr w14:val="tx1"/>
            </w14:solidFill>
          </w14:textFill>
        </w:rPr>
        <w:t>协助</w:t>
      </w:r>
      <w:r>
        <w:rPr>
          <w:rFonts w:hint="eastAsia" w:ascii="宋体" w:hAnsi="宋体" w:eastAsia="宋体" w:cs="宋体"/>
          <w:color w:val="000000" w:themeColor="text1"/>
          <w:sz w:val="24"/>
          <w:highlight w:val="none"/>
          <w14:textFill>
            <w14:solidFill>
              <w14:schemeClr w14:val="tx1"/>
            </w14:solidFill>
          </w14:textFill>
        </w:rPr>
        <w:t>工作</w:t>
      </w:r>
    </w:p>
    <w:p>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协助处理人工审核事项，对国库集中支付提交的资料的合法合规、真实性、完整性进行初步筛查，提出审查意见</w:t>
      </w:r>
      <w:r>
        <w:rPr>
          <w:rFonts w:hint="eastAsia" w:ascii="宋体" w:hAnsi="宋体" w:cs="宋体"/>
          <w:color w:val="000000" w:themeColor="text1"/>
          <w:sz w:val="24"/>
          <w:highlight w:val="none"/>
          <w:lang w:val="en-US" w:eastAsia="zh-CN"/>
          <w14:textFill>
            <w14:solidFill>
              <w14:schemeClr w14:val="tx1"/>
            </w14:solidFill>
          </w14:textFill>
        </w:rPr>
        <w:t>为人工审核岗位人员提供参考</w:t>
      </w:r>
      <w:r>
        <w:rPr>
          <w:rFonts w:hint="eastAsia" w:ascii="宋体" w:hAnsi="宋体" w:eastAsia="宋体" w:cs="宋体"/>
          <w:color w:val="000000" w:themeColor="text1"/>
          <w:sz w:val="24"/>
          <w:highlight w:val="none"/>
          <w:lang w:val="en-US"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2.协助</w:t>
      </w:r>
      <w:r>
        <w:rPr>
          <w:rFonts w:hint="eastAsia" w:ascii="宋体" w:hAnsi="宋体" w:cs="宋体"/>
          <w:color w:val="000000" w:themeColor="text1"/>
          <w:sz w:val="24"/>
          <w:highlight w:val="none"/>
          <w:lang w:eastAsia="zh-CN"/>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每日、每旬、每月与国库集中支付代理银行、人民银行、预算单位（前海管理局）的对账工作</w:t>
      </w:r>
      <w:r>
        <w:rPr>
          <w:rFonts w:hint="eastAsia" w:ascii="宋体" w:hAnsi="宋体" w:cs="宋体"/>
          <w:color w:val="000000" w:themeColor="text1"/>
          <w:sz w:val="24"/>
          <w:highlight w:val="none"/>
          <w:lang w:eastAsia="zh-CN"/>
          <w14:textFill>
            <w14:solidFill>
              <w14:schemeClr w14:val="tx1"/>
            </w14:solidFill>
          </w14:textFill>
        </w:rPr>
        <w:t>进行初步筛查</w:t>
      </w:r>
      <w:r>
        <w:rPr>
          <w:rFonts w:hint="eastAsia" w:ascii="宋体" w:hAnsi="宋体" w:eastAsia="宋体" w:cs="宋体"/>
          <w:color w:val="000000" w:themeColor="text1"/>
          <w:sz w:val="24"/>
          <w:highlight w:val="none"/>
          <w14:textFill>
            <w14:solidFill>
              <w14:schemeClr w14:val="tx1"/>
            </w14:solidFill>
          </w14:textFill>
        </w:rPr>
        <w:t>，监测逾期清算数据。</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3.协助整理支付回单凭证。</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辅助基础账务处理工作</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1.‌协助</w:t>
      </w:r>
      <w:r>
        <w:rPr>
          <w:rFonts w:hint="eastAsia" w:ascii="宋体" w:hAnsi="宋体" w:eastAsia="宋体" w:cs="宋体"/>
          <w:color w:val="000000" w:themeColor="text1"/>
          <w:sz w:val="24"/>
          <w:highlight w:val="none"/>
          <w:lang w:eastAsia="zh-CN"/>
          <w14:textFill>
            <w14:solidFill>
              <w14:schemeClr w14:val="tx1"/>
            </w14:solidFill>
          </w14:textFill>
        </w:rPr>
        <w:t>开展</w:t>
      </w:r>
      <w:r>
        <w:rPr>
          <w:rFonts w:hint="eastAsia" w:ascii="宋体" w:hAnsi="宋体" w:eastAsia="宋体" w:cs="宋体"/>
          <w:color w:val="000000" w:themeColor="text1"/>
          <w:sz w:val="24"/>
          <w:highlight w:val="none"/>
          <w14:textFill>
            <w14:solidFill>
              <w14:schemeClr w14:val="tx1"/>
            </w14:solidFill>
          </w14:textFill>
        </w:rPr>
        <w:t>财政总会计核算</w:t>
      </w:r>
      <w:r>
        <w:rPr>
          <w:rFonts w:hint="eastAsia" w:ascii="宋体" w:hAnsi="宋体" w:eastAsia="宋体" w:cs="宋体"/>
          <w:color w:val="000000" w:themeColor="text1"/>
          <w:sz w:val="24"/>
          <w:highlight w:val="none"/>
          <w:lang w:eastAsia="zh-CN"/>
          <w14:textFill>
            <w14:solidFill>
              <w14:schemeClr w14:val="tx1"/>
            </w14:solidFill>
          </w14:textFill>
        </w:rPr>
        <w:t>工作，</w:t>
      </w:r>
      <w:r>
        <w:rPr>
          <w:rFonts w:hint="eastAsia" w:ascii="宋体" w:hAnsi="宋体" w:eastAsia="宋体" w:cs="宋体"/>
          <w:color w:val="000000" w:themeColor="text1"/>
          <w:sz w:val="24"/>
          <w:highlight w:val="none"/>
          <w14:textFill>
            <w14:solidFill>
              <w14:schemeClr w14:val="tx1"/>
            </w14:solidFill>
          </w14:textFill>
        </w:rPr>
        <w:t>包括每日与人民银行的数据核对等。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2.协助</w:t>
      </w:r>
      <w:r>
        <w:rPr>
          <w:rFonts w:hint="default" w:ascii="宋体" w:hAnsi="宋体" w:eastAsia="宋体" w:cs="宋体"/>
          <w:color w:val="000000" w:themeColor="text1"/>
          <w:sz w:val="24"/>
          <w:highlight w:val="none"/>
          <w:lang w:val="en-US"/>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各类国库会计报表，如日报、旬报、月报、库款月报、暂存暂付款月报、专户月报等</w:t>
      </w:r>
      <w:r>
        <w:rPr>
          <w:rFonts w:hint="default" w:ascii="宋体" w:hAnsi="宋体" w:eastAsia="宋体" w:cs="宋体"/>
          <w:color w:val="000000" w:themeColor="text1"/>
          <w:sz w:val="24"/>
          <w:highlight w:val="none"/>
          <w:lang w:val="en-US"/>
          <w14:textFill>
            <w14:solidFill>
              <w14:schemeClr w14:val="tx1"/>
            </w14:solidFill>
          </w14:textFill>
        </w:rPr>
        <w:t>进行</w:t>
      </w:r>
      <w:r>
        <w:rPr>
          <w:rFonts w:hint="eastAsia" w:ascii="宋体" w:hAnsi="宋体" w:cs="宋体"/>
          <w:color w:val="000000" w:themeColor="text1"/>
          <w:sz w:val="24"/>
          <w:highlight w:val="none"/>
          <w:lang w:eastAsia="zh-CN"/>
          <w14:textFill>
            <w14:solidFill>
              <w14:schemeClr w14:val="tx1"/>
            </w14:solidFill>
          </w14:textFill>
        </w:rPr>
        <w:t>初步筛查</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color w:val="000000" w:themeColor="text1"/>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3.协助办理国库更正（调库）、退库业务的材料准备。</w:t>
      </w:r>
    </w:p>
    <w:p>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3.会计档案整理服务</w:t>
      </w:r>
    </w:p>
    <w:p>
      <w:pPr>
        <w:pStyle w:val="32"/>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协助对国库会计凭证资料进行整理归档，按《会计档案管理办法》《深圳市前海管理局档案管理实施细则》等规定，提供对国库会计档案进行编目、立卷、归档、移交等全流程的技术辅助服务。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其他日常国库管理咨询工作</w:t>
      </w:r>
    </w:p>
    <w:p>
      <w:pPr>
        <w:spacing w:line="56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根据要求对国库数据进行统计分析，协助国库会计核算管理咨询工作</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二、合同含税总价</w:t>
      </w:r>
      <w:bookmarkEnd w:id="24"/>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本项目合同含税总价为（大写）：_________________元（￥____________元）人民币，总价包干。</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金额应包括但不限于调研费、资料费、税金、人员费用、差旅费、后续服务等所有费用，并提供合同要求的成果文件，以及其它相关服务的全部费用，除另签补充合同外，不接受乙方以任何理由、任何名目提出增加费用的要求。</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5" w:name="_Toc30786"/>
      <w:r>
        <w:rPr>
          <w:rFonts w:hint="eastAsia" w:ascii="宋体" w:hAnsi="宋体" w:eastAsia="宋体" w:cs="宋体"/>
          <w:b/>
          <w:bCs/>
          <w:color w:val="000000" w:themeColor="text1"/>
          <w:sz w:val="24"/>
          <w:highlight w:val="none"/>
          <w14:textFill>
            <w14:solidFill>
              <w14:schemeClr w14:val="tx1"/>
            </w14:solidFill>
          </w14:textFill>
        </w:rPr>
        <w:t>三、技术资料</w:t>
      </w:r>
      <w:bookmarkEnd w:id="25"/>
    </w:p>
    <w:p>
      <w:pPr>
        <w:pStyle w:val="13"/>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1.乙方应按本合同规定的时间向甲方提供有关技术资料。</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3.合同履行完毕，未经甲方的书面同意，乙方不得保存在履行合同过程中所获得或接触到的任何内部数据资料。</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6" w:name="_Toc9742"/>
      <w:r>
        <w:rPr>
          <w:rFonts w:hint="eastAsia" w:ascii="宋体" w:hAnsi="宋体" w:eastAsia="宋体" w:cs="宋体"/>
          <w:b/>
          <w:bCs/>
          <w:color w:val="000000" w:themeColor="text1"/>
          <w:sz w:val="24"/>
          <w:highlight w:val="none"/>
          <w14:textFill>
            <w14:solidFill>
              <w14:schemeClr w14:val="tx1"/>
            </w14:solidFill>
          </w14:textFill>
        </w:rPr>
        <w:t>四、</w:t>
      </w:r>
      <w:bookmarkEnd w:id="26"/>
      <w:r>
        <w:rPr>
          <w:rFonts w:hint="eastAsia" w:ascii="宋体" w:hAnsi="宋体" w:eastAsia="宋体" w:cs="宋体"/>
          <w:b/>
          <w:bCs/>
          <w:color w:val="000000" w:themeColor="text1"/>
          <w:sz w:val="24"/>
          <w:highlight w:val="none"/>
          <w14:textFill>
            <w14:solidFill>
              <w14:schemeClr w14:val="tx1"/>
            </w14:solidFill>
          </w14:textFill>
        </w:rPr>
        <w:t>成果权属与知识产权</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1.本项目全部阶段性成果和最终成果的所有权、知识产权以及与之相关的所有权利归</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所有；本合同签署前双方已经拥有的知识产权权利，仍归各自所有。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2.双方确定，</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按照本合同约定提供的成果进行后续改进。由此产生的具有实质性或创造性技术进步特征的新的技术成果及其权利全部由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享有。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所提交的全部阶段性成果和最终成果文件及任何数据、资料、软件等不得侵犯任何第三方的知识产权或其他权利，由于该等文件、数据、资料、软件侵权所导致的任何索赔或责任均由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承担。同时，</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修改成果至不侵权或解除合同，并保留要求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赔偿全部损失的权利，包括但不限于上述索赔或责任所产生的诉讼费用、合理的律师费用、鉴定评估费用、调查费用、和解金额或生效法律文书中规定的赔偿金额。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不得将本项目的阶段性成果和/或最终成果文件及任何数据、资料、软件向任何第三方转让、授权任何第三方使用或用于本合同项目外的其他项目。如发生以上情况，</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支付本合同总价款20%的违约金，如果违约金无法弥补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完成本项目的研究人员享有在有关技术成果文件上署名的权利和与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共同获得有关荣誉证书、奖励的权利。</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7" w:name="_Toc16452"/>
      <w:r>
        <w:rPr>
          <w:rFonts w:hint="eastAsia" w:ascii="宋体" w:hAnsi="宋体" w:eastAsia="宋体" w:cs="宋体"/>
          <w:b/>
          <w:bCs/>
          <w:color w:val="000000" w:themeColor="text1"/>
          <w:sz w:val="24"/>
          <w:highlight w:val="none"/>
          <w14:textFill>
            <w14:solidFill>
              <w14:schemeClr w14:val="tx1"/>
            </w14:solidFill>
          </w14:textFill>
        </w:rPr>
        <w:t>五、甲方的权利与义务</w:t>
      </w:r>
      <w:bookmarkEnd w:id="27"/>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1.甲方对项目研究过程的决策、控制、实施等环节实行全面管理，协调和监督项目工作开展，控制项目工作过程，进行项目成果验收。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2.检查乙方项目人员到位情况，如因人力、能力不足致使项目工作不能按计划完成时，可要求乙方增加或替换相应的技术人员，直至甲方认可，乙方不得拒绝。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3.甲方有权向乙方询问项目工作进展及相关情况，并要求乙方在指定时间内做出答复。</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4.甲方有权对乙方提交的阶段性成果、最终成果等相关工作文件进行审核并提出修改意见。</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6.甲方有权要求乙方全面履行合同。甲方不接受部分履行，如本合同项下部分成果文件未能按时交付则视为整体延误。</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7.如甲方确认乙方工作人员未按照本合同要求履行职责，甲方有权要求乙方限期更换人员，直至终止合同并要求乙方承担相应赔偿责任。</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8.甲方对乙方在委托权限范围内完成委托事项有指导、监督权利。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甲方的义务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1.甲方应将项目所需相关档案资料、信息数据等移交给乙方，并要求乙方签收甲方提供的材料清单。</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2.甲方对乙方按照合同约定所履行的服务提供必要的支持与协助。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3.根据合同约定的相关条款，按时支付乙方服务费用。</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14:textFill>
            <w14:solidFill>
              <w14:schemeClr w14:val="tx1"/>
            </w14:solidFill>
          </w14:textFill>
        </w:rPr>
        <w:t>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    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8" w:name="_Toc29058"/>
      <w:r>
        <w:rPr>
          <w:rFonts w:hint="eastAsia" w:ascii="宋体" w:hAnsi="宋体" w:eastAsia="宋体" w:cs="宋体"/>
          <w:b/>
          <w:bCs/>
          <w:color w:val="000000" w:themeColor="text1"/>
          <w:sz w:val="24"/>
          <w:highlight w:val="none"/>
          <w14:textFill>
            <w14:solidFill>
              <w14:schemeClr w14:val="tx1"/>
            </w14:solidFill>
          </w14:textFill>
        </w:rPr>
        <w:t>六、乙方的权利与义务</w:t>
      </w:r>
      <w:bookmarkEnd w:id="28"/>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乙方的权利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1.根据项目工作的需要，可要求甲方提供或协助乙方收集相关</w:t>
      </w:r>
      <w:r>
        <w:rPr>
          <w:rFonts w:hint="eastAsia" w:ascii="宋体" w:hAnsi="宋体" w:eastAsia="宋体" w:cs="宋体"/>
          <w:color w:val="000000" w:themeColor="text1"/>
          <w:kern w:val="0"/>
          <w:sz w:val="24"/>
          <w:highlight w:val="none"/>
          <w14:textFill>
            <w14:solidFill>
              <w14:schemeClr w14:val="tx1"/>
            </w14:solidFill>
          </w14:textFill>
        </w:rPr>
        <w:t>资料</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2.参与本项目服务相关的工作会议及技术会议。</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3.根据合同约定收取相应的服务费。</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1.乙方应按国家及深圳的有关法律法规、设计标准、技术规范以及本合同约定的工作内容、工作进度等要求提供项目服务，并对其提交的研究意见负责。对于与本项目工作内容</w:t>
      </w:r>
      <w:r>
        <w:rPr>
          <w:rFonts w:hint="eastAsia" w:ascii="宋体" w:hAnsi="宋体" w:eastAsia="宋体" w:cs="宋体"/>
          <w:color w:val="000000" w:themeColor="text1"/>
          <w:kern w:val="0"/>
          <w:sz w:val="24"/>
          <w:highlight w:val="none"/>
          <w14:textFill>
            <w14:solidFill>
              <w14:schemeClr w14:val="tx1"/>
            </w14:solidFill>
          </w14:textFill>
        </w:rPr>
        <w:t>相关</w:t>
      </w:r>
      <w:r>
        <w:rPr>
          <w:rFonts w:hint="eastAsia" w:ascii="宋体" w:hAnsi="宋体" w:eastAsia="宋体" w:cs="宋体"/>
          <w:color w:val="000000" w:themeColor="text1"/>
          <w:sz w:val="24"/>
          <w:highlight w:val="none"/>
          <w14:textFill>
            <w14:solidFill>
              <w14:schemeClr w14:val="tx1"/>
            </w14:solidFill>
          </w14:textFill>
        </w:rPr>
        <w:t>的其他相关项目，乙方应进行充分了解并做好协调与衔接工作。</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2.对</w:t>
      </w: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提出的合理的额外服务，不应予以拒绝。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3.如乙方提供的项目意见等成果文件不符合本合同要求，必须在甲方提出要求七个日历日内无条件修改，其费用由乙方自行承担。修改期间，甲方付款时间相应顺延。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4.乙方不得将本合同项下权利义务部分或全部转让给任何</w:t>
      </w:r>
      <w:r>
        <w:rPr>
          <w:rFonts w:hint="eastAsia" w:ascii="宋体" w:hAnsi="宋体" w:eastAsia="宋体" w:cs="宋体"/>
          <w:color w:val="000000" w:themeColor="text1"/>
          <w:kern w:val="0"/>
          <w:sz w:val="24"/>
          <w:highlight w:val="none"/>
          <w14:textFill>
            <w14:solidFill>
              <w14:schemeClr w14:val="tx1"/>
            </w14:solidFill>
          </w14:textFill>
        </w:rPr>
        <w:t>第三方</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6.为保证项目成果的质量，乙方在合同履行期间，应按照要求成立专门的项目小组，并保障项目团队成员（含项目负责人）到位。</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4"/>
          <w:highlight w:val="none"/>
          <w14:textFill>
            <w14:solidFill>
              <w14:schemeClr w14:val="tx1"/>
            </w14:solidFill>
          </w14:textFill>
        </w:rPr>
        <w:t>应为本项目提供不少于3人固定服务团队（含项目负责人）</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其中含</w:t>
      </w:r>
      <w:r>
        <w:rPr>
          <w:rFonts w:hint="eastAsia" w:ascii="宋体" w:hAnsi="宋体" w:cs="宋体"/>
          <w:color w:val="000000" w:themeColor="text1"/>
          <w:kern w:val="0"/>
          <w:sz w:val="24"/>
          <w:highlight w:val="none"/>
          <w:lang w:eastAsia="zh-CN"/>
          <w14:textFill>
            <w14:solidFill>
              <w14:schemeClr w14:val="tx1"/>
            </w14:solidFill>
          </w14:textFill>
        </w:rPr>
        <w:t>驻场人员不少于2人，</w:t>
      </w:r>
      <w:r>
        <w:rPr>
          <w:rFonts w:hint="eastAsia" w:ascii="宋体" w:hAnsi="宋体" w:eastAsia="宋体" w:cs="宋体"/>
          <w:color w:val="000000" w:themeColor="text1"/>
          <w:kern w:val="0"/>
          <w:sz w:val="24"/>
          <w:highlight w:val="none"/>
          <w14:textFill>
            <w14:solidFill>
              <w14:schemeClr w14:val="tx1"/>
            </w14:solidFill>
          </w14:textFill>
        </w:rPr>
        <w:t>项目负责人负责对项目实施全过程进行组织和指导，并承担研究的实质性工作。乙方应保证本合同的主要核心成员在项目实施期间全程参与项目实质性工作。如确需更换项目团队成员（含项目负责人），乙方应事先征得甲方的同意，且接替人员的职位、资历应与原定成员相当。</w:t>
      </w:r>
      <w:r>
        <w:rPr>
          <w:rFonts w:hint="eastAsia" w:ascii="宋体" w:hAnsi="宋体" w:eastAsia="宋体" w:cs="宋体"/>
          <w:color w:val="000000" w:themeColor="text1"/>
          <w:sz w:val="24"/>
          <w:highlight w:val="none"/>
          <w:lang w:val="zh-CN"/>
          <w14:textFill>
            <w14:solidFill>
              <w14:schemeClr w14:val="tx1"/>
            </w14:solidFill>
          </w14:textFill>
        </w:rPr>
        <w:t>在合同服务期内，</w:t>
      </w: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eastAsia="宋体" w:cs="宋体"/>
          <w:color w:val="000000" w:themeColor="text1"/>
          <w:sz w:val="24"/>
          <w:highlight w:val="none"/>
          <w:lang w:val="zh-CN"/>
          <w14:textFill>
            <w14:solidFill>
              <w14:schemeClr w14:val="tx1"/>
            </w14:solidFill>
          </w14:textFill>
        </w:rPr>
        <w:t>应保证</w:t>
      </w:r>
      <w:r>
        <w:rPr>
          <w:rFonts w:hint="eastAsia" w:ascii="宋体" w:hAnsi="宋体" w:eastAsia="宋体" w:cs="宋体"/>
          <w:color w:val="000000" w:themeColor="text1"/>
          <w:sz w:val="24"/>
          <w:highlight w:val="none"/>
          <w14:textFill>
            <w14:solidFill>
              <w14:schemeClr w14:val="tx1"/>
            </w14:solidFill>
          </w14:textFill>
        </w:rPr>
        <w:t>团队成员</w:t>
      </w:r>
      <w:r>
        <w:rPr>
          <w:rFonts w:hint="eastAsia" w:ascii="宋体" w:hAnsi="宋体" w:eastAsia="宋体" w:cs="宋体"/>
          <w:color w:val="000000" w:themeColor="text1"/>
          <w:sz w:val="24"/>
          <w:highlight w:val="none"/>
          <w:lang w:val="zh-CN"/>
          <w14:textFill>
            <w14:solidFill>
              <w14:schemeClr w14:val="tx1"/>
            </w14:solidFill>
          </w14:textFill>
        </w:rPr>
        <w:t>的人员稳定性，确需调整的应征求</w:t>
      </w:r>
      <w:r>
        <w:rPr>
          <w:rFonts w:hint="eastAsia" w:ascii="宋体" w:hAnsi="宋体" w:eastAsia="宋体" w:cs="宋体"/>
          <w:color w:val="000000" w:themeColor="text1"/>
          <w:sz w:val="24"/>
          <w:highlight w:val="none"/>
          <w14:textFill>
            <w14:solidFill>
              <w14:schemeClr w14:val="tx1"/>
            </w14:solidFill>
          </w14:textFill>
        </w:rPr>
        <w:t>甲方书面</w:t>
      </w:r>
      <w:r>
        <w:rPr>
          <w:rFonts w:hint="eastAsia" w:ascii="宋体" w:hAnsi="宋体" w:eastAsia="宋体" w:cs="宋体"/>
          <w:color w:val="000000" w:themeColor="text1"/>
          <w:sz w:val="24"/>
          <w:highlight w:val="none"/>
          <w:lang w:val="zh-CN"/>
          <w14:textFill>
            <w14:solidFill>
              <w14:schemeClr w14:val="tx1"/>
            </w14:solidFill>
          </w14:textFill>
        </w:rPr>
        <w:t>同意。</w:t>
      </w:r>
      <w:r>
        <w:rPr>
          <w:rFonts w:hint="eastAsia" w:ascii="宋体" w:hAnsi="宋体" w:eastAsia="宋体" w:cs="宋体"/>
          <w:color w:val="000000" w:themeColor="text1"/>
          <w:kern w:val="0"/>
          <w:sz w:val="24"/>
          <w:highlight w:val="none"/>
          <w14:textFill>
            <w14:solidFill>
              <w14:schemeClr w14:val="tx1"/>
            </w14:solidFill>
          </w14:textFill>
        </w:rPr>
        <w:t>否则，每擅自更换一个项目团队成员（含项目负责人），乙方应向甲方支付本合同总价款5%的违约金。</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7.合同履行期间，乙方应按甲方的要求进行现场调研、中间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8.乙方有维护甲方声誉的义务，乙方不能以甲方名义从事与本项目无关的任何事务。</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9.本合同期满或提前解除、终止后，乙方应将甲方的档案资料、信息数据等交还甲方，并应销毁或删除所有备份。</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10.乙方在完成本项目过程中，不得损害其他任何第三方的知识产权等合法权益，否则由此造成的相关责任应当由乙方自行承担，与甲方无关。</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11.乙方应采取必要措施配合甲方验收人员的工作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对于验收过程中发现的问题，乙方应在发现问题之日起3天内进行改正，以符合甲方的需要。</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12.乙方指定项目联系人：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default" w:ascii="宋体" w:hAnsi="宋体" w:eastAsia="宋体" w:cs="宋体"/>
          <w:b/>
          <w:bCs/>
          <w:color w:val="000000" w:themeColor="text1"/>
          <w:sz w:val="24"/>
          <w:highlight w:val="none"/>
          <w:lang w:val="en-US" w:eastAsia="zh-CN"/>
          <w14:textFill>
            <w14:solidFill>
              <w14:schemeClr w14:val="tx1"/>
            </w14:solidFill>
          </w14:textFill>
        </w:rPr>
      </w:pPr>
      <w:bookmarkStart w:id="29" w:name="_Toc24089"/>
      <w:r>
        <w:rPr>
          <w:rFonts w:hint="eastAsia" w:ascii="宋体" w:hAnsi="宋体" w:eastAsia="宋体" w:cs="宋体"/>
          <w:b/>
          <w:bCs/>
          <w:color w:val="000000" w:themeColor="text1"/>
          <w:sz w:val="24"/>
          <w:highlight w:val="none"/>
          <w14:textFill>
            <w14:solidFill>
              <w14:schemeClr w14:val="tx1"/>
            </w14:solidFill>
          </w14:textFill>
        </w:rPr>
        <w:t>七、合同履行时间</w:t>
      </w:r>
      <w:bookmarkEnd w:id="29"/>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履行地点</w:t>
      </w:r>
      <w:r>
        <w:rPr>
          <w:rFonts w:hint="eastAsia" w:ascii="宋体" w:hAnsi="宋体" w:cs="宋体"/>
          <w:b/>
          <w:bCs/>
          <w:color w:val="000000" w:themeColor="text1"/>
          <w:sz w:val="24"/>
          <w:highlight w:val="none"/>
          <w:lang w:val="en-US" w:eastAsia="zh-CN"/>
          <w14:textFill>
            <w14:solidFill>
              <w14:schemeClr w14:val="tx1"/>
            </w14:solidFill>
          </w14:textFill>
        </w:rPr>
        <w:t>及后续服务</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履行时间</w:t>
      </w:r>
      <w:r>
        <w:rPr>
          <w:rFonts w:hint="eastAsia" w:ascii="宋体" w:hAnsi="宋体" w:eastAsia="宋体" w:cs="宋体"/>
          <w:color w:val="000000" w:themeColor="text1"/>
          <w:kern w:val="0"/>
          <w:sz w:val="24"/>
          <w:highlight w:val="none"/>
          <w14:textFill>
            <w14:solidFill>
              <w14:schemeClr w14:val="tx1"/>
            </w14:solidFill>
          </w14:textFill>
        </w:rPr>
        <w:t>：本项目服务期限为自合同签订之日起12个月。视合同履行情况，履约评价为优秀情况下可续签12个月，续签最多不超过两次。</w:t>
      </w:r>
    </w:p>
    <w:p>
      <w:pPr>
        <w:snapToGrid w:val="0"/>
        <w:spacing w:line="560" w:lineRule="exact"/>
        <w:ind w:firstLine="480" w:firstLineChars="200"/>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履行地点：深圳市前海深港现代服务业合作区</w:t>
      </w:r>
      <w:bookmarkStart w:id="30" w:name="_Toc22413"/>
    </w:p>
    <w:p>
      <w:pPr>
        <w:snapToGrid w:val="0"/>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3.后续服务</w:t>
      </w:r>
      <w:r>
        <w:rPr>
          <w:rFonts w:hint="eastAsia" w:ascii="宋体" w:hAnsi="宋体" w:eastAsia="宋体" w:cs="宋体"/>
          <w:color w:val="000000" w:themeColor="text1"/>
          <w:sz w:val="24"/>
          <w:highlight w:val="none"/>
          <w14:textFill>
            <w14:solidFill>
              <w14:schemeClr w14:val="tx1"/>
            </w14:solidFill>
          </w14:textFill>
        </w:rPr>
        <w:t>：项目最终成果通过</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验收之日起1年为本合同后续服务期。后续服务期内</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提供后续的专业咨询服务，协助</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完成各种后续审计、</w:t>
      </w:r>
      <w:r>
        <w:rPr>
          <w:rFonts w:hint="default" w:ascii="宋体" w:hAnsi="宋体" w:eastAsia="宋体" w:cs="宋体"/>
          <w:color w:val="000000" w:themeColor="text1"/>
          <w:sz w:val="24"/>
          <w:highlight w:val="none"/>
          <w14:textFill>
            <w14:solidFill>
              <w14:schemeClr w14:val="tx1"/>
            </w14:solidFill>
          </w14:textFill>
        </w:rPr>
        <w:t>检查</w:t>
      </w:r>
      <w:r>
        <w:rPr>
          <w:rFonts w:hint="eastAsia" w:ascii="宋体" w:hAnsi="宋体" w:eastAsia="宋体" w:cs="宋体"/>
          <w:color w:val="000000" w:themeColor="text1"/>
          <w:sz w:val="24"/>
          <w:highlight w:val="none"/>
          <w14:textFill>
            <w14:solidFill>
              <w14:schemeClr w14:val="tx1"/>
            </w14:solidFill>
          </w14:textFill>
        </w:rPr>
        <w:t>等工作，并及时根据工作需要补充有关材料</w:t>
      </w:r>
      <w:r>
        <w:rPr>
          <w:rFonts w:hint="eastAsia" w:ascii="宋体" w:hAnsi="宋体" w:eastAsia="宋体" w:cs="宋体"/>
          <w:color w:val="000000" w:themeColor="text1"/>
          <w:sz w:val="24"/>
          <w:highlight w:val="none"/>
          <w:lang w:eastAsia="zh-CN"/>
          <w14:textFill>
            <w14:solidFill>
              <w14:schemeClr w14:val="tx1"/>
            </w14:solidFill>
          </w14:textFill>
        </w:rPr>
        <w:t>。</w:t>
      </w:r>
    </w:p>
    <w:p>
      <w:pPr>
        <w:snapToGrid w:val="0"/>
        <w:spacing w:line="560" w:lineRule="exact"/>
        <w:ind w:firstLine="482" w:firstLineChars="200"/>
        <w:outlineLvl w:val="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w:t>
      </w:r>
      <w:bookmarkEnd w:id="30"/>
      <w:r>
        <w:rPr>
          <w:rFonts w:hint="eastAsia" w:ascii="宋体" w:hAnsi="宋体" w:eastAsia="宋体" w:cs="宋体"/>
          <w:b/>
          <w:bCs/>
          <w:color w:val="000000" w:themeColor="text1"/>
          <w:sz w:val="24"/>
          <w:highlight w:val="none"/>
          <w14:textFill>
            <w14:solidFill>
              <w14:schemeClr w14:val="tx1"/>
            </w14:solidFill>
          </w14:textFill>
        </w:rPr>
        <w:t>成果要求及</w:t>
      </w:r>
      <w:r>
        <w:rPr>
          <w:rFonts w:hint="eastAsia" w:ascii="宋体" w:hAnsi="宋体" w:eastAsia="宋体" w:cs="宋体"/>
          <w:b/>
          <w:bCs/>
          <w:color w:val="000000" w:themeColor="text1"/>
          <w:sz w:val="24"/>
          <w:highlight w:val="none"/>
          <w:lang w:eastAsia="zh-CN"/>
          <w14:textFill>
            <w14:solidFill>
              <w14:schemeClr w14:val="tx1"/>
            </w14:solidFill>
          </w14:textFill>
        </w:rPr>
        <w:t>验收方式</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1.本项目最终成果为每月6日前出具月度财务核算报告，合同期内共出具12份月度报告；每年1月出具年度财务核算报告，合同期内共出具1份年度报告。相关成果以电子及书面形式交</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审核。</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2.最终成果验收：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项目最终成果验收合格的标志为通过</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1" w:name="_Toc11509"/>
      <w:r>
        <w:rPr>
          <w:rFonts w:hint="eastAsia" w:ascii="宋体" w:hAnsi="宋体" w:eastAsia="宋体" w:cs="宋体"/>
          <w:b/>
          <w:bCs/>
          <w:color w:val="000000" w:themeColor="text1"/>
          <w:sz w:val="24"/>
          <w:highlight w:val="none"/>
          <w14:textFill>
            <w14:solidFill>
              <w14:schemeClr w14:val="tx1"/>
            </w14:solidFill>
          </w14:textFill>
        </w:rPr>
        <w:t>九、费用支付</w:t>
      </w:r>
      <w:bookmarkEnd w:id="31"/>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资金由</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期支付至</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首期：合同签订生效后，根据</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的付款申请，向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指定银行账户支付合同服务费总金额的40%；即人民币____元整（¥____元）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1.2.第2期：合同到期后，通过</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对项目服务成果验收后，根据</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的付款申请，向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指定银行账户支付本合同服务费总金额的60%；即人民币____元整（¥____元）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zh-CN"/>
          <w14:textFill>
            <w14:solidFill>
              <w14:schemeClr w14:val="tx1"/>
            </w14:solidFill>
          </w14:textFill>
        </w:rPr>
        <w:t>本合同执行中相关的一切税费均由乙方负担。</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合同价款由甲方分期付至乙方指定银行账户</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乙方银行账户信息：</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开户银行：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户名：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账号：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highlight w:val="none"/>
          <w14:textFill>
            <w14:solidFill>
              <w14:schemeClr w14:val="tx1"/>
            </w14:solidFill>
          </w14:textFill>
        </w:rPr>
        <w:t>合同提前终止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有下列情形之一的，本合同自甲方向乙方发出书面通知之日起终止：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1.甲方的职能发生转变，不再具有委托职能。</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2.本合同签订时适用的法律法规或政策发生变化，且对本合同的继续履行造成重大影响。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如发生不可抗力或其他超出合同双方控制的事件，致使一方无法履行合同，本合同解除。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2.发生不可抗力，甲乙双方承担各自的损失。由于其中一方迟延履行合同义务后发生不可抗力的，其违约责任不能免除。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2" w:name="_Toc10529"/>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、争议解决</w:t>
      </w:r>
      <w:bookmarkEnd w:id="32"/>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因本合同的履行发生的或与本合同有关的争议或纠纷，任一方有权向深圳前海合作区人民法院提起诉讼。</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3" w:name="_Toc14951"/>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、违约责任</w:t>
      </w:r>
      <w:bookmarkEnd w:id="33"/>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未按照本合同约定的时间完成本项目各阶段工作，每延迟一日，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有权自尚未支付的合同款项中扣除本合同服务费总金额的1‰的逾期违约金。</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2.本合同项下的工作内容不可分割，任一文件的迟延交付均视为整个项目的迟延交付。</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3.本合同履行期间，发生下述情形时，</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除应退还</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已支付的全部款项外</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还应在合同解除通知发出之日起10日内向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支付合同总价款20%的违约金。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应同时将已完成的项目成果移交给</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，并将全部有关资料退还</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未能按合同约定的日期(含协商延缓的日期)提交各阶段工作成果，延误时间超过15个工作日；</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工作的错误或遗漏造成成果质量损失，工作成果质量低劣，不能满足</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工作需要和要求；</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虽如期提交最终成果，但连续二次未能通过</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擅自将本合同项目与任何第三方合作，或将本合同标的全部或部分擅自转包或分包给任何第三方，且未按</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的要求终止与第三方的合同的；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（5）项目负责人未承担本合同项目实质性工作，或未经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擅自更换项目负责人的；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（6）发现</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工作人员出现全部或部分丧失履行委托服务能力的情况，</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有权通知</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限期整改或更换工作人员，期限届满</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并未进行改善的；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明确表示或者以自己的行为表明不履行本合同的。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4.除因</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付款审批影响支付进度的情况外，如</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未按照本合同约定的时间支付服务费，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书面催告</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并给予不少于30个工作日的履行期限后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仍未支付的，</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有权自该期限届满之日起要求</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支付该阶段应付而未付合同价款每日1‰的逾期违约金。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无正当理由拒绝接受服务，到期明确表示拒付服务款项的，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偿付本合同总价5%的违约金。</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4" w:name="_Toc17510"/>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、保密条款</w:t>
      </w:r>
      <w:bookmarkEnd w:id="34"/>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须以保密方式处理在编制本项目成果文件过程中自</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工作人员或</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关联机构获得的相关信息、资料、图纸、数据等，或由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在履行本合同过程中明确指明为秘密的任何信息，以及</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实施项目的程序应符合国家安全、保密的有关规定和标准。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4.上述保密义务不适用以下情况：</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（1）获取的信息已被合法公开；</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（2）获得信息拥有方书面许可并在该许可范围内披露；</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（3）国家法律、法规规定的情形。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违反上述保密条款，</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应在合同解除通知发出之日起10日内向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支付本合同服务费总金额20%的违约金，如果违约金无法弥补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保留要求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赔偿全部损失的权利，包括但不限于前述责任所产生的诉讼费用、合理的律师费用、鉴定评估费用、调查费用、和解金额或生效法律文书中规定的赔偿金额。</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确定。</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5" w:name="_Toc16227"/>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、合同的变更</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本合同履行过程中的需求变更和进度调整，以甲乙双方达成一致的书面文件为准。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因非乙方责任造成项目进度推迟或延误，无法按照本合同约定的日期完成相应工作，双方经过协商可以进一步约定完成的日期，乙方的责任期也随之顺延。</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在本项目进展过程中，经双方同意的研究、编制内容等方面的增减，如所涉增加费用的金额不超过本合同项下服务费总金额的10%，由双方商定变更内容及具体价格后签订书面补充协议予以确认。</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、其他</w:t>
      </w:r>
      <w:bookmarkEnd w:id="35"/>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1.合同书及补充协议；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2.中标通知书；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3.招标文件（编号：          ）及其澄清、补正公告；</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4.投标书。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本合同替代此前双方所有关于本合同事项的口头或书面的纪要、备忘录、合同、协议。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本合同附件（如有）为合同不可分割的组成部分，与本合同一并加盖骑缝章后具有同等法律效力。若附件与合同正文有任何冲突，以合同正文为准。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本合同各条标题仅为提示之用，应以条文内容确定各方的权利义务。</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本合同未尽事宜，由双方协商签订补充协议进行约定。补充协议应以书面形式作成，经双方法定代表人或其授权代表签字盖章后与本合同具有同等法律效力。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如果本合同的任何条款在任何时候变成不合法、无效或不可强制执行而不从根本上影响本合同的效力时，本合同的其他条款不受影响。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本合同的任何内容不应被视为或解释为双方之间具有合资、合伙、代理关系。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任何一方未经另一方同意不得向任何第三方透露本合同的签订及其内容。甲方向其关联公司透露前述内容的，不受此限。</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本合同自双方法定代表人或其授权代表签字盖章之日起生效。</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本合同一式六份正本，甲方与乙方各执三份，均具同等法律效力。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13"/>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：服务团队名单</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地址：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委托代理人：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电话：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号：                         </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号：</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签约地址：                              </w:t>
      </w:r>
    </w:p>
    <w:p>
      <w:pPr>
        <w:spacing w:line="360" w:lineRule="auto"/>
        <w:ind w:firstLine="72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签约时间：     年   月   日</w:t>
      </w:r>
    </w:p>
    <w:p>
      <w:pPr>
        <w:pStyle w:val="11"/>
        <w:rPr>
          <w:rFonts w:hint="eastAsia" w:ascii="Calibri" w:hAnsi="Calibri"/>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p>
    <w:p>
      <w:pPr>
        <w:jc w:val="center"/>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服务团队名单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50"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481"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职务/岗位</w:t>
            </w:r>
          </w:p>
        </w:tc>
        <w:tc>
          <w:tcPr>
            <w:tcW w:w="2645"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1704"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bl>
    <w:p>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pPr>
        <w:ind w:firstLine="630" w:firstLineChars="300"/>
        <w:rPr>
          <w:rFonts w:hint="eastAsia" w:ascii="宋体" w:hAnsi="宋体" w:eastAsia="宋体" w:cs="宋体"/>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11"/>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6" w:name="_Toc25518"/>
      <w:r>
        <w:rPr>
          <w:rFonts w:hint="eastAsia" w:ascii="宋体" w:hAnsi="宋体" w:cs="宋体"/>
          <w:b/>
          <w:bCs/>
          <w:color w:val="000000" w:themeColor="text1"/>
          <w:sz w:val="24"/>
          <w14:textFill>
            <w14:solidFill>
              <w14:schemeClr w14:val="tx1"/>
            </w14:solidFill>
          </w14:textFill>
        </w:rPr>
        <w:t>用户需求书</w:t>
      </w:r>
      <w:bookmarkEnd w:id="36"/>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7" w:name="_Toc11045"/>
      <w:bookmarkStart w:id="38"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37"/>
    <w:bookmarkEnd w:id="38"/>
    <w:p>
      <w:pPr>
        <w:pStyle w:val="19"/>
        <w:tabs>
          <w:tab w:val="left" w:pos="3495"/>
        </w:tabs>
        <w:spacing w:before="0" w:beforeAutospacing="0" w:after="0" w:afterAutospacing="0" w:line="360" w:lineRule="auto"/>
        <w:ind w:firstLine="482" w:firstLineChars="200"/>
        <w:rPr>
          <w:rFonts w:hint="eastAsia" w:ascii="宋体" w:hAnsi="宋体" w:eastAsia="宋体" w:cs="宋体"/>
          <w:b/>
          <w:bCs/>
          <w:snapToGrid w:val="0"/>
          <w:color w:val="000000" w:themeColor="text1"/>
          <w:sz w:val="24"/>
          <w:szCs w:val="24"/>
          <w:lang w:val="en-US" w:eastAsia="zh-CN"/>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一、</w:t>
      </w:r>
      <w:r>
        <w:rPr>
          <w:rFonts w:hint="eastAsia" w:ascii="宋体" w:hAnsi="宋体" w:cs="宋体"/>
          <w:b/>
          <w:bCs/>
          <w:snapToGrid w:val="0"/>
          <w:color w:val="000000" w:themeColor="text1"/>
          <w:sz w:val="24"/>
          <w:szCs w:val="24"/>
          <w14:textFill>
            <w14:solidFill>
              <w14:schemeClr w14:val="tx1"/>
            </w14:solidFill>
          </w14:textFill>
        </w:rPr>
        <w:t>项目</w:t>
      </w:r>
      <w:r>
        <w:rPr>
          <w:rFonts w:hint="eastAsia" w:ascii="宋体" w:hAnsi="宋体" w:cs="宋体"/>
          <w:b/>
          <w:bCs/>
          <w:snapToGrid w:val="0"/>
          <w:color w:val="000000" w:themeColor="text1"/>
          <w:sz w:val="24"/>
          <w:szCs w:val="24"/>
          <w:lang w:val="en-US" w:eastAsia="zh-CN"/>
          <w14:textFill>
            <w14:solidFill>
              <w14:schemeClr w14:val="tx1"/>
            </w14:solidFill>
          </w14:textFill>
        </w:rPr>
        <w:t>背景</w:t>
      </w:r>
    </w:p>
    <w:p>
      <w:pPr>
        <w:pStyle w:val="19"/>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2024年3月10日，深圳市人民政府令第360号公布《深圳市前海深港现代服务业合作区管理局办法》，提出“市人民政府赋予前海合作区一级财政管理权限，为全面深化前海合作区改革开放提供稳定可预期的财力保障。市前海管理局管理前海合作区金库，组织实施地方财政国库管理制度，统筹调度前海合作区财政资金，并依法接受监督。”2025年5月9日，人民银行深圳市分行批复同意设立中华人民共和国国家金库深圳市前海深港现代服务业合作区支库（下称“前海国库”）。在市财政局、市税务局、人民银行深圳市分行等部门的支持指导下，前海国库于2026年1月上线运行。</w:t>
      </w:r>
    </w:p>
    <w:p>
      <w:pPr>
        <w:pStyle w:val="19"/>
        <w:tabs>
          <w:tab w:val="left" w:pos="3495"/>
        </w:tabs>
        <w:spacing w:before="0" w:beforeAutospacing="0" w:after="0" w:afterAutospacing="0" w:line="360" w:lineRule="auto"/>
        <w:ind w:firstLine="482" w:firstLineChars="200"/>
        <w:jc w:val="both"/>
        <w:rPr>
          <w:rFonts w:ascii="宋体" w:hAnsi="宋体" w:cs="宋体"/>
          <w:b/>
          <w:bCs/>
          <w:snapToGrid w:val="0"/>
          <w:color w:val="000000" w:themeColor="text1"/>
          <w:sz w:val="24"/>
          <w:szCs w:val="24"/>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二、项目必要性</w:t>
      </w:r>
    </w:p>
    <w:p>
      <w:pPr>
        <w:pStyle w:val="19"/>
        <w:tabs>
          <w:tab w:val="left" w:pos="3495"/>
        </w:tabs>
        <w:spacing w:before="0" w:beforeAutospacing="0" w:after="0" w:afterAutospacing="0"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前海国库上线运行后，前海财政中心需独立承担财政总会计核算、国库管理职责，</w:t>
      </w:r>
      <w:r>
        <w:rPr>
          <w:rFonts w:hint="eastAsia" w:ascii="宋体" w:hAnsi="宋体" w:cs="宋体"/>
          <w:snapToGrid w:val="0"/>
          <w:color w:val="000000" w:themeColor="text1"/>
          <w:sz w:val="24"/>
          <w:szCs w:val="24"/>
          <w:lang w:val="en-US" w:eastAsia="zh-CN"/>
          <w14:textFill>
            <w14:solidFill>
              <w14:schemeClr w14:val="tx1"/>
            </w14:solidFill>
          </w14:textFill>
        </w:rPr>
        <w:t>考虑到国库业务量大，</w:t>
      </w:r>
      <w:r>
        <w:rPr>
          <w:rFonts w:hint="eastAsia" w:ascii="宋体" w:hAnsi="宋体" w:cs="宋体"/>
          <w:snapToGrid w:val="0"/>
          <w:color w:val="000000" w:themeColor="text1"/>
          <w:sz w:val="24"/>
          <w:szCs w:val="24"/>
          <w14:textFill>
            <w14:solidFill>
              <w14:schemeClr w14:val="tx1"/>
            </w14:solidFill>
          </w14:textFill>
        </w:rPr>
        <w:t>为确保</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工作的</w:t>
      </w:r>
      <w:r>
        <w:rPr>
          <w:rFonts w:hint="eastAsia" w:ascii="宋体" w:hAnsi="宋体" w:cs="宋体"/>
          <w:snapToGrid w:val="0"/>
          <w:color w:val="000000" w:themeColor="text1"/>
          <w:sz w:val="24"/>
          <w:szCs w:val="24"/>
          <w:lang w:eastAsia="zh-CN"/>
          <w14:textFill>
            <w14:solidFill>
              <w14:schemeClr w14:val="tx1"/>
            </w14:solidFill>
          </w14:textFill>
        </w:rPr>
        <w:t>安全与平稳</w:t>
      </w: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eastAsia="zh-CN"/>
          <w14:textFill>
            <w14:solidFill>
              <w14:schemeClr w14:val="tx1"/>
            </w14:solidFill>
          </w14:textFill>
        </w:rPr>
        <w:t>亟需采购第三方专业机构提供专业力量和技术支持，对前海国库业务进行全面的</w:t>
      </w:r>
      <w:r>
        <w:rPr>
          <w:rFonts w:hint="eastAsia" w:cs="宋体"/>
          <w:snapToGrid w:val="0"/>
          <w:color w:val="000000" w:themeColor="text1"/>
          <w:sz w:val="24"/>
          <w:szCs w:val="24"/>
          <w:lang w:val="en-US" w:eastAsia="zh-CN"/>
          <w14:textFill>
            <w14:solidFill>
              <w14:schemeClr w14:val="tx1"/>
            </w14:solidFill>
          </w14:textFill>
        </w:rPr>
        <w:t>初步审查</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辅助财政中心国库管理人员开展日常工作，</w:t>
      </w:r>
      <w:r>
        <w:rPr>
          <w:rFonts w:hint="eastAsia" w:ascii="宋体" w:hAnsi="宋体" w:cs="宋体"/>
          <w:snapToGrid w:val="0"/>
          <w:color w:val="000000" w:themeColor="text1"/>
          <w:sz w:val="24"/>
          <w:szCs w:val="24"/>
          <w14:textFill>
            <w14:solidFill>
              <w14:schemeClr w14:val="tx1"/>
            </w14:solidFill>
          </w14:textFill>
        </w:rPr>
        <w:t>提升业务办理能力与质量</w:t>
      </w:r>
      <w:r>
        <w:rPr>
          <w:rFonts w:hint="eastAsia" w:ascii="宋体" w:hAnsi="宋体" w:cs="宋体"/>
          <w:snapToGrid w:val="0"/>
          <w:color w:val="000000" w:themeColor="text1"/>
          <w:sz w:val="24"/>
          <w:szCs w:val="24"/>
          <w:lang w:val="en-US"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拟采购前海管理局2026-2027年度国库会计核算辅助技术服务。</w:t>
      </w:r>
    </w:p>
    <w:p>
      <w:pPr>
        <w:pStyle w:val="5"/>
        <w:spacing w:before="0" w:after="0"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三、</w:t>
      </w:r>
      <w:r>
        <w:rPr>
          <w:rFonts w:hint="eastAsia" w:cs="宋体"/>
          <w:b/>
          <w:bCs/>
          <w:color w:val="000000" w:themeColor="text1"/>
          <w:sz w:val="24"/>
          <w:szCs w:val="24"/>
          <w14:textFill>
            <w14:solidFill>
              <w14:schemeClr w14:val="tx1"/>
            </w14:solidFill>
          </w14:textFill>
        </w:rPr>
        <w:t>服务内容</w:t>
      </w:r>
    </w:p>
    <w:p>
      <w:pPr>
        <w:pStyle w:val="19"/>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国库会计核算辅助技术服务内容主要包括辅助账务处理工作、辅助月度年度对账</w:t>
      </w:r>
      <w:bookmarkStart w:id="63" w:name="_GoBack"/>
      <w:bookmarkEnd w:id="63"/>
      <w:r>
        <w:rPr>
          <w:rFonts w:hint="eastAsia" w:ascii="宋体" w:hAnsi="宋体" w:cs="宋体"/>
          <w:snapToGrid w:val="0"/>
          <w:color w:val="000000" w:themeColor="text1"/>
          <w:sz w:val="24"/>
          <w:szCs w:val="24"/>
          <w14:textFill>
            <w14:solidFill>
              <w14:schemeClr w14:val="tx1"/>
            </w14:solidFill>
          </w14:textFill>
        </w:rPr>
        <w:t>以及会计凭证、报表等档案管理、其他日常财政管理咨询等工作，具体如下：</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一</w:t>
      </w:r>
      <w:r>
        <w:rPr>
          <w:rFonts w:hint="eastAsia" w:ascii="宋体" w:hAnsi="宋体" w:cs="宋体"/>
          <w:snapToGrid w:val="0"/>
          <w:color w:val="000000" w:themeColor="text1"/>
          <w:sz w:val="24"/>
          <w:szCs w:val="24"/>
          <w14:textFill>
            <w14:solidFill>
              <w14:schemeClr w14:val="tx1"/>
            </w14:solidFill>
          </w14:textFill>
        </w:rPr>
        <w:t>）</w:t>
      </w:r>
      <w:r>
        <w:rPr>
          <w:rFonts w:hint="eastAsia" w:cs="宋体"/>
          <w:snapToGrid w:val="0"/>
          <w:color w:val="000000" w:themeColor="text1"/>
          <w:sz w:val="24"/>
          <w:szCs w:val="24"/>
          <w:lang w:val="en-US"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国库集中支付</w:t>
      </w:r>
      <w:r>
        <w:rPr>
          <w:rFonts w:hint="eastAsia" w:cs="宋体"/>
          <w:snapToGrid w:val="0"/>
          <w:color w:val="000000" w:themeColor="text1"/>
          <w:sz w:val="24"/>
          <w:szCs w:val="24"/>
          <w:lang w:eastAsia="zh-CN"/>
          <w14:textFill>
            <w14:solidFill>
              <w14:schemeClr w14:val="tx1"/>
            </w14:solidFill>
          </w14:textFill>
        </w:rPr>
        <w:t>协助</w:t>
      </w:r>
      <w:r>
        <w:rPr>
          <w:rFonts w:hint="eastAsia" w:ascii="宋体" w:hAnsi="宋体" w:cs="宋体"/>
          <w:snapToGrid w:val="0"/>
          <w:color w:val="000000" w:themeColor="text1"/>
          <w:sz w:val="24"/>
          <w:szCs w:val="24"/>
          <w:lang w:val="en-US" w:eastAsia="zh-CN"/>
          <w14:textFill>
            <w14:solidFill>
              <w14:schemeClr w14:val="tx1"/>
            </w14:solidFill>
          </w14:textFill>
        </w:rPr>
        <w:t>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1.</w:t>
      </w:r>
      <w:r>
        <w:rPr>
          <w:rFonts w:hint="eastAsia" w:ascii="宋体" w:hAnsi="宋体" w:cs="宋体"/>
          <w:snapToGrid w:val="0"/>
          <w:color w:val="000000" w:themeColor="text1"/>
          <w:sz w:val="24"/>
          <w:szCs w:val="24"/>
          <w14:textFill>
            <w14:solidFill>
              <w14:schemeClr w14:val="tx1"/>
            </w14:solidFill>
          </w14:textFill>
        </w:rPr>
        <w:t>协助处理</w:t>
      </w:r>
      <w:r>
        <w:rPr>
          <w:rFonts w:hint="eastAsia" w:ascii="宋体" w:hAnsi="宋体" w:cs="宋体"/>
          <w:snapToGrid w:val="0"/>
          <w:color w:val="000000" w:themeColor="text1"/>
          <w:sz w:val="24"/>
          <w:szCs w:val="24"/>
          <w:lang w:eastAsia="zh-CN"/>
          <w14:textFill>
            <w14:solidFill>
              <w14:schemeClr w14:val="tx1"/>
            </w14:solidFill>
          </w14:textFill>
        </w:rPr>
        <w:t>人工审核事项，</w:t>
      </w:r>
      <w:r>
        <w:rPr>
          <w:rFonts w:hint="eastAsia" w:ascii="宋体" w:hAnsi="宋体" w:cs="宋体"/>
          <w:snapToGrid w:val="0"/>
          <w:color w:val="000000" w:themeColor="text1"/>
          <w:sz w:val="24"/>
          <w:szCs w:val="24"/>
          <w:lang w:val="en-US" w:eastAsia="zh-CN"/>
          <w14:textFill>
            <w14:solidFill>
              <w14:schemeClr w14:val="tx1"/>
            </w14:solidFill>
          </w14:textFill>
        </w:rPr>
        <w:t>对国库集中支付</w:t>
      </w:r>
      <w:r>
        <w:rPr>
          <w:rFonts w:hint="eastAsia" w:ascii="宋体" w:hAnsi="宋体" w:cs="宋体"/>
          <w:snapToGrid w:val="0"/>
          <w:color w:val="000000" w:themeColor="text1"/>
          <w:sz w:val="24"/>
          <w:szCs w:val="24"/>
          <w:lang w:eastAsia="zh-CN"/>
          <w14:textFill>
            <w14:solidFill>
              <w14:schemeClr w14:val="tx1"/>
            </w14:solidFill>
          </w14:textFill>
        </w:rPr>
        <w:t>提交的资料的</w:t>
      </w:r>
      <w:r>
        <w:rPr>
          <w:rFonts w:hint="eastAsia" w:ascii="宋体" w:hAnsi="宋体" w:cs="宋体"/>
          <w:snapToGrid w:val="0"/>
          <w:color w:val="000000" w:themeColor="text1"/>
          <w:sz w:val="24"/>
          <w:szCs w:val="24"/>
          <w:lang w:val="en-US" w:eastAsia="zh-CN"/>
          <w14:textFill>
            <w14:solidFill>
              <w14:schemeClr w14:val="tx1"/>
            </w14:solidFill>
          </w14:textFill>
        </w:rPr>
        <w:t>合法合规、真实性、</w:t>
      </w:r>
      <w:r>
        <w:rPr>
          <w:rFonts w:hint="eastAsia" w:ascii="宋体" w:hAnsi="宋体" w:cs="宋体"/>
          <w:snapToGrid w:val="0"/>
          <w:color w:val="000000" w:themeColor="text1"/>
          <w:sz w:val="24"/>
          <w:szCs w:val="24"/>
          <w:lang w:eastAsia="zh-CN"/>
          <w14:textFill>
            <w14:solidFill>
              <w14:schemeClr w14:val="tx1"/>
            </w14:solidFill>
          </w14:textFill>
        </w:rPr>
        <w:t>完整性进行初步筛查，提出审查意见</w:t>
      </w:r>
      <w:r>
        <w:rPr>
          <w:rFonts w:hint="eastAsia" w:cs="宋体"/>
          <w:snapToGrid w:val="0"/>
          <w:color w:val="000000" w:themeColor="text1"/>
          <w:sz w:val="24"/>
          <w:szCs w:val="24"/>
          <w:lang w:eastAsia="zh-CN"/>
          <w14:textFill>
            <w14:solidFill>
              <w14:schemeClr w14:val="tx1"/>
            </w14:solidFill>
          </w14:textFill>
        </w:rPr>
        <w:t>供人工审核岗位人员参考</w:t>
      </w:r>
      <w:r>
        <w:rPr>
          <w:rFonts w:hint="eastAsia" w:ascii="宋体" w:hAnsi="宋体" w:cs="宋体"/>
          <w:snapToGrid w:val="0"/>
          <w:color w:val="000000" w:themeColor="text1"/>
          <w:sz w:val="24"/>
          <w:szCs w:val="24"/>
          <w14:textFill>
            <w14:solidFill>
              <w14:schemeClr w14:val="tx1"/>
            </w14:solidFill>
          </w14:textFill>
        </w:rPr>
        <w:t>。</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每日、每旬、每月与国库集中支付代理银行</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人民银行</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预算单位（前海管理局）</w:t>
      </w:r>
      <w:r>
        <w:rPr>
          <w:rFonts w:hint="eastAsia" w:ascii="宋体" w:hAnsi="宋体" w:cs="宋体"/>
          <w:snapToGrid w:val="0"/>
          <w:color w:val="000000" w:themeColor="text1"/>
          <w:sz w:val="24"/>
          <w:szCs w:val="24"/>
          <w14:textFill>
            <w14:solidFill>
              <w14:schemeClr w14:val="tx1"/>
            </w14:solidFill>
          </w14:textFill>
        </w:rPr>
        <w:t>的对账工作，监测逾期清算数据。</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3.</w:t>
      </w:r>
      <w:r>
        <w:rPr>
          <w:rFonts w:hint="eastAsia" w:ascii="宋体" w:hAnsi="宋体" w:cs="宋体"/>
          <w:snapToGrid w:val="0"/>
          <w:color w:val="000000" w:themeColor="text1"/>
          <w:sz w:val="24"/>
          <w:szCs w:val="24"/>
          <w14:textFill>
            <w14:solidFill>
              <w14:schemeClr w14:val="tx1"/>
            </w14:solidFill>
          </w14:textFill>
        </w:rPr>
        <w:t>协助整理支付回单凭证。</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eastAsia="zh-CN"/>
          <w14:textFill>
            <w14:solidFill>
              <w14:schemeClr w14:val="tx1"/>
            </w14:solidFill>
          </w14:textFill>
        </w:rPr>
        <w:t>二</w:t>
      </w:r>
      <w:r>
        <w:rPr>
          <w:rFonts w:hint="eastAsia" w:ascii="宋体" w:hAnsi="宋体" w:cs="宋体"/>
          <w:snapToGrid w:val="0"/>
          <w:color w:val="000000" w:themeColor="text1"/>
          <w:sz w:val="24"/>
          <w:szCs w:val="24"/>
          <w14:textFill>
            <w14:solidFill>
              <w14:schemeClr w14:val="tx1"/>
            </w14:solidFill>
          </w14:textFill>
        </w:rPr>
        <w:t>）辅助基础账务处理工作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1.</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财政总会计核算</w:t>
      </w:r>
      <w:r>
        <w:rPr>
          <w:rFonts w:hint="eastAsia" w:ascii="宋体" w:hAnsi="宋体" w:cs="宋体"/>
          <w:snapToGrid w:val="0"/>
          <w:color w:val="000000" w:themeColor="text1"/>
          <w:sz w:val="24"/>
          <w:szCs w:val="24"/>
          <w:lang w:eastAsia="zh-CN"/>
          <w14:textFill>
            <w14:solidFill>
              <w14:schemeClr w14:val="tx1"/>
            </w14:solidFill>
          </w14:textFill>
        </w:rPr>
        <w:t>工作，</w:t>
      </w:r>
      <w:r>
        <w:rPr>
          <w:rFonts w:hint="eastAsia" w:ascii="宋体" w:hAnsi="宋体" w:cs="宋体"/>
          <w:snapToGrid w:val="0"/>
          <w:color w:val="000000" w:themeColor="text1"/>
          <w:sz w:val="24"/>
          <w:szCs w:val="24"/>
          <w14:textFill>
            <w14:solidFill>
              <w14:schemeClr w14:val="tx1"/>
            </w14:solidFill>
          </w14:textFill>
        </w:rPr>
        <w:t>包括每日与人民银行的数据核对等。</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val="en-US" w:eastAsia="zh-CN"/>
          <w14:textFill>
            <w14:solidFill>
              <w14:schemeClr w14:val="tx1"/>
            </w14:solidFill>
          </w14:textFill>
        </w:rPr>
        <w:t>对</w:t>
      </w:r>
      <w:r>
        <w:rPr>
          <w:rFonts w:hint="eastAsia" w:ascii="宋体" w:hAnsi="宋体" w:cs="宋体"/>
          <w:snapToGrid w:val="0"/>
          <w:color w:val="000000" w:themeColor="text1"/>
          <w:sz w:val="24"/>
          <w:szCs w:val="24"/>
          <w14:textFill>
            <w14:solidFill>
              <w14:schemeClr w14:val="tx1"/>
            </w14:solidFill>
          </w14:textFill>
        </w:rPr>
        <w:t>各类</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会计报表，如日报、旬报、月报、库款月报、暂存暂付款月报、专户月报等</w:t>
      </w:r>
      <w:r>
        <w:rPr>
          <w:rFonts w:hint="eastAsia" w:ascii="宋体" w:hAnsi="宋体" w:cs="宋体"/>
          <w:snapToGrid w:val="0"/>
          <w:color w:val="000000" w:themeColor="text1"/>
          <w:sz w:val="24"/>
          <w:szCs w:val="24"/>
          <w:lang w:eastAsia="zh-CN"/>
          <w14:textFill>
            <w14:solidFill>
              <w14:schemeClr w14:val="tx1"/>
            </w14:solidFill>
          </w14:textFill>
        </w:rPr>
        <w:t>进行</w:t>
      </w:r>
      <w:r>
        <w:rPr>
          <w:rFonts w:hint="eastAsia" w:cs="宋体"/>
          <w:snapToGrid w:val="0"/>
          <w:color w:val="000000" w:themeColor="text1"/>
          <w:sz w:val="24"/>
          <w:szCs w:val="24"/>
          <w:lang w:eastAsia="zh-CN"/>
          <w14:textFill>
            <w14:solidFill>
              <w14:schemeClr w14:val="tx1"/>
            </w14:solidFill>
          </w14:textFill>
        </w:rPr>
        <w:t>初步筛查</w:t>
      </w:r>
      <w:r>
        <w:rPr>
          <w:rFonts w:hint="eastAsia" w:ascii="宋体" w:hAnsi="宋体" w:cs="宋体"/>
          <w:snapToGrid w:val="0"/>
          <w:color w:val="000000" w:themeColor="text1"/>
          <w:sz w:val="24"/>
          <w:szCs w:val="24"/>
          <w14:textFill>
            <w14:solidFill>
              <w14:schemeClr w14:val="tx1"/>
            </w14:solidFill>
          </w14:textFill>
        </w:rPr>
        <w:t>。</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3.</w:t>
      </w:r>
      <w:r>
        <w:rPr>
          <w:rFonts w:hint="eastAsia" w:ascii="宋体" w:hAnsi="宋体" w:cs="宋体"/>
          <w:snapToGrid w:val="0"/>
          <w:color w:val="000000" w:themeColor="text1"/>
          <w:sz w:val="24"/>
          <w:szCs w:val="24"/>
          <w14:textFill>
            <w14:solidFill>
              <w14:schemeClr w14:val="tx1"/>
            </w14:solidFill>
          </w14:textFill>
        </w:rPr>
        <w:t>协助办理国库更正（调库）、退库业务的材料准备。</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（三）</w:t>
      </w:r>
      <w:r>
        <w:rPr>
          <w:rFonts w:hint="eastAsia" w:ascii="宋体" w:hAnsi="宋体" w:cs="宋体"/>
          <w:snapToGrid w:val="0"/>
          <w:color w:val="000000" w:themeColor="text1"/>
          <w:sz w:val="24"/>
          <w:szCs w:val="24"/>
          <w:lang w:eastAsia="zh-CN"/>
          <w14:textFill>
            <w14:solidFill>
              <w14:schemeClr w14:val="tx1"/>
            </w14:solidFill>
          </w14:textFill>
        </w:rPr>
        <w:t>会计档案整理服务</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每日</w:t>
      </w:r>
      <w:r>
        <w:rPr>
          <w:rFonts w:hint="eastAsia" w:ascii="宋体" w:hAnsi="宋体" w:cs="宋体"/>
          <w:snapToGrid w:val="0"/>
          <w:color w:val="000000" w:themeColor="text1"/>
          <w:sz w:val="24"/>
          <w:szCs w:val="24"/>
          <w14:textFill>
            <w14:solidFill>
              <w14:schemeClr w14:val="tx1"/>
            </w14:solidFill>
          </w14:textFill>
        </w:rPr>
        <w:t>对</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会计凭证资料进行整理归档，按《会计档案管理办法》《深圳市前海管理局档案管理实施细则》等</w:t>
      </w:r>
      <w:r>
        <w:rPr>
          <w:rFonts w:hint="eastAsia" w:ascii="宋体" w:hAnsi="宋体" w:cs="宋体"/>
          <w:snapToGrid w:val="0"/>
          <w:color w:val="000000" w:themeColor="text1"/>
          <w:sz w:val="24"/>
          <w:szCs w:val="24"/>
          <w:lang w:eastAsia="zh-Hans"/>
          <w14:textFill>
            <w14:solidFill>
              <w14:schemeClr w14:val="tx1"/>
            </w14:solidFill>
          </w14:textFill>
        </w:rPr>
        <w:t>规定，</w:t>
      </w:r>
      <w:r>
        <w:rPr>
          <w:rFonts w:hint="eastAsia" w:ascii="宋体" w:hAnsi="宋体" w:cs="宋体"/>
          <w:snapToGrid w:val="0"/>
          <w:color w:val="000000" w:themeColor="text1"/>
          <w:sz w:val="24"/>
          <w:szCs w:val="24"/>
          <w:lang w:eastAsia="zh-CN"/>
          <w14:textFill>
            <w14:solidFill>
              <w14:schemeClr w14:val="tx1"/>
            </w14:solidFill>
          </w14:textFill>
        </w:rPr>
        <w:t>提供</w:t>
      </w:r>
      <w:r>
        <w:rPr>
          <w:rFonts w:hint="eastAsia" w:ascii="宋体" w:hAnsi="宋体" w:cs="宋体"/>
          <w:snapToGrid w:val="0"/>
          <w:color w:val="000000" w:themeColor="text1"/>
          <w:sz w:val="24"/>
          <w:szCs w:val="24"/>
          <w:lang w:val="en-US" w:eastAsia="zh-CN"/>
          <w14:textFill>
            <w14:solidFill>
              <w14:schemeClr w14:val="tx1"/>
            </w14:solidFill>
          </w14:textFill>
        </w:rPr>
        <w:t>对国库会计</w:t>
      </w:r>
      <w:r>
        <w:rPr>
          <w:rFonts w:hint="eastAsia" w:ascii="宋体" w:hAnsi="宋体" w:cs="宋体"/>
          <w:snapToGrid w:val="0"/>
          <w:color w:val="000000" w:themeColor="text1"/>
          <w:sz w:val="24"/>
          <w:szCs w:val="24"/>
          <w:lang w:val="en-US" w:eastAsia="zh-Hans"/>
          <w14:textFill>
            <w14:solidFill>
              <w14:schemeClr w14:val="tx1"/>
            </w14:solidFill>
          </w14:textFill>
        </w:rPr>
        <w:t>档案</w:t>
      </w:r>
      <w:r>
        <w:rPr>
          <w:rFonts w:hint="eastAsia" w:ascii="宋体" w:hAnsi="宋体" w:cs="宋体"/>
          <w:snapToGrid w:val="0"/>
          <w:color w:val="000000" w:themeColor="text1"/>
          <w:sz w:val="24"/>
          <w:szCs w:val="24"/>
          <w:lang w:val="en-US" w:eastAsia="zh-CN"/>
          <w14:textFill>
            <w14:solidFill>
              <w14:schemeClr w14:val="tx1"/>
            </w14:solidFill>
          </w14:textFill>
        </w:rPr>
        <w:t>进行</w:t>
      </w:r>
      <w:r>
        <w:rPr>
          <w:rFonts w:hint="eastAsia" w:ascii="宋体" w:hAnsi="宋体" w:cs="宋体"/>
          <w:snapToGrid w:val="0"/>
          <w:color w:val="000000" w:themeColor="text1"/>
          <w:sz w:val="24"/>
          <w:szCs w:val="24"/>
          <w14:textFill>
            <w14:solidFill>
              <w14:schemeClr w14:val="tx1"/>
            </w14:solidFill>
          </w14:textFill>
        </w:rPr>
        <w:t>编目、立卷、归档、移交等</w:t>
      </w:r>
      <w:r>
        <w:rPr>
          <w:rFonts w:hint="eastAsia" w:ascii="宋体" w:hAnsi="宋体" w:cs="宋体"/>
          <w:snapToGrid w:val="0"/>
          <w:color w:val="000000" w:themeColor="text1"/>
          <w:sz w:val="24"/>
          <w:szCs w:val="24"/>
          <w:lang w:eastAsia="zh-CN"/>
          <w14:textFill>
            <w14:solidFill>
              <w14:schemeClr w14:val="tx1"/>
            </w14:solidFill>
          </w14:textFill>
        </w:rPr>
        <w:t>全流程的技术辅助服务。</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（四）</w:t>
      </w:r>
      <w:r>
        <w:rPr>
          <w:rFonts w:hint="eastAsia" w:ascii="宋体" w:hAnsi="宋体" w:cs="宋体"/>
          <w:snapToGrid w:val="0"/>
          <w:color w:val="000000" w:themeColor="text1"/>
          <w:sz w:val="24"/>
          <w:szCs w:val="24"/>
          <w14:textFill>
            <w14:solidFill>
              <w14:schemeClr w14:val="tx1"/>
            </w14:solidFill>
          </w14:textFill>
        </w:rPr>
        <w:t>其他日常</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管理咨询工作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根据要求对</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数据进行统计分析，协助</w:t>
      </w:r>
      <w:r>
        <w:rPr>
          <w:rFonts w:hint="eastAsia" w:ascii="宋体" w:hAnsi="宋体" w:cs="宋体"/>
          <w:snapToGrid w:val="0"/>
          <w:color w:val="000000" w:themeColor="text1"/>
          <w:sz w:val="24"/>
          <w:szCs w:val="24"/>
          <w:lang w:val="en-US" w:eastAsia="zh-CN"/>
          <w14:textFill>
            <w14:solidFill>
              <w14:schemeClr w14:val="tx1"/>
            </w14:solidFill>
          </w14:textFill>
        </w:rPr>
        <w:t>国库会计</w:t>
      </w:r>
      <w:r>
        <w:rPr>
          <w:rFonts w:hint="eastAsia" w:ascii="宋体" w:hAnsi="宋体" w:cs="宋体"/>
          <w:snapToGrid w:val="0"/>
          <w:color w:val="000000" w:themeColor="text1"/>
          <w:sz w:val="24"/>
          <w:szCs w:val="24"/>
          <w14:textFill>
            <w14:solidFill>
              <w14:schemeClr w14:val="tx1"/>
            </w14:solidFill>
          </w14:textFill>
        </w:rPr>
        <w:t>核算管理咨询工作。</w:t>
      </w:r>
    </w:p>
    <w:p>
      <w:pPr>
        <w:pStyle w:val="5"/>
        <w:spacing w:before="0" w:after="0" w:line="360" w:lineRule="auto"/>
        <w:ind w:firstLine="482"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四、项目团队要求</w:t>
      </w:r>
    </w:p>
    <w:p>
      <w:pPr>
        <w:pStyle w:val="35"/>
        <w:tabs>
          <w:tab w:val="left" w:pos="720"/>
        </w:tabs>
        <w:autoSpaceDE w:val="0"/>
        <w:autoSpaceDN w:val="0"/>
        <w:adjustRightInd w:val="0"/>
        <w:spacing w:line="360" w:lineRule="auto"/>
        <w:ind w:right="17" w:firstLine="422"/>
        <w:jc w:val="left"/>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应为本项目提供不少于3人固定服务团队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含项目负责人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其中含</w:t>
      </w:r>
      <w:r>
        <w:rPr>
          <w:rFonts w:hint="eastAsia" w:ascii="宋体" w:hAnsi="宋体" w:eastAsia="宋体" w:cs="宋体"/>
          <w:color w:val="000000" w:themeColor="text1"/>
          <w:sz w:val="24"/>
          <w:szCs w:val="24"/>
          <w:highlight w:val="none"/>
          <w14:textFill>
            <w14:solidFill>
              <w14:schemeClr w14:val="tx1"/>
            </w14:solidFill>
          </w14:textFill>
        </w:rPr>
        <w:t>驻场人员</w:t>
      </w:r>
      <w:r>
        <w:rPr>
          <w:rFonts w:hint="eastAsia" w:ascii="宋体" w:hAnsi="宋体" w:cs="宋体"/>
          <w:color w:val="000000" w:themeColor="text1"/>
          <w:sz w:val="24"/>
          <w:szCs w:val="24"/>
          <w:highlight w:val="none"/>
          <w:lang w:val="en-US" w:eastAsia="zh-CN"/>
          <w14:textFill>
            <w14:solidFill>
              <w14:schemeClr w14:val="tx1"/>
            </w14:solidFill>
          </w14:textFill>
        </w:rPr>
        <w:t>不少于</w:t>
      </w:r>
      <w:r>
        <w:rPr>
          <w:rFonts w:hint="eastAsia" w:ascii="宋体" w:hAnsi="宋体" w:eastAsia="宋体" w:cs="宋体"/>
          <w:color w:val="000000" w:themeColor="text1"/>
          <w:sz w:val="24"/>
          <w:szCs w:val="24"/>
          <w:highlight w:val="none"/>
          <w14:textFill>
            <w14:solidFill>
              <w14:schemeClr w14:val="tx1"/>
            </w14:solidFill>
          </w14:textFill>
        </w:rPr>
        <w:t>2人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35"/>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（一）服务期限</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本项目服务期限为自合同签订之日起</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12个月</w:t>
      </w:r>
      <w:r>
        <w:rPr>
          <w:rFonts w:hint="eastAsia" w:ascii="宋体" w:hAnsi="宋体" w:eastAsia="宋体" w:cs="宋体"/>
          <w:color w:val="000000" w:themeColor="text1"/>
          <w:kern w:val="2"/>
          <w:sz w:val="24"/>
          <w:szCs w:val="24"/>
          <w:highlight w:val="none"/>
          <w14:textFill>
            <w14:solidFill>
              <w14:schemeClr w14:val="tx1"/>
            </w14:solidFill>
          </w14:textFill>
        </w:rPr>
        <w:t>。视合同履行情况，</w:t>
      </w:r>
      <w:r>
        <w:rPr>
          <w:rFonts w:hint="default" w:ascii="宋体" w:hAnsi="宋体" w:eastAsia="宋体" w:cs="宋体"/>
          <w:color w:val="000000" w:themeColor="text1"/>
          <w:kern w:val="2"/>
          <w:sz w:val="24"/>
          <w:szCs w:val="24"/>
          <w:highlight w:val="none"/>
          <w14:textFill>
            <w14:solidFill>
              <w14:schemeClr w14:val="tx1"/>
            </w14:solidFill>
          </w14:textFill>
        </w:rPr>
        <w:t>履约评价为</w:t>
      </w:r>
      <w:r>
        <w:rPr>
          <w:rFonts w:hint="eastAsia" w:ascii="宋体" w:hAnsi="宋体" w:eastAsia="宋体" w:cs="宋体"/>
          <w:color w:val="000000" w:themeColor="text1"/>
          <w:kern w:val="2"/>
          <w:sz w:val="24"/>
          <w:szCs w:val="24"/>
          <w:highlight w:val="none"/>
          <w14:textFill>
            <w14:solidFill>
              <w14:schemeClr w14:val="tx1"/>
            </w14:solidFill>
          </w14:textFill>
        </w:rPr>
        <w:t>优秀情况下可续签</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12个月</w:t>
      </w:r>
      <w:r>
        <w:rPr>
          <w:rFonts w:hint="eastAsia" w:ascii="宋体" w:hAnsi="宋体" w:eastAsia="宋体" w:cs="宋体"/>
          <w:color w:val="000000" w:themeColor="text1"/>
          <w:kern w:val="2"/>
          <w:sz w:val="24"/>
          <w:szCs w:val="24"/>
          <w:highlight w:val="none"/>
          <w14:textFill>
            <w14:solidFill>
              <w14:schemeClr w14:val="tx1"/>
            </w14:solidFill>
          </w14:textFill>
        </w:rPr>
        <w:t>，续签最多不超过两次</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numPr>
          <w:ilvl w:val="0"/>
          <w:numId w:val="5"/>
        </w:num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服务</w:t>
      </w:r>
      <w:r>
        <w:rPr>
          <w:rFonts w:hint="eastAsia" w:ascii="宋体" w:hAnsi="宋体" w:eastAsia="宋体" w:cs="宋体"/>
          <w:b/>
          <w:bCs/>
          <w:color w:val="000000" w:themeColor="text1"/>
          <w:kern w:val="0"/>
          <w:sz w:val="24"/>
          <w:highlight w:val="none"/>
          <w14:textFill>
            <w14:solidFill>
              <w14:schemeClr w14:val="tx1"/>
            </w14:solidFill>
          </w14:textFill>
        </w:rPr>
        <w:t>地点</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w:t>
      </w:r>
    </w:p>
    <w:p>
      <w:pPr>
        <w:tabs>
          <w:tab w:val="left" w:pos="720"/>
        </w:tabs>
        <w:autoSpaceDE w:val="0"/>
        <w:autoSpaceDN w:val="0"/>
        <w:adjustRightInd w:val="0"/>
        <w:spacing w:line="360" w:lineRule="auto"/>
        <w:ind w:right="17" w:firstLine="482" w:firstLineChars="200"/>
        <w:outlineLvl w:val="2"/>
        <w:rPr>
          <w:rFonts w:hint="default"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后续服务</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项目最终成果通过采购人验收之日起1年为本合同后续服务期。后续服务期内项目服务单位应向采购人提供后续的专业咨询服务，协助采购人完成各种后续审计、</w:t>
      </w:r>
      <w:r>
        <w:rPr>
          <w:rFonts w:hint="default" w:ascii="宋体" w:hAnsi="宋体" w:cs="宋体"/>
          <w:color w:val="000000" w:themeColor="text1"/>
          <w:sz w:val="24"/>
          <w14:textFill>
            <w14:solidFill>
              <w14:schemeClr w14:val="tx1"/>
            </w14:solidFill>
          </w14:textFill>
        </w:rPr>
        <w:t>检查</w:t>
      </w:r>
      <w:r>
        <w:rPr>
          <w:rFonts w:hint="eastAsia" w:ascii="宋体" w:hAnsi="宋体" w:cs="宋体"/>
          <w:color w:val="000000" w:themeColor="text1"/>
          <w:sz w:val="24"/>
          <w14:textFill>
            <w14:solidFill>
              <w14:schemeClr w14:val="tx1"/>
            </w14:solidFill>
          </w14:textFill>
        </w:rPr>
        <w:t>等工作，并及时根据工作需要补充有关材料</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9" w:name="_Toc368"/>
      <w:bookmarkStart w:id="40" w:name="_Toc32196"/>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成果形式及最终成果验收</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1.本项目最终成果为每月6日前出具月度财务核算报告，合同期内共出具12份月度报告；每年1月出具年度财务核算报告，合同期内共出具1份年度报告。相关成果以电子及书面形式交采购人审核。</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2.最终成果验收：</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项目最终成果验收合格的标志为通过采购人验收。</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付款方式</w:t>
      </w:r>
      <w:bookmarkEnd w:id="39"/>
      <w:bookmarkEnd w:id="40"/>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1.项目资金由采购人分</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期支付至中标人指定银行账户：</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1.1.首期：合同签订生效后，根据中标人的付款申请，向中标人指定银行账户支付合同服务费总金额的40%；</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1.2.第2期：合同到期后，通过采购人对项目服务成果验收后，根据中标人的付款申请，向中标人指定银行账户支付本合同服务费总金额的60%。</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r>
        <w:rPr>
          <w:rFonts w:hint="eastAsia" w:ascii="宋体" w:hAnsi="宋体" w:eastAsia="宋体" w:cs="宋体"/>
          <w:color w:val="000000" w:themeColor="text1"/>
          <w:kern w:val="2"/>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color w:val="000000" w:themeColor="text1"/>
          <w:sz w:val="24"/>
          <w:szCs w:val="24"/>
          <w14:textFill>
            <w14:solidFill>
              <w14:schemeClr w14:val="tx1"/>
            </w14:solidFill>
          </w14:textFill>
        </w:rPr>
      </w:pPr>
      <w:bookmarkStart w:id="41" w:name="_Toc10430"/>
      <w:bookmarkStart w:id="42" w:name="_Toc7539"/>
      <w:bookmarkStart w:id="43" w:name="_Toc16130"/>
      <w:bookmarkStart w:id="44" w:name="_Toc16091"/>
      <w:r>
        <w:rPr>
          <w:rFonts w:hint="eastAsia" w:ascii="宋体" w:hAnsi="宋体" w:eastAsia="宋体" w:cs="宋体"/>
          <w:b/>
          <w:bCs/>
          <w:color w:val="000000" w:themeColor="text1"/>
          <w:sz w:val="24"/>
          <w:szCs w:val="24"/>
          <w14:textFill>
            <w14:solidFill>
              <w14:schemeClr w14:val="tx1"/>
            </w14:solidFill>
          </w14:textFill>
        </w:rPr>
        <w:t>（六）</w:t>
      </w:r>
      <w:bookmarkEnd w:id="41"/>
      <w:bookmarkEnd w:id="42"/>
      <w:r>
        <w:rPr>
          <w:rFonts w:hint="eastAsia" w:ascii="宋体" w:hAnsi="宋体" w:eastAsia="宋体" w:cs="宋体"/>
          <w:b/>
          <w:color w:val="000000" w:themeColor="text1"/>
          <w:sz w:val="24"/>
          <w:szCs w:val="24"/>
          <w14:textFill>
            <w14:solidFill>
              <w14:schemeClr w14:val="tx1"/>
            </w14:solidFill>
          </w14:textFill>
        </w:rPr>
        <w:t>投标报价</w:t>
      </w:r>
      <w:bookmarkEnd w:id="43"/>
      <w:bookmarkEnd w:id="44"/>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本次投标为总价包干，投标报价总价作为中标人与采购人签订的合同金额。投标人的报价不可高于预算（限价），否则投标人的投标文件视同无效。项目服务费已包含中标人提供本项目服务的全部费用，项目服务费包括但不限于调研费、资料费、税金、人员费用、差旅费、后续服务等所有费用，并提供合同要求的成果文件，以及其它相关服务的全部费用</w:t>
      </w:r>
      <w:r>
        <w:rPr>
          <w:rFonts w:hint="eastAsia" w:ascii="宋体" w:hAnsi="宋体" w:eastAsia="宋体" w:cs="宋体"/>
          <w:color w:val="000000" w:themeColor="text1"/>
          <w:sz w:val="24"/>
          <w:szCs w:val="24"/>
          <w14:textFill>
            <w14:solidFill>
              <w14:schemeClr w14:val="tx1"/>
            </w14:solidFill>
          </w14:textFill>
        </w:rPr>
        <w:t>；由企业根据招标文件所提供的资料自行测算投标报价；一经中标，投标报价总价作为中标单位与采购人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的合同金额，在合同实施期间，除另签补充合同外，不接受中标人以任何理由、任何名目提出增加费用的要求。</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（七）成果权属与知识产权</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5.中标人完成本项目的研究人员享有在有关技术成果文件上署名的权利和与采购人共同获得有关荣誉证书、奖励的权利。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5" w:name="_Toc27553"/>
      <w:bookmarkStart w:id="46" w:name="_Toc14469"/>
      <w:r>
        <w:rPr>
          <w:rFonts w:hint="eastAsia" w:ascii="宋体" w:hAnsi="宋体" w:eastAsia="宋体" w:cs="宋体"/>
          <w:b/>
          <w:bCs/>
          <w:color w:val="000000" w:themeColor="text1"/>
          <w:sz w:val="24"/>
          <w:szCs w:val="24"/>
          <w14:textFill>
            <w14:solidFill>
              <w14:schemeClr w14:val="tx1"/>
            </w14:solidFill>
          </w14:textFill>
        </w:rPr>
        <w:t>（八）违约责任</w:t>
      </w:r>
      <w:bookmarkEnd w:id="45"/>
      <w:bookmarkEnd w:id="46"/>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1.中标人未按照本合同约定的时间完成本项目各阶段工作，每延迟一日，采购人有权自尚未支付的合同款项中扣除本合同服务费总金额的1‰的逾期违约金。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2.本合同项下的工作内容不可分割，任一文件的迟延交付均视为整个项目的迟延交付。</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（1）中标人未能按合同约定的日期(含协商延缓的日期)提交各阶段工作成果，延误时间超过15个工作日；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（2）因中标人工作的错误或遗漏造成成果质量损失，工作成果质量低劣，不能满足采购人工作需要和要求；</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（3）中标人虽如期提交最终成果，但连续二次未能通过采购人验收的；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（4）未经采购人书面在先同意，中标人擅自将本合同项目与任何第三方合作，或将本合同标的全部或部分擅自转包或分包给任何第三方，且未按采购人的要求终止与第三方的合同的；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（5）项目负责人未承担本合同项目实质性工作，或未经采购人书面在先同意，中标人擅自更换项目负责人的；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（7）中标人明确表示或者以自己的行为表明不履行本合同的。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7" w:name="_Toc31814"/>
      <w:bookmarkStart w:id="48" w:name="_Toc11364"/>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保密条款</w:t>
      </w:r>
      <w:bookmarkEnd w:id="47"/>
      <w:bookmarkEnd w:id="48"/>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3.中标人实施项目的程序应符合国家安全、保密的有关规定和标准。</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6.无论本合同或本合同其他条款是否有效，本保密条款始终约束双方。国家秘密的保密期限由国家有关部门确定，工作秘密的保密期限由采购人确定。</w:t>
      </w:r>
    </w:p>
    <w:p>
      <w:pPr>
        <w:pStyle w:val="35"/>
        <w:tabs>
          <w:tab w:val="left" w:pos="720"/>
        </w:tabs>
        <w:autoSpaceDE w:val="0"/>
        <w:autoSpaceDN w:val="0"/>
        <w:adjustRightInd w:val="0"/>
        <w:spacing w:line="360" w:lineRule="auto"/>
        <w:ind w:right="17" w:firstLine="482"/>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六</w:t>
      </w:r>
      <w:r>
        <w:rPr>
          <w:rFonts w:hint="eastAsia" w:ascii="宋体" w:hAnsi="宋体" w:eastAsia="宋体" w:cs="宋体"/>
          <w:b/>
          <w:color w:val="000000" w:themeColor="text1"/>
          <w:sz w:val="24"/>
          <w14:textFill>
            <w14:solidFill>
              <w14:schemeClr w14:val="tx1"/>
            </w14:solidFill>
          </w14:textFill>
        </w:rPr>
        <w:t>、其他要求</w:t>
      </w:r>
    </w:p>
    <w:p>
      <w:pPr>
        <w:widowControl/>
        <w:spacing w:line="360" w:lineRule="auto"/>
        <w:ind w:firstLine="480" w:firstLineChars="20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供应商非经允许不得将项目非法分包或转包给任何单位和个人。否则，采购单位有权即刻终止合同，并要求供应商赔偿相应损失</w:t>
      </w:r>
      <w:r>
        <w:rPr>
          <w:rFonts w:hint="eastAsia" w:ascii="宋体" w:hAnsi="宋体" w:eastAsia="宋体" w:cs="宋体"/>
          <w:color w:val="000000" w:themeColor="text1"/>
          <w:sz w:val="24"/>
          <w:lang w:eastAsia="zh-CN"/>
          <w14:textFill>
            <w14:solidFill>
              <w14:schemeClr w14:val="tx1"/>
            </w14:solidFill>
          </w14:textFill>
        </w:rPr>
        <w:t>。</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49" w:name="_Toc23822"/>
      <w:r>
        <w:rPr>
          <w:rFonts w:hint="eastAsia" w:ascii="宋体" w:cs="宋体"/>
          <w:b/>
          <w:bCs/>
          <w:color w:val="000000" w:themeColor="text1"/>
          <w:sz w:val="24"/>
          <w14:textFill>
            <w14:solidFill>
              <w14:schemeClr w14:val="tx1"/>
            </w14:solidFill>
          </w14:textFill>
        </w:rPr>
        <w:t>第六章 投标文件初审及招标项目评分表</w:t>
      </w:r>
      <w:bookmarkEnd w:id="49"/>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一、价格部分（</w:t>
            </w:r>
            <w:r>
              <w:rPr>
                <w:rFonts w:hint="eastAsia" w:ascii="宋体" w:hAnsi="宋体" w:eastAsia="宋体" w:cs="宋体"/>
                <w:b/>
                <w:color w:val="000000" w:themeColor="text1"/>
                <w:sz w:val="24"/>
                <w:szCs w:val="24"/>
                <w14:textFill>
                  <w14:solidFill>
                    <w14:schemeClr w14:val="tx1"/>
                  </w14:solidFill>
                </w14:textFill>
              </w:rPr>
              <w:t>10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投标报价</w:t>
            </w:r>
          </w:p>
        </w:tc>
        <w:tc>
          <w:tcPr>
            <w:tcW w:w="5992" w:type="dxa"/>
            <w:vAlign w:val="center"/>
          </w:tcPr>
          <w:p>
            <w:pPr>
              <w:pStyle w:val="1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1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价格评分仅限于有效投标人，</w:t>
            </w:r>
            <w:r>
              <w:rPr>
                <w:rFonts w:hint="eastAsia" w:ascii="宋体" w:hAnsi="宋体" w:eastAsia="宋体" w:cs="宋体"/>
                <w:color w:val="000000" w:themeColor="text1"/>
                <w:sz w:val="24"/>
                <w:szCs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根据财库〔2020〕46号、财库〔2014〕68号及财库〔2017〕141号及（深财购〔2022〕31号）文件规定：</w:t>
            </w:r>
            <w:r>
              <w:rPr>
                <w:rFonts w:hint="eastAsia" w:ascii="宋体" w:hAnsi="宋体" w:eastAsia="宋体" w:cs="宋体"/>
                <w:b/>
                <w:color w:val="000000" w:themeColor="text1"/>
                <w:sz w:val="24"/>
                <w:szCs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二、商务部分（</w:t>
            </w:r>
            <w:r>
              <w:rPr>
                <w:rFonts w:hint="eastAsia" w:ascii="宋体" w:hAnsi="宋体" w:eastAsia="宋体" w:cs="宋体"/>
                <w:b/>
                <w:color w:val="000000" w:themeColor="text1"/>
                <w:sz w:val="24"/>
                <w:szCs w:val="24"/>
                <w:lang w:val="en-US" w:eastAsia="zh-CN"/>
                <w14:textFill>
                  <w14:solidFill>
                    <w14:schemeClr w14:val="tx1"/>
                  </w14:solidFill>
                </w14:textFill>
              </w:rPr>
              <w:t>50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拟派服务团队负责人（仅限一人）</w:t>
            </w:r>
          </w:p>
        </w:tc>
        <w:tc>
          <w:tcPr>
            <w:tcW w:w="5992" w:type="dxa"/>
            <w:shd w:val="clear" w:color="auto" w:fill="auto"/>
            <w:vAlign w:val="top"/>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（一）评分内容：</w:t>
            </w:r>
          </w:p>
          <w:p>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1.拟派的服务团队负责人具有财政、财务管理、会计等相关专业正高级职称的，得</w:t>
            </w:r>
            <w:r>
              <w:rPr>
                <w:rFonts w:hint="eastAsia" w:ascii="宋体" w:hAnsi="宋体" w:eastAsia="宋体" w:cs="宋体"/>
                <w:color w:val="000000" w:themeColor="text1"/>
                <w:sz w:val="24"/>
                <w:szCs w:val="24"/>
                <w:highlight w:val="none"/>
                <w:lang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分；最高得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2.拟派的服务团队负责人具有财政、财务管理、会计等相关专业</w:t>
            </w:r>
            <w:r>
              <w:rPr>
                <w:rFonts w:hint="eastAsia" w:ascii="宋体" w:hAnsi="宋体" w:cs="宋体"/>
                <w:color w:val="000000" w:themeColor="text1"/>
                <w:sz w:val="24"/>
                <w:szCs w:val="24"/>
                <w:highlight w:val="none"/>
                <w:lang w:eastAsia="zh-CN" w:bidi="ar"/>
                <w14:textFill>
                  <w14:solidFill>
                    <w14:schemeClr w14:val="tx1"/>
                  </w14:solidFill>
                </w14:textFill>
              </w:rPr>
              <w:t>硕士</w:t>
            </w:r>
            <w:r>
              <w:rPr>
                <w:rFonts w:hint="eastAsia" w:ascii="宋体" w:hAnsi="宋体" w:eastAsia="宋体" w:cs="宋体"/>
                <w:color w:val="000000" w:themeColor="text1"/>
                <w:sz w:val="24"/>
                <w:szCs w:val="24"/>
                <w:highlight w:val="none"/>
                <w:lang w:bidi="ar"/>
                <w14:textFill>
                  <w14:solidFill>
                    <w14:schemeClr w14:val="tx1"/>
                  </w14:solidFill>
                </w14:textFill>
              </w:rPr>
              <w:t>研究生</w:t>
            </w:r>
            <w:r>
              <w:rPr>
                <w:rFonts w:hint="eastAsia" w:ascii="宋体" w:hAnsi="宋体" w:cs="宋体"/>
                <w:color w:val="000000" w:themeColor="text1"/>
                <w:sz w:val="24"/>
                <w:szCs w:val="24"/>
                <w:highlight w:val="none"/>
                <w:lang w:eastAsia="zh-CN" w:bidi="ar"/>
                <w14:textFill>
                  <w14:solidFill>
                    <w14:schemeClr w14:val="tx1"/>
                  </w14:solidFill>
                </w14:textFill>
              </w:rPr>
              <w:t>及以上</w:t>
            </w:r>
            <w:r>
              <w:rPr>
                <w:rFonts w:hint="eastAsia" w:ascii="宋体" w:hAnsi="宋体" w:eastAsia="宋体" w:cs="宋体"/>
                <w:color w:val="000000" w:themeColor="text1"/>
                <w:sz w:val="24"/>
                <w:szCs w:val="24"/>
                <w:highlight w:val="none"/>
                <w:lang w:bidi="ar"/>
                <w14:textFill>
                  <w14:solidFill>
                    <w14:schemeClr w14:val="tx1"/>
                  </w14:solidFill>
                </w14:textFill>
              </w:rPr>
              <w:t>学历的，得2分；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.拟派的服务团队负责人从事经济、财税、管理咨询等相关工作经验15年（含）以上的，得4分；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.拟派的服务团队负责人自20</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23</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lang w:bidi="ar"/>
                <w14:textFill>
                  <w14:solidFill>
                    <w14:schemeClr w14:val="tx1"/>
                  </w14:solidFill>
                </w14:textFill>
              </w:rPr>
              <w:t>月1日至投标截止之日（以合同签订时间为准）为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w:t>
            </w:r>
            <w:r>
              <w:rPr>
                <w:rFonts w:hint="eastAsia" w:ascii="宋体" w:hAnsi="宋体" w:eastAsia="宋体" w:cs="宋体"/>
                <w:color w:val="000000" w:themeColor="text1"/>
                <w:sz w:val="24"/>
                <w:szCs w:val="24"/>
                <w:highlight w:val="none"/>
                <w:lang w:bidi="ar"/>
                <w14:textFill>
                  <w14:solidFill>
                    <w14:schemeClr w14:val="tx1"/>
                  </w14:solidFill>
                </w14:textFill>
              </w:rPr>
              <w:t>财务管理相关服务经验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的</w:t>
            </w:r>
            <w:r>
              <w:rPr>
                <w:rFonts w:hint="eastAsia" w:ascii="宋体" w:hAnsi="宋体" w:eastAsia="宋体" w:cs="宋体"/>
                <w:color w:val="000000" w:themeColor="text1"/>
                <w:sz w:val="24"/>
                <w:szCs w:val="24"/>
                <w:highlight w:val="none"/>
                <w:lang w:bidi="ar"/>
                <w14:textFill>
                  <w14:solidFill>
                    <w14:schemeClr w14:val="tx1"/>
                  </w14:solidFill>
                </w14:textFill>
              </w:rPr>
              <w:t>，每提供一个有效业绩得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分，最高得</w:t>
            </w:r>
            <w:r>
              <w:rPr>
                <w:rFonts w:hint="eastAsia" w:ascii="宋体" w:hAnsi="宋体" w:cs="宋体"/>
                <w:color w:val="000000" w:themeColor="text1"/>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lang w:bidi="ar"/>
                <w14:textFill>
                  <w14:solidFill>
                    <w14:schemeClr w14:val="tx1"/>
                  </w14:solidFill>
                </w14:textFill>
              </w:rPr>
              <w:t>分，同一项目合同续签不可重复计分。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以上</w:t>
            </w:r>
            <w:r>
              <w:rPr>
                <w:rFonts w:hint="eastAsia" w:ascii="宋体" w:hAnsi="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项累计得分，本项最高得16分。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（二）评分依据：</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提供正高级职称证书等证明材料和要求提供通过投标人购买的项目负责人截标前近三个月任意一个月的社保证明资料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2.相关工作经验年限需提供</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承诺函(格式自拟)</w:t>
            </w:r>
            <w:r>
              <w:rPr>
                <w:rFonts w:hint="eastAsia" w:ascii="宋体" w:hAnsi="宋体" w:eastAsia="宋体" w:cs="宋体"/>
                <w:color w:val="000000" w:themeColor="text1"/>
                <w:sz w:val="24"/>
                <w:szCs w:val="24"/>
                <w:highlight w:val="none"/>
                <w:lang w:bidi="ar"/>
                <w14:textFill>
                  <w14:solidFill>
                    <w14:schemeClr w14:val="tx1"/>
                  </w14:solidFill>
                </w14:textFill>
              </w:rPr>
              <w:t>加盖公章作为得分依据，未提供或提供不齐全或无法分辨的不得分。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学历证明提供毕业证书以及学信网查询记录截图复印件加盖公章，原件备查，对于较早颁发的学历学位证书，学信网无法查询的求提供其他佐证材料（如毕业院校、人社部门等颁发机构或监管机构等单位出具的证明）。</w:t>
            </w:r>
            <w:r>
              <w:rPr>
                <w:rFonts w:hint="eastAsia" w:ascii="宋体" w:hAnsi="宋体" w:eastAsia="宋体" w:cs="宋体"/>
                <w:color w:val="000000" w:themeColor="text1"/>
                <w:sz w:val="24"/>
                <w:szCs w:val="24"/>
                <w:highlight w:val="none"/>
                <w14:textFill>
                  <w14:solidFill>
                    <w14:schemeClr w14:val="tx1"/>
                  </w14:solidFill>
                </w14:textFill>
              </w:rPr>
              <w:t>（若为境外留学学历，无需提供学信网查询记录，需提供教育部留学服务中心出具的学历学位认证书）。</w:t>
            </w:r>
          </w:p>
          <w:p>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4.涉及业绩经验的需提供合同关键页（关键页包含但不限于合同封面、服务内容页、双方盖章页等</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体现人员名称</w:t>
            </w:r>
            <w:r>
              <w:rPr>
                <w:rFonts w:hint="eastAsia" w:ascii="宋体" w:hAnsi="宋体" w:eastAsia="宋体" w:cs="宋体"/>
                <w:color w:val="000000" w:themeColor="text1"/>
                <w:sz w:val="24"/>
                <w:szCs w:val="24"/>
                <w:highlight w:val="none"/>
                <w:lang w:bidi="ar"/>
                <w14:textFill>
                  <w14:solidFill>
                    <w14:schemeClr w14:val="tx1"/>
                  </w14:solidFill>
                </w14:textFill>
              </w:rPr>
              <w:t>），如合同无法体现人员名称，须同时提供合同甲方出具的证明复印件加盖公章，原件备查。</w:t>
            </w:r>
          </w:p>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r>
              <w:rPr>
                <w:rFonts w:hint="eastAsia" w:ascii="宋体" w:hAnsi="宋体" w:eastAsia="宋体" w:cs="宋体"/>
                <w:color w:val="000000" w:themeColor="text1"/>
                <w:sz w:val="24"/>
                <w:szCs w:val="24"/>
                <w:lang w:eastAsia="zh-CN"/>
                <w14:textFill>
                  <w14:solidFill>
                    <w14:schemeClr w14:val="tx1"/>
                  </w14:solidFill>
                </w14:textFill>
              </w:rPr>
              <w:t>。</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16</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拟派驻服务团队成员（不含负责人）</w:t>
            </w:r>
          </w:p>
        </w:tc>
        <w:tc>
          <w:tcPr>
            <w:tcW w:w="5992" w:type="dxa"/>
            <w:shd w:val="clear" w:color="auto" w:fill="auto"/>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（一）评分内容：</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为本项目拟派驻的投标人服务团队成员（不含负责人）不少于</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人，否则本项不得分；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在此基础上：</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1</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.派驻服务团队成员（不含负责人）中具有会计专业技术资格证书（中级或以上）的，1人得</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分，本小项满分</w:t>
            </w: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分；</w:t>
            </w:r>
          </w:p>
          <w:p>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.派驻服务团队成员（不含负责人）中具有财政、财务管理、会计</w:t>
            </w:r>
            <w:r>
              <w:rPr>
                <w:rFonts w:hint="eastAsia" w:ascii="宋体" w:hAnsi="宋体" w:eastAsia="宋体" w:cs="宋体"/>
                <w:color w:val="000000" w:themeColor="text1"/>
                <w:sz w:val="24"/>
                <w:szCs w:val="24"/>
                <w:lang w:val="en-US" w:eastAsia="zh-CN" w:bidi="ar"/>
                <w14:textFill>
                  <w14:solidFill>
                    <w14:schemeClr w14:val="tx1"/>
                  </w14:solidFill>
                </w14:textFill>
              </w:rPr>
              <w:t>等</w:t>
            </w:r>
            <w:r>
              <w:rPr>
                <w:rFonts w:hint="eastAsia" w:ascii="宋体" w:hAnsi="宋体" w:eastAsia="宋体" w:cs="宋体"/>
                <w:color w:val="000000" w:themeColor="text1"/>
                <w:sz w:val="24"/>
                <w:szCs w:val="24"/>
                <w:lang w:bidi="ar"/>
                <w14:textFill>
                  <w14:solidFill>
                    <w14:schemeClr w14:val="tx1"/>
                  </w14:solidFill>
                </w14:textFill>
              </w:rPr>
              <w:t>相关专业本科及以上学历的，1人得2分，本小项满分4分；</w:t>
            </w:r>
          </w:p>
          <w:p>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.派驻服务团队成员（不含负责人）具有</w:t>
            </w:r>
            <w:r>
              <w:rPr>
                <w:rFonts w:hint="eastAsia" w:ascii="宋体" w:hAnsi="宋体" w:eastAsia="宋体" w:cs="宋体"/>
                <w:color w:val="000000" w:themeColor="text1"/>
                <w:sz w:val="24"/>
                <w:szCs w:val="24"/>
                <w:highlight w:val="none"/>
                <w:lang w:bidi="ar"/>
                <w14:textFill>
                  <w14:solidFill>
                    <w14:schemeClr w14:val="tx1"/>
                  </w14:solidFill>
                </w14:textFill>
              </w:rPr>
              <w:t>财务核算相关服务经验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的</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1人得3分，</w:t>
            </w:r>
            <w:r>
              <w:rPr>
                <w:rFonts w:hint="eastAsia" w:ascii="宋体" w:hAnsi="宋体" w:cs="宋体"/>
                <w:color w:val="000000" w:themeColor="text1"/>
                <w:sz w:val="24"/>
                <w:lang w:eastAsia="zh-CN" w:bidi="ar"/>
                <w14:textFill>
                  <w14:solidFill>
                    <w14:schemeClr w14:val="tx1"/>
                  </w14:solidFill>
                </w14:textFill>
              </w:rPr>
              <w:t>同一项目</w:t>
            </w:r>
            <w:r>
              <w:rPr>
                <w:rFonts w:hint="eastAsia" w:ascii="宋体" w:hAnsi="宋体" w:cs="宋体"/>
                <w:color w:val="000000" w:themeColor="text1"/>
                <w:sz w:val="24"/>
                <w:lang w:val="en-US" w:eastAsia="zh-CN" w:bidi="ar"/>
                <w14:textFill>
                  <w14:solidFill>
                    <w14:schemeClr w14:val="tx1"/>
                  </w14:solidFill>
                </w14:textFill>
              </w:rPr>
              <w:t>同时具备多名团队成员仅算一次分数，不可重复得分，</w:t>
            </w:r>
            <w:r>
              <w:rPr>
                <w:rFonts w:hint="eastAsia" w:ascii="宋体" w:hAnsi="宋体" w:eastAsia="宋体" w:cs="宋体"/>
                <w:color w:val="000000" w:themeColor="text1"/>
                <w:sz w:val="24"/>
                <w:szCs w:val="24"/>
                <w:lang w:bidi="ar"/>
                <w14:textFill>
                  <w14:solidFill>
                    <w14:schemeClr w14:val="tx1"/>
                  </w14:solidFill>
                </w14:textFill>
              </w:rPr>
              <w:t>本小项满分6分；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w:t>
            </w: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项累计得分，满分14分。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（二）评分依据：</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1.提供相应资质（格）的证书</w:t>
            </w:r>
            <w:r>
              <w:rPr>
                <w:rFonts w:hint="eastAsia" w:ascii="宋体" w:hAnsi="宋体" w:eastAsia="宋体" w:cs="宋体"/>
                <w:color w:val="000000" w:themeColor="text1"/>
                <w:sz w:val="24"/>
                <w:szCs w:val="24"/>
                <w:lang w:val="en-US" w:eastAsia="zh-CN" w:bidi="ar"/>
                <w14:textFill>
                  <w14:solidFill>
                    <w14:schemeClr w14:val="tx1"/>
                  </w14:solidFill>
                </w14:textFill>
              </w:rPr>
              <w:t>复印件</w:t>
            </w:r>
            <w:r>
              <w:rPr>
                <w:rFonts w:hint="eastAsia" w:ascii="宋体" w:hAnsi="宋体" w:eastAsia="宋体" w:cs="宋体"/>
                <w:color w:val="000000" w:themeColor="text1"/>
                <w:sz w:val="24"/>
                <w:szCs w:val="24"/>
                <w:lang w:bidi="ar"/>
                <w14:textFill>
                  <w14:solidFill>
                    <w14:schemeClr w14:val="tx1"/>
                  </w14:solidFill>
                </w14:textFill>
              </w:rPr>
              <w:t>和</w:t>
            </w:r>
            <w:r>
              <w:rPr>
                <w:rFonts w:hint="eastAsia" w:ascii="宋体" w:hAnsi="宋体" w:eastAsia="宋体" w:cs="宋体"/>
                <w:color w:val="000000" w:themeColor="text1"/>
                <w:sz w:val="24"/>
                <w:szCs w:val="24"/>
                <w:highlight w:val="none"/>
                <w:lang w:bidi="ar"/>
                <w14:textFill>
                  <w14:solidFill>
                    <w14:schemeClr w14:val="tx1"/>
                  </w14:solidFill>
                </w14:textFill>
              </w:rPr>
              <w:t>要求提供通过投标人购买的</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团队成员</w:t>
            </w:r>
            <w:r>
              <w:rPr>
                <w:rFonts w:hint="eastAsia" w:ascii="宋体" w:hAnsi="宋体" w:eastAsia="宋体" w:cs="宋体"/>
                <w:color w:val="000000" w:themeColor="text1"/>
                <w:sz w:val="24"/>
                <w:szCs w:val="24"/>
                <w:highlight w:val="none"/>
                <w:lang w:bidi="ar"/>
                <w14:textFill>
                  <w14:solidFill>
                    <w14:schemeClr w14:val="tx1"/>
                  </w14:solidFill>
                </w14:textFill>
              </w:rPr>
              <w:t>截标前近三个月任意一个月的社保证明资料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w:t>
            </w:r>
            <w:r>
              <w:rPr>
                <w:rFonts w:hint="eastAsia" w:ascii="宋体" w:hAnsi="宋体" w:eastAsia="宋体" w:cs="宋体"/>
                <w:color w:val="000000" w:themeColor="text1"/>
                <w:sz w:val="24"/>
                <w:szCs w:val="24"/>
                <w:lang w:bidi="ar"/>
                <w14:textFill>
                  <w14:solidFill>
                    <w14:schemeClr w14:val="tx1"/>
                  </w14:solidFill>
                </w14:textFill>
              </w:rPr>
              <w:t>，原件备查，未提供或提供不齐全或无法分辨的不得分。</w:t>
            </w:r>
          </w:p>
          <w:p>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学历证明提供团队成员的毕业证书以及学信网查询记录截图复印件加盖公章，原件备查，对于较早颁发的学历学位证书，学信网无法查询的求提供其他佐证材料（如毕业院校、人社部门等颁发机构或监管机构等单位出具的证明）。</w:t>
            </w:r>
            <w:r>
              <w:rPr>
                <w:rFonts w:hint="eastAsia" w:ascii="宋体" w:hAnsi="宋体" w:eastAsia="宋体" w:cs="宋体"/>
                <w:color w:val="000000" w:themeColor="text1"/>
                <w:sz w:val="24"/>
                <w:szCs w:val="24"/>
                <w14:textFill>
                  <w14:solidFill>
                    <w14:schemeClr w14:val="tx1"/>
                  </w14:solidFill>
                </w14:textFill>
              </w:rPr>
              <w:t>（若为境外留学学历，无需提供学信网查询记录，需提供教育部留学服务中心出具的学历学位认证书）</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服务经验</w:t>
            </w:r>
            <w:r>
              <w:rPr>
                <w:rFonts w:hint="eastAsia" w:ascii="宋体" w:hAnsi="宋体" w:eastAsia="宋体" w:cs="宋体"/>
                <w:color w:val="000000" w:themeColor="text1"/>
                <w:sz w:val="24"/>
                <w:szCs w:val="24"/>
                <w:lang w:val="en-US" w:eastAsia="zh-CN"/>
                <w14:textFill>
                  <w14:solidFill>
                    <w14:schemeClr w14:val="tx1"/>
                  </w14:solidFill>
                </w14:textFill>
              </w:rPr>
              <w:t>需提供合同关键页（关键页包含但不限于合同封面、服务内容页、双方盖章页等，体现人员名称）复印件加盖公章，</w:t>
            </w:r>
            <w:r>
              <w:rPr>
                <w:rFonts w:hint="eastAsia" w:ascii="宋体" w:hAnsi="宋体" w:eastAsia="宋体" w:cs="宋体"/>
                <w:color w:val="000000" w:themeColor="text1"/>
                <w:sz w:val="24"/>
                <w:szCs w:val="24"/>
                <w:highlight w:val="none"/>
                <w:lang w:bidi="ar"/>
                <w14:textFill>
                  <w14:solidFill>
                    <w14:schemeClr w14:val="tx1"/>
                  </w14:solidFill>
                </w14:textFill>
              </w:rPr>
              <w:t>如合同无法体现人员名称，须同时提供合同甲方出具的证明复印件加盖公章</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4.以上资料均要求提供扫描件加盖公章，原件备查，评分中出现无证明资料或专家无法凭所提供资料判断是否得分的情况，一律作不得分处理。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项目经验</w:t>
            </w:r>
          </w:p>
        </w:tc>
        <w:tc>
          <w:tcPr>
            <w:tcW w:w="5992" w:type="dxa"/>
            <w:shd w:val="clear" w:color="auto" w:fill="auto"/>
            <w:vAlign w:val="top"/>
          </w:tcPr>
          <w:p>
            <w:pPr>
              <w:pStyle w:val="19"/>
              <w:spacing w:before="0" w:beforeAutospacing="0" w:after="0"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（一）评分内容：投</w:t>
            </w:r>
            <w:r>
              <w:rPr>
                <w:rFonts w:hint="eastAsia" w:ascii="宋体" w:hAnsi="宋体" w:eastAsia="宋体" w:cs="宋体"/>
                <w:color w:val="000000" w:themeColor="text1"/>
                <w:kern w:val="2"/>
                <w:sz w:val="24"/>
                <w:szCs w:val="24"/>
                <w:highlight w:val="none"/>
                <w:lang w:bidi="ar"/>
                <w14:textFill>
                  <w14:solidFill>
                    <w14:schemeClr w14:val="tx1"/>
                  </w14:solidFill>
                </w14:textFill>
              </w:rPr>
              <w:t>标人具备自20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23</w:t>
            </w:r>
            <w:r>
              <w:rPr>
                <w:rFonts w:hint="eastAsia" w:ascii="宋体" w:hAnsi="宋体" w:eastAsia="宋体" w:cs="宋体"/>
                <w:color w:val="000000" w:themeColor="text1"/>
                <w:kern w:val="2"/>
                <w:sz w:val="24"/>
                <w:szCs w:val="24"/>
                <w:highlight w:val="none"/>
                <w:lang w:bidi="ar"/>
                <w14:textFill>
                  <w14:solidFill>
                    <w14:schemeClr w14:val="tx1"/>
                  </w14:solidFill>
                </w14:textFill>
              </w:rPr>
              <w:t>年</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bidi="ar"/>
                <w14:textFill>
                  <w14:solidFill>
                    <w14:schemeClr w14:val="tx1"/>
                  </w14:solidFill>
                </w14:textFill>
              </w:rPr>
              <w:t>月1日至投标截止之日（以合同签订时间为准）为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具有</w:t>
            </w:r>
            <w:r>
              <w:rPr>
                <w:rFonts w:hint="eastAsia" w:ascii="宋体" w:hAnsi="宋体" w:eastAsia="宋体" w:cs="宋体"/>
                <w:color w:val="000000" w:themeColor="text1"/>
                <w:sz w:val="24"/>
                <w:szCs w:val="24"/>
                <w:highlight w:val="none"/>
                <w:lang w:bidi="ar"/>
                <w14:textFill>
                  <w14:solidFill>
                    <w14:schemeClr w14:val="tx1"/>
                  </w14:solidFill>
                </w14:textFill>
              </w:rPr>
              <w:t>财务管理相关服务经验</w:t>
            </w:r>
            <w:r>
              <w:rPr>
                <w:rFonts w:hint="eastAsia" w:ascii="宋体" w:hAnsi="宋体" w:eastAsia="宋体" w:cs="宋体"/>
                <w:color w:val="000000" w:themeColor="text1"/>
                <w:kern w:val="2"/>
                <w:sz w:val="24"/>
                <w:szCs w:val="24"/>
                <w:highlight w:val="none"/>
                <w:lang w:bidi="ar"/>
                <w14:textFill>
                  <w14:solidFill>
                    <w14:schemeClr w14:val="tx1"/>
                  </w14:solidFill>
                </w14:textFill>
              </w:rPr>
              <w:t>，每提供一个有效业</w:t>
            </w:r>
            <w:r>
              <w:rPr>
                <w:rFonts w:hint="eastAsia" w:ascii="宋体" w:hAnsi="宋体" w:eastAsia="宋体" w:cs="宋体"/>
                <w:color w:val="000000" w:themeColor="text1"/>
                <w:kern w:val="2"/>
                <w:sz w:val="24"/>
                <w:szCs w:val="24"/>
                <w:lang w:bidi="ar"/>
                <w14:textFill>
                  <w14:solidFill>
                    <w14:schemeClr w14:val="tx1"/>
                  </w14:solidFill>
                </w14:textFill>
              </w:rPr>
              <w:t>绩得</w:t>
            </w:r>
            <w:r>
              <w:rPr>
                <w:rFonts w:hint="eastAsia" w:ascii="宋体" w:hAnsi="宋体" w:eastAsia="宋体" w:cs="宋体"/>
                <w:color w:val="000000" w:themeColor="text1"/>
                <w:kern w:val="2"/>
                <w:sz w:val="24"/>
                <w:szCs w:val="24"/>
                <w:lang w:val="en-US" w:eastAsia="zh-CN" w:bidi="ar"/>
                <w14:textFill>
                  <w14:solidFill>
                    <w14:schemeClr w14:val="tx1"/>
                  </w14:solidFill>
                </w14:textFill>
              </w:rPr>
              <w:t>3</w:t>
            </w:r>
            <w:r>
              <w:rPr>
                <w:rFonts w:hint="eastAsia" w:ascii="宋体" w:hAnsi="宋体" w:eastAsia="宋体" w:cs="宋体"/>
                <w:color w:val="000000" w:themeColor="text1"/>
                <w:kern w:val="2"/>
                <w:sz w:val="24"/>
                <w:szCs w:val="24"/>
                <w:lang w:bidi="ar"/>
                <w14:textFill>
                  <w14:solidFill>
                    <w14:schemeClr w14:val="tx1"/>
                  </w14:solidFill>
                </w14:textFill>
              </w:rPr>
              <w:t>分，最高得</w:t>
            </w:r>
            <w:r>
              <w:rPr>
                <w:rFonts w:hint="eastAsia" w:ascii="宋体" w:hAnsi="宋体" w:eastAsia="宋体" w:cs="宋体"/>
                <w:color w:val="000000" w:themeColor="text1"/>
                <w:kern w:val="2"/>
                <w:sz w:val="24"/>
                <w:szCs w:val="24"/>
                <w:lang w:val="en-US" w:eastAsia="zh-CN" w:bidi="ar"/>
                <w14:textFill>
                  <w14:solidFill>
                    <w14:schemeClr w14:val="tx1"/>
                  </w14:solidFill>
                </w14:textFill>
              </w:rPr>
              <w:t>15</w:t>
            </w:r>
            <w:r>
              <w:rPr>
                <w:rFonts w:hint="eastAsia" w:ascii="宋体" w:hAnsi="宋体" w:eastAsia="宋体" w:cs="宋体"/>
                <w:color w:val="000000" w:themeColor="text1"/>
                <w:kern w:val="2"/>
                <w:sz w:val="24"/>
                <w:szCs w:val="24"/>
                <w:lang w:bidi="ar"/>
                <w14:textFill>
                  <w14:solidFill>
                    <w14:schemeClr w14:val="tx1"/>
                  </w14:solidFill>
                </w14:textFill>
              </w:rPr>
              <w:t>分。</w:t>
            </w:r>
          </w:p>
          <w:p>
            <w:pPr>
              <w:pStyle w:val="19"/>
              <w:spacing w:before="0" w:beforeAutospacing="0" w:after="0"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（二）评分依据：</w:t>
            </w:r>
          </w:p>
          <w:p>
            <w:pPr>
              <w:pStyle w:val="19"/>
              <w:spacing w:before="0" w:beforeAutospacing="0" w:after="0" w:afterAutospacing="0" w:line="360"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需提供合同关键页（包括但不限于签订合同双方的单位名称、合同项目名称、签订合同双方的签字盖章页、合同金额页，签订日期页）复印件加盖公章</w:t>
            </w:r>
            <w:r>
              <w:rPr>
                <w:rFonts w:hint="eastAsia" w:ascii="宋体" w:hAnsi="宋体" w:eastAsia="宋体" w:cs="宋体"/>
                <w:color w:val="000000" w:themeColor="text1"/>
                <w:sz w:val="24"/>
                <w:szCs w:val="24"/>
                <w:lang w:bidi="ar"/>
                <w14:textFill>
                  <w14:solidFill>
                    <w14:schemeClr w14:val="tx1"/>
                  </w14:solidFill>
                </w14:textFill>
              </w:rPr>
              <w:t>，原件备查。同一项目续签不可重复得分</w:t>
            </w:r>
            <w:r>
              <w:rPr>
                <w:rFonts w:hint="eastAsia" w:ascii="宋体" w:hAnsi="宋体" w:eastAsia="宋体" w:cs="宋体"/>
                <w:color w:val="000000" w:themeColor="text1"/>
                <w:kern w:val="2"/>
                <w:sz w:val="24"/>
                <w:szCs w:val="24"/>
                <w:lang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r>
              <w:rPr>
                <w:rFonts w:hint="eastAsia" w:ascii="宋体" w:hAnsi="宋体" w:eastAsia="宋体" w:cs="宋体"/>
                <w:color w:val="000000" w:themeColor="text1"/>
                <w:sz w:val="24"/>
                <w:szCs w:val="24"/>
                <w:lang w:eastAsia="zh-CN"/>
                <w14:textFill>
                  <w14:solidFill>
                    <w14:schemeClr w14:val="tx1"/>
                  </w14:solidFill>
                </w14:textFill>
              </w:rPr>
              <w:t>。</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r>
              <w:rPr>
                <w:rFonts w:hint="eastAsia" w:ascii="宋体" w:hAnsi="宋体" w:eastAsia="宋体" w:cs="宋体"/>
                <w:color w:val="000000" w:themeColor="text1"/>
                <w:sz w:val="24"/>
                <w:szCs w:val="24"/>
                <w:lang w:val="en-US" w:eastAsia="zh-CN" w:bidi="ar"/>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（一）评分内容：</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（二）评分依据</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1、投标人提供诚信声明与承诺加盖公章；</w:t>
            </w:r>
          </w:p>
          <w:p>
            <w:pPr>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eastAsia="宋体" w:cs="宋体"/>
                <w:color w:val="000000" w:themeColor="text1"/>
                <w:sz w:val="24"/>
                <w:szCs w:val="24"/>
                <w14:textFill>
                  <w14:solidFill>
                    <w14:schemeClr w14:val="tx1"/>
                  </w14:solidFill>
                </w14:textFill>
              </w:rPr>
              <w:t>。</w:t>
            </w:r>
          </w:p>
        </w:tc>
        <w:tc>
          <w:tcPr>
            <w:tcW w:w="816" w:type="dxa"/>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79" w:type="dxa"/>
            <w:vAlign w:val="center"/>
          </w:tcPr>
          <w:p>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三、技术部分（</w:t>
            </w:r>
            <w:r>
              <w:rPr>
                <w:rFonts w:hint="eastAsia" w:ascii="宋体" w:hAnsi="宋体" w:eastAsia="宋体" w:cs="宋体"/>
                <w:b/>
                <w:color w:val="000000" w:themeColor="text1"/>
                <w:sz w:val="24"/>
                <w:szCs w:val="24"/>
                <w:lang w:val="en-US" w:eastAsia="zh-CN"/>
                <w14:textFill>
                  <w14:solidFill>
                    <w14:schemeClr w14:val="tx1"/>
                  </w14:solidFill>
                </w14:textFill>
              </w:rPr>
              <w:t>40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对项目需求的解析</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根据投标文件里</w:t>
            </w:r>
            <w:r>
              <w:rPr>
                <w:rFonts w:hint="eastAsia" w:ascii="宋体" w:hAnsi="宋体" w:cs="宋体"/>
                <w:color w:val="000000" w:themeColor="text1"/>
                <w:sz w:val="24"/>
                <w14:textFill>
                  <w14:solidFill>
                    <w14:schemeClr w14:val="tx1"/>
                  </w14:solidFill>
                </w14:textFill>
              </w:rPr>
              <w:t>分析</w:t>
            </w:r>
            <w:r>
              <w:rPr>
                <w:rFonts w:hint="eastAsia" w:ascii="宋体" w:hAnsi="宋体" w:cs="宋体"/>
                <w:color w:val="000000" w:themeColor="text1"/>
                <w:sz w:val="24"/>
                <w:lang w:val="zh-CN"/>
                <w14:textFill>
                  <w14:solidFill>
                    <w14:schemeClr w14:val="tx1"/>
                  </w14:solidFill>
                </w14:textFill>
              </w:rPr>
              <w:t>方案的判断情况比较得分：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1.对背景的理解；</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2.对项目需求及目的解读；</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3.对</w:t>
            </w:r>
            <w:r>
              <w:rPr>
                <w:rFonts w:hint="eastAsia" w:ascii="宋体" w:hAnsi="宋体" w:cs="宋体"/>
                <w:color w:val="000000" w:themeColor="text1"/>
                <w:sz w:val="24"/>
                <w:lang w:val="en-US" w:eastAsia="zh-CN"/>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内容整体解读</w:t>
            </w:r>
            <w:r>
              <w:rPr>
                <w:rFonts w:hint="eastAsia" w:ascii="宋体" w:hAnsi="宋体" w:cs="宋体"/>
                <w:color w:val="000000" w:themeColor="text1"/>
                <w:sz w:val="24"/>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满足任意两点得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未满足不得分。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在此基础上，专家根据各供应商的具体响应内容按照方案的完整性、规范性及内容的合理性进一步评审：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分；满足以上4项的评价为良加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实施方案</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考察投标人针对本项目的实施方案，需包括但不仅限于以下内容：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1、项目管理方案(包括人员安排)；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工作内容</w:t>
            </w:r>
            <w:r>
              <w:rPr>
                <w:rFonts w:hint="eastAsia" w:ascii="宋体" w:hAnsi="宋体" w:cs="宋体"/>
                <w:color w:val="000000" w:themeColor="text1"/>
                <w:sz w:val="24"/>
                <w14:textFill>
                  <w14:solidFill>
                    <w14:schemeClr w14:val="tx1"/>
                  </w14:solidFill>
                </w14:textFill>
              </w:rPr>
              <w:t>与</w:t>
            </w:r>
            <w:r>
              <w:rPr>
                <w:rFonts w:hint="eastAsia" w:ascii="宋体" w:hAnsi="宋体" w:cs="宋体"/>
                <w:color w:val="000000" w:themeColor="text1"/>
                <w:sz w:val="24"/>
                <w:lang w:val="zh-CN"/>
                <w14:textFill>
                  <w14:solidFill>
                    <w14:schemeClr w14:val="tx1"/>
                  </w14:solidFill>
                </w14:textFill>
              </w:rPr>
              <w:t>方案思路</w:t>
            </w:r>
            <w:r>
              <w:rPr>
                <w:rFonts w:hint="eastAsia" w:ascii="宋体" w:hAnsi="宋体" w:cs="宋体"/>
                <w:color w:val="000000" w:themeColor="text1"/>
                <w:sz w:val="24"/>
                <w14:textFill>
                  <w14:solidFill>
                    <w14:schemeClr w14:val="tx1"/>
                  </w14:solidFill>
                </w14:textFill>
              </w:rPr>
              <w:t>；</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3、进度计划。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考察以上三点得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分，满足任意两点得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分，其他情况不得分。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分；满足以上4项的评价为良加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项目重点、难点及解决方案</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根据招标文件的需求和投标文件响应情况，编制项目重点难点分析、应对措施及相关的合理化建议。包含但不限于以下内容：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1、对重点难点问题的把握与分析</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2、对重点难点问题的应对措施和合理化建议</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lang w:val="zh-CN"/>
                <w14:textFill>
                  <w14:solidFill>
                    <w14:schemeClr w14:val="tx1"/>
                  </w14:solidFill>
                </w14:textFill>
              </w:rPr>
              <w:t>分，</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 xml:space="preserve">未满足不得分。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在此基础上，专家根据各供应商的具体响应内容进一步评审： </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项目质量保障措施和</w:t>
            </w:r>
            <w:r>
              <w:rPr>
                <w:rFonts w:hint="eastAsia" w:ascii="宋体" w:hAnsi="宋体" w:cs="宋体"/>
                <w:color w:val="000000" w:themeColor="text1"/>
                <w:sz w:val="24"/>
                <w:lang w:val="en-US" w:eastAsia="zh-CN"/>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服务计划</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考察投标人针对本项目的保障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1、质量、进度管理保证措施；</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后续</w:t>
            </w:r>
            <w:r>
              <w:rPr>
                <w:rFonts w:hint="eastAsia" w:ascii="宋体" w:hAnsi="宋体" w:cs="宋体"/>
                <w:color w:val="000000" w:themeColor="text1"/>
                <w:sz w:val="24"/>
                <w14:textFill>
                  <w14:solidFill>
                    <w14:schemeClr w14:val="tx1"/>
                  </w14:solidFill>
                </w14:textFill>
              </w:rPr>
              <w:t>服务方案。</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考察以上两点，满足一点得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分，最高得</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bl>
    <w:p>
      <w:pPr>
        <w:pStyle w:val="3"/>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50" w:name="_Toc9548"/>
      <w:bookmarkStart w:id="51"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50"/>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52" w:name="_Toc5116"/>
      <w:bookmarkStart w:id="53" w:name="_Toc31827"/>
      <w:bookmarkStart w:id="54" w:name="_Toc6548"/>
      <w:bookmarkStart w:id="55" w:name="_Toc19494"/>
      <w:r>
        <w:rPr>
          <w:rFonts w:hint="eastAsia" w:ascii="宋体" w:hAnsi="宋体" w:cs="宋体"/>
          <w:b/>
          <w:bCs/>
          <w:color w:val="000000" w:themeColor="text1"/>
          <w:sz w:val="24"/>
          <w14:textFill>
            <w14:solidFill>
              <w14:schemeClr w14:val="tx1"/>
            </w14:solidFill>
          </w14:textFill>
        </w:rPr>
        <w:t>1、投标文件密封袋/封面参考</w:t>
      </w:r>
      <w:bookmarkEnd w:id="52"/>
      <w:bookmarkEnd w:id="53"/>
      <w:bookmarkEnd w:id="54"/>
      <w:bookmarkEnd w:id="55"/>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11"/>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11"/>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11"/>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11"/>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11"/>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11"/>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56" w:name="_Toc16724"/>
      <w:r>
        <w:rPr>
          <w:rFonts w:hint="eastAsia" w:ascii="宋体" w:hAnsi="宋体" w:cs="宋体"/>
          <w:b/>
          <w:color w:val="000000" w:themeColor="text1"/>
          <w:sz w:val="24"/>
          <w14:textFill>
            <w14:solidFill>
              <w14:schemeClr w14:val="tx1"/>
            </w14:solidFill>
          </w14:textFill>
        </w:rPr>
        <w:t>2、投标文件—目录</w:t>
      </w:r>
      <w:bookmarkEnd w:id="56"/>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拟派服务团队负责人（仅限一人）；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拟派驻服务团队成员（不含负责人）；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项目经验；</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对项目需求的解析；</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项目重点、难点及解决方案；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项目质量保障措施和后续服务计划；</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1"/>
        <w:rPr>
          <w:color w:val="000000" w:themeColor="text1"/>
          <w14:textFill>
            <w14:solidFill>
              <w14:schemeClr w14:val="tx1"/>
            </w14:solidFill>
          </w14:textFill>
        </w:rPr>
      </w:pP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11"/>
        <w:rPr>
          <w:color w:val="000000" w:themeColor="text1"/>
          <w14:textFill>
            <w14:solidFill>
              <w14:schemeClr w14:val="tx1"/>
            </w14:solidFill>
          </w14:textFill>
        </w:rPr>
      </w:pP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3"/>
        <w:spacing w:line="360" w:lineRule="auto"/>
        <w:jc w:val="center"/>
        <w:rPr>
          <w:rFonts w:hint="eastAsia" w:hAnsi="宋体" w:cs="宋体"/>
          <w:b/>
          <w:color w:val="000000" w:themeColor="text1"/>
          <w:sz w:val="24"/>
          <w14:textFill>
            <w14:solidFill>
              <w14:schemeClr w14:val="tx1"/>
            </w14:solidFill>
          </w14:textFill>
        </w:rPr>
      </w:pPr>
    </w:p>
    <w:p>
      <w:pPr>
        <w:pStyle w:val="13"/>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3"/>
        <w:spacing w:line="360" w:lineRule="auto"/>
        <w:rPr>
          <w:rFonts w:hint="eastAsia" w:hAnsi="宋体" w:cs="宋体"/>
          <w:color w:val="000000" w:themeColor="text1"/>
          <w:sz w:val="24"/>
          <w14:textFill>
            <w14:solidFill>
              <w14:schemeClr w14:val="tx1"/>
            </w14:solidFill>
          </w14:textFill>
        </w:rPr>
      </w:pP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3"/>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3"/>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3"/>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拟派服务团队负责人（仅限一人）；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拟派驻服务团队成员（不含负责人）；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项目经验；</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3"/>
        <w:spacing w:line="360" w:lineRule="auto"/>
        <w:jc w:val="left"/>
        <w:rPr>
          <w:rFonts w:hint="eastAsia" w:hAnsi="宋体" w:cs="宋体"/>
          <w:color w:val="000000" w:themeColor="text1"/>
          <w:sz w:val="24"/>
          <w14:textFill>
            <w14:solidFill>
              <w14:schemeClr w14:val="tx1"/>
            </w14:solidFill>
          </w14:textFill>
        </w:rPr>
      </w:pPr>
    </w:p>
    <w:p>
      <w:pPr>
        <w:pStyle w:val="13"/>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11"/>
        <w:rPr>
          <w:color w:val="000000" w:themeColor="text1"/>
          <w:lang w:val="fr-CH"/>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6"/>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6"/>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br w:type="page"/>
      </w:r>
      <w:r>
        <w:rPr>
          <w:rStyle w:val="36"/>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6"/>
          <w:rFonts w:hint="eastAsia" w:ascii="宋体" w:hAnsi="宋体" w:cs="宋体"/>
          <w:color w:val="000000" w:themeColor="text1"/>
          <w:spacing w:val="6"/>
          <w:sz w:val="24"/>
          <w:u w:val="single"/>
          <w14:textFill>
            <w14:solidFill>
              <w14:schemeClr w14:val="tx1"/>
            </w14:solidFill>
          </w14:textFill>
        </w:rPr>
        <w:t xml:space="preserve"> （采购单位名称） </w:t>
      </w:r>
      <w:r>
        <w:rPr>
          <w:rStyle w:val="36"/>
          <w:rFonts w:hint="eastAsia" w:ascii="宋体" w:hAnsi="宋体" w:cs="宋体"/>
          <w:color w:val="000000" w:themeColor="text1"/>
          <w:spacing w:val="6"/>
          <w:sz w:val="24"/>
          <w14:textFill>
            <w14:solidFill>
              <w14:schemeClr w14:val="tx1"/>
            </w14:solidFill>
          </w14:textFill>
        </w:rPr>
        <w:t>单位的</w:t>
      </w:r>
      <w:r>
        <w:rPr>
          <w:rStyle w:val="36"/>
          <w:rFonts w:hint="eastAsia" w:ascii="宋体" w:hAnsi="宋体" w:cs="宋体"/>
          <w:color w:val="000000" w:themeColor="text1"/>
          <w:spacing w:val="6"/>
          <w:sz w:val="24"/>
          <w:u w:val="single"/>
          <w14:textFill>
            <w14:solidFill>
              <w14:schemeClr w14:val="tx1"/>
            </w14:solidFill>
          </w14:textFill>
        </w:rPr>
        <w:t xml:space="preserve"> （采购项目名称） </w:t>
      </w:r>
      <w:r>
        <w:rPr>
          <w:rStyle w:val="36"/>
          <w:rFonts w:hint="eastAsia" w:ascii="宋体" w:hAnsi="宋体" w:cs="宋体"/>
          <w:color w:val="000000" w:themeColor="text1"/>
          <w:spacing w:val="6"/>
          <w:sz w:val="24"/>
          <w14:textFill>
            <w14:solidFill>
              <w14:schemeClr w14:val="tx1"/>
            </w14:solidFill>
          </w14:textFill>
        </w:rPr>
        <w:t>项目采购</w:t>
      </w:r>
      <w:r>
        <w:rPr>
          <w:rStyle w:val="36"/>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6"/>
          <w:rFonts w:hint="eastAsia" w:ascii="宋体" w:hAnsi="宋体" w:cs="宋体"/>
          <w:color w:val="000000" w:themeColor="text1"/>
          <w:spacing w:val="6"/>
          <w:sz w:val="24"/>
          <w14:textFill>
            <w14:solidFill>
              <w14:schemeClr w14:val="tx1"/>
            </w14:solidFill>
          </w14:textFill>
        </w:rPr>
        <w:t>。</w:t>
      </w:r>
      <w:r>
        <w:rPr>
          <w:rStyle w:val="36"/>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8"/>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8"/>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57" w:name="OLE_LINK9"/>
      <w:r>
        <w:rPr>
          <w:rFonts w:hint="eastAsia" w:ascii="宋体" w:hAnsi="宋体" w:cs="宋体"/>
          <w:b/>
          <w:color w:val="000000" w:themeColor="text1"/>
          <w:sz w:val="28"/>
          <w:szCs w:val="28"/>
          <w14:textFill>
            <w14:solidFill>
              <w14:schemeClr w14:val="tx1"/>
            </w14:solidFill>
          </w14:textFill>
        </w:rPr>
        <w:t>证明</w:t>
      </w:r>
      <w:bookmarkEnd w:id="57"/>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3"/>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58" w:name="OLE_LINK10"/>
      <w:r>
        <w:rPr>
          <w:rFonts w:hint="eastAsia" w:ascii="宋体" w:hAnsi="宋体" w:cs="宋体"/>
          <w:b/>
          <w:color w:val="000000" w:themeColor="text1"/>
          <w:sz w:val="28"/>
          <w:szCs w:val="28"/>
          <w14:textFill>
            <w14:solidFill>
              <w14:schemeClr w14:val="tx1"/>
            </w14:solidFill>
          </w14:textFill>
        </w:rPr>
        <w:t>股权关系证明</w:t>
      </w:r>
      <w:bookmarkEnd w:id="58"/>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1"/>
        <w:spacing w:line="360" w:lineRule="auto"/>
        <w:rPr>
          <w:color w:val="000000" w:themeColor="text1"/>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对项目需求的解析；</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项目重点、难点及解决方案；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项目质量保障措施和后续服务计划；</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51"/>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59" w:name="_Toc6251"/>
      <w:bookmarkStart w:id="60" w:name="_Toc742"/>
      <w:r>
        <w:rPr>
          <w:rFonts w:hint="eastAsia" w:ascii="宋体" w:hAnsi="宋体" w:cs="宋体"/>
          <w:b/>
          <w:bCs/>
          <w:color w:val="000000" w:themeColor="text1"/>
          <w:sz w:val="24"/>
          <w14:textFill>
            <w14:solidFill>
              <w14:schemeClr w14:val="tx1"/>
            </w14:solidFill>
          </w14:textFill>
        </w:rPr>
        <w:t>附件：相关政策</w:t>
      </w:r>
      <w:bookmarkEnd w:id="59"/>
      <w:bookmarkEnd w:id="60"/>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11"/>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11"/>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11"/>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11"/>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1"/>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11"/>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1"/>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11"/>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7"/>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11"/>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9"/>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61" w:name="sendNo"/>
      <w:r>
        <w:rPr>
          <w:rFonts w:hint="eastAsia"/>
          <w:color w:val="000000" w:themeColor="text1"/>
          <w14:textFill>
            <w14:solidFill>
              <w14:schemeClr w14:val="tx1"/>
            </w14:solidFill>
          </w14:textFill>
        </w:rPr>
        <w:t>财库〔</w:t>
      </w:r>
      <w:bookmarkEnd w:id="61"/>
      <w:r>
        <w:rPr>
          <w:rFonts w:hint="eastAsia"/>
          <w:color w:val="000000" w:themeColor="text1"/>
          <w14:textFill>
            <w14:solidFill>
              <w14:schemeClr w14:val="tx1"/>
            </w14:solidFill>
          </w14:textFill>
        </w:rPr>
        <w:t>2017〕141号</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62"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2"/>
      <w:r>
        <w:rPr>
          <w:rFonts w:hint="eastAsia"/>
          <w:color w:val="000000" w:themeColor="text1"/>
          <w14:textFill>
            <w14:solidFill>
              <w14:schemeClr w14:val="tx1"/>
            </w14:solidFill>
          </w14:textFill>
        </w:rPr>
        <w:t>：</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8"/>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8"/>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9"/>
          <w:rFonts w:hint="eastAsia"/>
          <w:b/>
          <w:bCs/>
          <w:color w:val="000000" w:themeColor="text1"/>
          <w14:textFill>
            <w14:solidFill>
              <w14:schemeClr w14:val="tx1"/>
            </w14:solidFill>
          </w14:textFill>
        </w:rPr>
        <w:t>残疾人福利性单位声明函</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本单位对上述声明的真实性负责。如有虚假，将依法承担相应责任。</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8"/>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单位名称（盖章）：</w:t>
      </w:r>
    </w:p>
    <w:p>
      <w:pPr>
        <w:pStyle w:val="38"/>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9"/>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E63E66-3ABF-42F0-B1C3-137A8C600B22}"/>
  </w:font>
  <w:font w:name="黑体">
    <w:panose1 w:val="02010609060101010101"/>
    <w:charset w:val="86"/>
    <w:family w:val="auto"/>
    <w:pitch w:val="default"/>
    <w:sig w:usb0="800002BF" w:usb1="38CF7CFA" w:usb2="00000016" w:usb3="00000000" w:csb0="00040001" w:csb1="00000000"/>
    <w:embedRegular r:id="rId2" w:fontKey="{3BA52D02-5224-4908-851D-57BC722FAB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DD52097-B75E-4CAF-AE4D-F442F19713A1}"/>
  </w:font>
  <w:font w:name="仿宋_GB2312">
    <w:panose1 w:val="02010609030101010101"/>
    <w:charset w:val="86"/>
    <w:family w:val="auto"/>
    <w:pitch w:val="default"/>
    <w:sig w:usb0="00000001" w:usb1="080E0000" w:usb2="00000000" w:usb3="00000000" w:csb0="00040000" w:csb1="00000000"/>
    <w:embedRegular r:id="rId4" w:fontKey="{559ED5E3-904E-4124-83A9-09FC44C94406}"/>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000" w:usb1="00000000" w:usb2="00000000" w:usb3="00000000" w:csb0="00000000" w:csb1="00000000"/>
    <w:embedRegular r:id="rId5" w:fontKey="{91573583-058D-4D83-80AE-EE780922F4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8FC4C5C"/>
    <w:multiLevelType w:val="singleLevel"/>
    <w:tmpl w:val="A8FC4C5C"/>
    <w:lvl w:ilvl="0" w:tentative="0">
      <w:start w:val="2"/>
      <w:numFmt w:val="chineseCounting"/>
      <w:suff w:val="nothing"/>
      <w:lvlText w:val="（%1）"/>
      <w:lvlJc w:val="left"/>
      <w:rPr>
        <w:rFonts w:hint="eastAsia"/>
      </w:rPr>
    </w:lvl>
  </w:abstractNum>
  <w:abstractNum w:abstractNumId="4">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5"/>
  </w:num>
  <w:num w:numId="3">
    <w:abstractNumId w:val="2"/>
  </w:num>
  <w:num w:numId="4">
    <w:abstractNumId w:val="9"/>
  </w:num>
  <w:num w:numId="5">
    <w:abstractNumId w:val="3"/>
  </w:num>
  <w:num w:numId="6">
    <w:abstractNumId w:val="10"/>
  </w:num>
  <w:num w:numId="7">
    <w:abstractNumId w:val="4"/>
  </w:num>
  <w:num w:numId="8">
    <w:abstractNumId w:val="6"/>
  </w:num>
  <w:num w:numId="9">
    <w:abstractNumId w:val="1"/>
  </w:num>
  <w:num w:numId="10">
    <w:abstractNumId w:val="0"/>
  </w:num>
  <w:num w:numId="11">
    <w:abstractNumId w:val="7"/>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7030E"/>
    <w:rsid w:val="003A4DB8"/>
    <w:rsid w:val="00441793"/>
    <w:rsid w:val="004E616D"/>
    <w:rsid w:val="00537C28"/>
    <w:rsid w:val="006E4653"/>
    <w:rsid w:val="00771B68"/>
    <w:rsid w:val="0089189B"/>
    <w:rsid w:val="008B73C2"/>
    <w:rsid w:val="00B82957"/>
    <w:rsid w:val="00C93875"/>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C1016"/>
    <w:rsid w:val="02A80FA1"/>
    <w:rsid w:val="02B81FC4"/>
    <w:rsid w:val="032558AB"/>
    <w:rsid w:val="032F4898"/>
    <w:rsid w:val="036839EA"/>
    <w:rsid w:val="036D7252"/>
    <w:rsid w:val="037800D1"/>
    <w:rsid w:val="037C7496"/>
    <w:rsid w:val="038D16A3"/>
    <w:rsid w:val="038E26A7"/>
    <w:rsid w:val="0396194E"/>
    <w:rsid w:val="03993BA4"/>
    <w:rsid w:val="03B24C65"/>
    <w:rsid w:val="03B44E81"/>
    <w:rsid w:val="03B54992"/>
    <w:rsid w:val="03BB1D6C"/>
    <w:rsid w:val="03D167CD"/>
    <w:rsid w:val="03E5503B"/>
    <w:rsid w:val="03FF0592"/>
    <w:rsid w:val="03FF56E1"/>
    <w:rsid w:val="040B5B34"/>
    <w:rsid w:val="040C3CF2"/>
    <w:rsid w:val="04191764"/>
    <w:rsid w:val="044E26AD"/>
    <w:rsid w:val="045A0087"/>
    <w:rsid w:val="04640655"/>
    <w:rsid w:val="046441B2"/>
    <w:rsid w:val="047D1CE0"/>
    <w:rsid w:val="048C5BE2"/>
    <w:rsid w:val="04972A57"/>
    <w:rsid w:val="049A4077"/>
    <w:rsid w:val="049D5915"/>
    <w:rsid w:val="04A919F3"/>
    <w:rsid w:val="04AC3B33"/>
    <w:rsid w:val="04D035F5"/>
    <w:rsid w:val="04D255BF"/>
    <w:rsid w:val="04E15802"/>
    <w:rsid w:val="050D4546"/>
    <w:rsid w:val="0532605E"/>
    <w:rsid w:val="054F4E62"/>
    <w:rsid w:val="05525F81"/>
    <w:rsid w:val="058F5A54"/>
    <w:rsid w:val="05A30D0A"/>
    <w:rsid w:val="05A77988"/>
    <w:rsid w:val="05D438B9"/>
    <w:rsid w:val="05E11832"/>
    <w:rsid w:val="05F15671"/>
    <w:rsid w:val="05F652DD"/>
    <w:rsid w:val="05F94DCD"/>
    <w:rsid w:val="060A7F0C"/>
    <w:rsid w:val="0616772D"/>
    <w:rsid w:val="06345E06"/>
    <w:rsid w:val="06386398"/>
    <w:rsid w:val="06416BB8"/>
    <w:rsid w:val="06456265"/>
    <w:rsid w:val="065F7326"/>
    <w:rsid w:val="06640E4B"/>
    <w:rsid w:val="06CE1F71"/>
    <w:rsid w:val="06D01FD2"/>
    <w:rsid w:val="06D118A6"/>
    <w:rsid w:val="06E415DA"/>
    <w:rsid w:val="07000B16"/>
    <w:rsid w:val="070D0B30"/>
    <w:rsid w:val="07200C9D"/>
    <w:rsid w:val="073A5410"/>
    <w:rsid w:val="0754675F"/>
    <w:rsid w:val="076B39F3"/>
    <w:rsid w:val="076F5347"/>
    <w:rsid w:val="0775167C"/>
    <w:rsid w:val="07A0765A"/>
    <w:rsid w:val="07AA3F74"/>
    <w:rsid w:val="07BD13EE"/>
    <w:rsid w:val="07CF36C6"/>
    <w:rsid w:val="080A5070"/>
    <w:rsid w:val="084E684E"/>
    <w:rsid w:val="084F5179"/>
    <w:rsid w:val="089D5EE4"/>
    <w:rsid w:val="08AE6343"/>
    <w:rsid w:val="08AF2F0D"/>
    <w:rsid w:val="08AF79C5"/>
    <w:rsid w:val="08C45350"/>
    <w:rsid w:val="08C94F2B"/>
    <w:rsid w:val="08EF6AC2"/>
    <w:rsid w:val="09185F2E"/>
    <w:rsid w:val="091E5277"/>
    <w:rsid w:val="092C2AB7"/>
    <w:rsid w:val="093C394F"/>
    <w:rsid w:val="095505E7"/>
    <w:rsid w:val="096C4D6B"/>
    <w:rsid w:val="097479AD"/>
    <w:rsid w:val="09772BD9"/>
    <w:rsid w:val="09774987"/>
    <w:rsid w:val="097815DF"/>
    <w:rsid w:val="098E31D7"/>
    <w:rsid w:val="09C149B3"/>
    <w:rsid w:val="09D57431"/>
    <w:rsid w:val="09D9508C"/>
    <w:rsid w:val="09E75EDE"/>
    <w:rsid w:val="09F47D86"/>
    <w:rsid w:val="09F90D53"/>
    <w:rsid w:val="09FB55B8"/>
    <w:rsid w:val="0A397E8E"/>
    <w:rsid w:val="0A3B3CB9"/>
    <w:rsid w:val="0A3B59B5"/>
    <w:rsid w:val="0A3D797F"/>
    <w:rsid w:val="0A3E54A5"/>
    <w:rsid w:val="0A570314"/>
    <w:rsid w:val="0A7F6940"/>
    <w:rsid w:val="0A904DFA"/>
    <w:rsid w:val="0A962578"/>
    <w:rsid w:val="0B1D330C"/>
    <w:rsid w:val="0B872ED2"/>
    <w:rsid w:val="0B8D66E4"/>
    <w:rsid w:val="0B9335CE"/>
    <w:rsid w:val="0BA12829"/>
    <w:rsid w:val="0BA650B0"/>
    <w:rsid w:val="0BB45AA2"/>
    <w:rsid w:val="0BCB720C"/>
    <w:rsid w:val="0BD51E39"/>
    <w:rsid w:val="0BDC4F75"/>
    <w:rsid w:val="0BE85AA6"/>
    <w:rsid w:val="0BF0642E"/>
    <w:rsid w:val="0C23344D"/>
    <w:rsid w:val="0C2506CA"/>
    <w:rsid w:val="0C393981"/>
    <w:rsid w:val="0C3B7EEE"/>
    <w:rsid w:val="0C4310EE"/>
    <w:rsid w:val="0CA03970"/>
    <w:rsid w:val="0CEE48A7"/>
    <w:rsid w:val="0D0B2017"/>
    <w:rsid w:val="0D136775"/>
    <w:rsid w:val="0D244BFF"/>
    <w:rsid w:val="0D373A0B"/>
    <w:rsid w:val="0D4E1EA3"/>
    <w:rsid w:val="0D5D3E94"/>
    <w:rsid w:val="0D6214AA"/>
    <w:rsid w:val="0D63594E"/>
    <w:rsid w:val="0D703BC7"/>
    <w:rsid w:val="0D907DC5"/>
    <w:rsid w:val="0D9F44AC"/>
    <w:rsid w:val="0DA25D4B"/>
    <w:rsid w:val="0DAC6849"/>
    <w:rsid w:val="0DCF21C8"/>
    <w:rsid w:val="0DDA54E4"/>
    <w:rsid w:val="0DFE5677"/>
    <w:rsid w:val="0E034A3B"/>
    <w:rsid w:val="0E19425F"/>
    <w:rsid w:val="0E19600D"/>
    <w:rsid w:val="0E2624D8"/>
    <w:rsid w:val="0E2F3A82"/>
    <w:rsid w:val="0E356BBF"/>
    <w:rsid w:val="0E4219DB"/>
    <w:rsid w:val="0E793654"/>
    <w:rsid w:val="0E87566C"/>
    <w:rsid w:val="0EA97268"/>
    <w:rsid w:val="0EAF071F"/>
    <w:rsid w:val="0EC046DA"/>
    <w:rsid w:val="0ED35847"/>
    <w:rsid w:val="0ED40186"/>
    <w:rsid w:val="0ED802FF"/>
    <w:rsid w:val="0EE20AF5"/>
    <w:rsid w:val="0F072309"/>
    <w:rsid w:val="0F0942D3"/>
    <w:rsid w:val="0F0E3698"/>
    <w:rsid w:val="0F2033CB"/>
    <w:rsid w:val="0F6A2898"/>
    <w:rsid w:val="0F6B6D3C"/>
    <w:rsid w:val="0F851480"/>
    <w:rsid w:val="0FA1450C"/>
    <w:rsid w:val="0FAB7138"/>
    <w:rsid w:val="0FC14BAE"/>
    <w:rsid w:val="0FD451BC"/>
    <w:rsid w:val="0FDC3796"/>
    <w:rsid w:val="0FF74205"/>
    <w:rsid w:val="10076107"/>
    <w:rsid w:val="1008458B"/>
    <w:rsid w:val="100D4B83"/>
    <w:rsid w:val="1064624E"/>
    <w:rsid w:val="106D0892"/>
    <w:rsid w:val="10795489"/>
    <w:rsid w:val="108F25B6"/>
    <w:rsid w:val="10947BCD"/>
    <w:rsid w:val="11286567"/>
    <w:rsid w:val="11292A0B"/>
    <w:rsid w:val="1131366D"/>
    <w:rsid w:val="113D64B6"/>
    <w:rsid w:val="11447845"/>
    <w:rsid w:val="11511F61"/>
    <w:rsid w:val="11AC7198"/>
    <w:rsid w:val="11B22B48"/>
    <w:rsid w:val="11BD4774"/>
    <w:rsid w:val="11BD75F7"/>
    <w:rsid w:val="11E20D72"/>
    <w:rsid w:val="121C256F"/>
    <w:rsid w:val="124318AA"/>
    <w:rsid w:val="12631F4C"/>
    <w:rsid w:val="126E3EB0"/>
    <w:rsid w:val="126F6B43"/>
    <w:rsid w:val="12747CB6"/>
    <w:rsid w:val="129C720C"/>
    <w:rsid w:val="12D9220E"/>
    <w:rsid w:val="12EF70B7"/>
    <w:rsid w:val="12F17B2E"/>
    <w:rsid w:val="13157F9E"/>
    <w:rsid w:val="136071FB"/>
    <w:rsid w:val="1363353B"/>
    <w:rsid w:val="13660293"/>
    <w:rsid w:val="13737F6D"/>
    <w:rsid w:val="137B7981"/>
    <w:rsid w:val="138959E3"/>
    <w:rsid w:val="138F7287"/>
    <w:rsid w:val="139B1132"/>
    <w:rsid w:val="139B74C4"/>
    <w:rsid w:val="13C056B4"/>
    <w:rsid w:val="13E87CB7"/>
    <w:rsid w:val="13EB3FA7"/>
    <w:rsid w:val="140C1FE5"/>
    <w:rsid w:val="141650CD"/>
    <w:rsid w:val="141D437D"/>
    <w:rsid w:val="141D612B"/>
    <w:rsid w:val="142179C9"/>
    <w:rsid w:val="145533A6"/>
    <w:rsid w:val="14740441"/>
    <w:rsid w:val="148443FC"/>
    <w:rsid w:val="1497412F"/>
    <w:rsid w:val="149F2FE4"/>
    <w:rsid w:val="14A423A8"/>
    <w:rsid w:val="14E32ED1"/>
    <w:rsid w:val="14EC25CE"/>
    <w:rsid w:val="150C0679"/>
    <w:rsid w:val="151307D7"/>
    <w:rsid w:val="153100AC"/>
    <w:rsid w:val="154F67B8"/>
    <w:rsid w:val="158D6BDD"/>
    <w:rsid w:val="15D33824"/>
    <w:rsid w:val="15D849FF"/>
    <w:rsid w:val="15E92BC7"/>
    <w:rsid w:val="15FD3709"/>
    <w:rsid w:val="160464D3"/>
    <w:rsid w:val="16157A01"/>
    <w:rsid w:val="161D6647"/>
    <w:rsid w:val="16493207"/>
    <w:rsid w:val="164B0365"/>
    <w:rsid w:val="16685D83"/>
    <w:rsid w:val="166938A9"/>
    <w:rsid w:val="167A7865"/>
    <w:rsid w:val="167F6351"/>
    <w:rsid w:val="168B1A72"/>
    <w:rsid w:val="16C32C88"/>
    <w:rsid w:val="16C358AF"/>
    <w:rsid w:val="16D637FC"/>
    <w:rsid w:val="16E96798"/>
    <w:rsid w:val="16F76FA7"/>
    <w:rsid w:val="172A3039"/>
    <w:rsid w:val="1763654B"/>
    <w:rsid w:val="1773288D"/>
    <w:rsid w:val="178D1D96"/>
    <w:rsid w:val="17966920"/>
    <w:rsid w:val="17B40B54"/>
    <w:rsid w:val="17CA65CA"/>
    <w:rsid w:val="17DD00AB"/>
    <w:rsid w:val="17F35B20"/>
    <w:rsid w:val="180B1483"/>
    <w:rsid w:val="180C273E"/>
    <w:rsid w:val="183459BE"/>
    <w:rsid w:val="183D7B1A"/>
    <w:rsid w:val="1840688C"/>
    <w:rsid w:val="184F3D45"/>
    <w:rsid w:val="18954E2A"/>
    <w:rsid w:val="18BE7B6B"/>
    <w:rsid w:val="18D019BE"/>
    <w:rsid w:val="18E37943"/>
    <w:rsid w:val="18FA239B"/>
    <w:rsid w:val="190B2632"/>
    <w:rsid w:val="191C4C03"/>
    <w:rsid w:val="19353F17"/>
    <w:rsid w:val="194D3428"/>
    <w:rsid w:val="19575C3B"/>
    <w:rsid w:val="195B397D"/>
    <w:rsid w:val="19622F5E"/>
    <w:rsid w:val="19882298"/>
    <w:rsid w:val="19946E8F"/>
    <w:rsid w:val="199E39C2"/>
    <w:rsid w:val="19A8293B"/>
    <w:rsid w:val="19B4308D"/>
    <w:rsid w:val="19D41982"/>
    <w:rsid w:val="19E219A9"/>
    <w:rsid w:val="19E73463"/>
    <w:rsid w:val="1A332204"/>
    <w:rsid w:val="1A7F3E24"/>
    <w:rsid w:val="1A9A5D1C"/>
    <w:rsid w:val="1AC217DA"/>
    <w:rsid w:val="1AFE2C2B"/>
    <w:rsid w:val="1B1F09DB"/>
    <w:rsid w:val="1B222279"/>
    <w:rsid w:val="1B226512"/>
    <w:rsid w:val="1B461503"/>
    <w:rsid w:val="1B6F1962"/>
    <w:rsid w:val="1B982FF3"/>
    <w:rsid w:val="1BD619E1"/>
    <w:rsid w:val="1BD971F4"/>
    <w:rsid w:val="1BDA2117"/>
    <w:rsid w:val="1BDB6FF7"/>
    <w:rsid w:val="1BEA548C"/>
    <w:rsid w:val="1BF34341"/>
    <w:rsid w:val="1C0F2CE1"/>
    <w:rsid w:val="1C224C26"/>
    <w:rsid w:val="1C541A06"/>
    <w:rsid w:val="1C623275"/>
    <w:rsid w:val="1C762226"/>
    <w:rsid w:val="1C901B90"/>
    <w:rsid w:val="1CA8197B"/>
    <w:rsid w:val="1CC57360"/>
    <w:rsid w:val="1D0D31E0"/>
    <w:rsid w:val="1D1C78C7"/>
    <w:rsid w:val="1D526E45"/>
    <w:rsid w:val="1D7F1C04"/>
    <w:rsid w:val="1D864D41"/>
    <w:rsid w:val="1DC64109"/>
    <w:rsid w:val="1DD10C77"/>
    <w:rsid w:val="1DD821DB"/>
    <w:rsid w:val="1DD84EE2"/>
    <w:rsid w:val="1DE21BFC"/>
    <w:rsid w:val="1DEA52D0"/>
    <w:rsid w:val="1E2702D2"/>
    <w:rsid w:val="1E2C58E8"/>
    <w:rsid w:val="1E731769"/>
    <w:rsid w:val="1EC575F3"/>
    <w:rsid w:val="1ECC0E79"/>
    <w:rsid w:val="1EFB350D"/>
    <w:rsid w:val="1F126AC2"/>
    <w:rsid w:val="1F1840BF"/>
    <w:rsid w:val="1F2760B0"/>
    <w:rsid w:val="1F503858"/>
    <w:rsid w:val="1F515A39"/>
    <w:rsid w:val="1F5E41C7"/>
    <w:rsid w:val="1F69532E"/>
    <w:rsid w:val="1F7C63FB"/>
    <w:rsid w:val="1F9803AC"/>
    <w:rsid w:val="1FB12584"/>
    <w:rsid w:val="1FFD411B"/>
    <w:rsid w:val="1FFE5FA5"/>
    <w:rsid w:val="2023302E"/>
    <w:rsid w:val="20250841"/>
    <w:rsid w:val="203D01A7"/>
    <w:rsid w:val="2087367A"/>
    <w:rsid w:val="209F2A54"/>
    <w:rsid w:val="20B47E17"/>
    <w:rsid w:val="20D73ACA"/>
    <w:rsid w:val="20FD1BD4"/>
    <w:rsid w:val="20FD356C"/>
    <w:rsid w:val="211B1C44"/>
    <w:rsid w:val="212E5E1B"/>
    <w:rsid w:val="215C4736"/>
    <w:rsid w:val="21671CF6"/>
    <w:rsid w:val="217557F8"/>
    <w:rsid w:val="218D2B42"/>
    <w:rsid w:val="218E0668"/>
    <w:rsid w:val="21B856E5"/>
    <w:rsid w:val="21E93AF0"/>
    <w:rsid w:val="21ED1832"/>
    <w:rsid w:val="2221328A"/>
    <w:rsid w:val="227B6E3E"/>
    <w:rsid w:val="228D764F"/>
    <w:rsid w:val="229C6DE9"/>
    <w:rsid w:val="22BB36DF"/>
    <w:rsid w:val="22CA3922"/>
    <w:rsid w:val="22D64075"/>
    <w:rsid w:val="22E76282"/>
    <w:rsid w:val="230E7CB2"/>
    <w:rsid w:val="231150AD"/>
    <w:rsid w:val="233E412D"/>
    <w:rsid w:val="233E7DBC"/>
    <w:rsid w:val="2349026B"/>
    <w:rsid w:val="23906919"/>
    <w:rsid w:val="23A6613D"/>
    <w:rsid w:val="23BD5235"/>
    <w:rsid w:val="23C465C3"/>
    <w:rsid w:val="23CD1D77"/>
    <w:rsid w:val="24281889"/>
    <w:rsid w:val="24577437"/>
    <w:rsid w:val="24961D0D"/>
    <w:rsid w:val="24B403E6"/>
    <w:rsid w:val="24C90A33"/>
    <w:rsid w:val="24F074D1"/>
    <w:rsid w:val="25022231"/>
    <w:rsid w:val="25055DB0"/>
    <w:rsid w:val="251A0B90"/>
    <w:rsid w:val="251A3303"/>
    <w:rsid w:val="251D242F"/>
    <w:rsid w:val="2547125A"/>
    <w:rsid w:val="25545725"/>
    <w:rsid w:val="25710085"/>
    <w:rsid w:val="25853B30"/>
    <w:rsid w:val="2593449F"/>
    <w:rsid w:val="25C32FD6"/>
    <w:rsid w:val="25CA1509"/>
    <w:rsid w:val="25EC437E"/>
    <w:rsid w:val="260450DB"/>
    <w:rsid w:val="260E7FC9"/>
    <w:rsid w:val="261E645E"/>
    <w:rsid w:val="264F486A"/>
    <w:rsid w:val="26625BC2"/>
    <w:rsid w:val="269E208E"/>
    <w:rsid w:val="26A050C5"/>
    <w:rsid w:val="26A54F0B"/>
    <w:rsid w:val="26BE19EF"/>
    <w:rsid w:val="26D7485F"/>
    <w:rsid w:val="26E02441"/>
    <w:rsid w:val="26E054C2"/>
    <w:rsid w:val="270645C5"/>
    <w:rsid w:val="2707406D"/>
    <w:rsid w:val="27191DB9"/>
    <w:rsid w:val="275639D6"/>
    <w:rsid w:val="27807BE0"/>
    <w:rsid w:val="2781787A"/>
    <w:rsid w:val="279D1605"/>
    <w:rsid w:val="27B5694E"/>
    <w:rsid w:val="27CE5C62"/>
    <w:rsid w:val="27DF39CB"/>
    <w:rsid w:val="27F76F67"/>
    <w:rsid w:val="27FE6547"/>
    <w:rsid w:val="28355CE1"/>
    <w:rsid w:val="283C7070"/>
    <w:rsid w:val="28440A5B"/>
    <w:rsid w:val="284C045D"/>
    <w:rsid w:val="285048C9"/>
    <w:rsid w:val="28846049"/>
    <w:rsid w:val="28B16468"/>
    <w:rsid w:val="28E31299"/>
    <w:rsid w:val="28EF4F44"/>
    <w:rsid w:val="290556B4"/>
    <w:rsid w:val="290F208E"/>
    <w:rsid w:val="29257B04"/>
    <w:rsid w:val="292A6EC8"/>
    <w:rsid w:val="29540304"/>
    <w:rsid w:val="295C0655"/>
    <w:rsid w:val="296950CB"/>
    <w:rsid w:val="29695C42"/>
    <w:rsid w:val="297F5466"/>
    <w:rsid w:val="298F4F7D"/>
    <w:rsid w:val="29A5570A"/>
    <w:rsid w:val="29A63C37"/>
    <w:rsid w:val="29B570DA"/>
    <w:rsid w:val="29D62BAC"/>
    <w:rsid w:val="29F00112"/>
    <w:rsid w:val="2A247DBB"/>
    <w:rsid w:val="2A353B5D"/>
    <w:rsid w:val="2A677CA8"/>
    <w:rsid w:val="2A697EC4"/>
    <w:rsid w:val="2A900FAD"/>
    <w:rsid w:val="2A9071FF"/>
    <w:rsid w:val="2A9C2D33"/>
    <w:rsid w:val="2AA119FC"/>
    <w:rsid w:val="2AE553C9"/>
    <w:rsid w:val="2AF27EBA"/>
    <w:rsid w:val="2AF7102C"/>
    <w:rsid w:val="2AFC0D9C"/>
    <w:rsid w:val="2B2226E2"/>
    <w:rsid w:val="2B45623B"/>
    <w:rsid w:val="2B794137"/>
    <w:rsid w:val="2B7F70A5"/>
    <w:rsid w:val="2B8C5C18"/>
    <w:rsid w:val="2B960845"/>
    <w:rsid w:val="2BB1742D"/>
    <w:rsid w:val="2BBF0C1C"/>
    <w:rsid w:val="2BC41327"/>
    <w:rsid w:val="2BC730F4"/>
    <w:rsid w:val="2BFA5278"/>
    <w:rsid w:val="2C005095"/>
    <w:rsid w:val="2C131E96"/>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430676"/>
    <w:rsid w:val="2D4B565F"/>
    <w:rsid w:val="2D69418A"/>
    <w:rsid w:val="2D9B2143"/>
    <w:rsid w:val="2D9E319D"/>
    <w:rsid w:val="2DAF47F9"/>
    <w:rsid w:val="2DB33930"/>
    <w:rsid w:val="2DB86843"/>
    <w:rsid w:val="2DBB0A37"/>
    <w:rsid w:val="2DE55AB4"/>
    <w:rsid w:val="2DE57862"/>
    <w:rsid w:val="2DED474D"/>
    <w:rsid w:val="2DFE6E37"/>
    <w:rsid w:val="2E1741F6"/>
    <w:rsid w:val="2E36630F"/>
    <w:rsid w:val="2E7D7A9A"/>
    <w:rsid w:val="2E823302"/>
    <w:rsid w:val="2EA25753"/>
    <w:rsid w:val="2EC102CF"/>
    <w:rsid w:val="2ED31DB0"/>
    <w:rsid w:val="2EDD0C2B"/>
    <w:rsid w:val="2F1F0B51"/>
    <w:rsid w:val="2F223C93"/>
    <w:rsid w:val="2F3445FD"/>
    <w:rsid w:val="2F535856"/>
    <w:rsid w:val="2F57653D"/>
    <w:rsid w:val="2F6B1FE9"/>
    <w:rsid w:val="2F762E67"/>
    <w:rsid w:val="2FAC4ADB"/>
    <w:rsid w:val="2FFE2E5D"/>
    <w:rsid w:val="301F52AD"/>
    <w:rsid w:val="302428C3"/>
    <w:rsid w:val="3034552F"/>
    <w:rsid w:val="30413E8E"/>
    <w:rsid w:val="304271ED"/>
    <w:rsid w:val="3075313F"/>
    <w:rsid w:val="30760C45"/>
    <w:rsid w:val="30963095"/>
    <w:rsid w:val="30A9101A"/>
    <w:rsid w:val="30AE4883"/>
    <w:rsid w:val="30F11D05"/>
    <w:rsid w:val="30F45B82"/>
    <w:rsid w:val="30FA3624"/>
    <w:rsid w:val="310426F5"/>
    <w:rsid w:val="311A5A74"/>
    <w:rsid w:val="312D57A8"/>
    <w:rsid w:val="312E5FEB"/>
    <w:rsid w:val="314A45AB"/>
    <w:rsid w:val="31927D00"/>
    <w:rsid w:val="31A6555A"/>
    <w:rsid w:val="31BE28A4"/>
    <w:rsid w:val="31C76D4C"/>
    <w:rsid w:val="31D356B0"/>
    <w:rsid w:val="31E00A6C"/>
    <w:rsid w:val="31F462C5"/>
    <w:rsid w:val="31FE21A5"/>
    <w:rsid w:val="32220E91"/>
    <w:rsid w:val="322A0611"/>
    <w:rsid w:val="32463916"/>
    <w:rsid w:val="324A23F5"/>
    <w:rsid w:val="326276D3"/>
    <w:rsid w:val="32851613"/>
    <w:rsid w:val="32954E27"/>
    <w:rsid w:val="32A47CEB"/>
    <w:rsid w:val="32BF7DFB"/>
    <w:rsid w:val="32C97752"/>
    <w:rsid w:val="32E1603D"/>
    <w:rsid w:val="32F02F31"/>
    <w:rsid w:val="33044C2E"/>
    <w:rsid w:val="331A7FAD"/>
    <w:rsid w:val="33323549"/>
    <w:rsid w:val="33751688"/>
    <w:rsid w:val="3381002D"/>
    <w:rsid w:val="338A7FAD"/>
    <w:rsid w:val="339C4E66"/>
    <w:rsid w:val="33B71CA0"/>
    <w:rsid w:val="33C57F19"/>
    <w:rsid w:val="33ED018B"/>
    <w:rsid w:val="33FB1B8D"/>
    <w:rsid w:val="34060532"/>
    <w:rsid w:val="34207846"/>
    <w:rsid w:val="34305F32"/>
    <w:rsid w:val="3434236D"/>
    <w:rsid w:val="34433534"/>
    <w:rsid w:val="34916467"/>
    <w:rsid w:val="349A75F8"/>
    <w:rsid w:val="34B232D3"/>
    <w:rsid w:val="34BD5AEB"/>
    <w:rsid w:val="34C46423"/>
    <w:rsid w:val="34EB7E53"/>
    <w:rsid w:val="34EE34A0"/>
    <w:rsid w:val="35156C7E"/>
    <w:rsid w:val="35213875"/>
    <w:rsid w:val="353A4937"/>
    <w:rsid w:val="353A66E5"/>
    <w:rsid w:val="353F5AA9"/>
    <w:rsid w:val="35586B6B"/>
    <w:rsid w:val="35675000"/>
    <w:rsid w:val="35861157"/>
    <w:rsid w:val="358838F4"/>
    <w:rsid w:val="35A3428A"/>
    <w:rsid w:val="35BE328B"/>
    <w:rsid w:val="35C30A55"/>
    <w:rsid w:val="35C661CB"/>
    <w:rsid w:val="35D07049"/>
    <w:rsid w:val="35E11256"/>
    <w:rsid w:val="35EF65E1"/>
    <w:rsid w:val="35F74A58"/>
    <w:rsid w:val="35FE5964"/>
    <w:rsid w:val="36034D29"/>
    <w:rsid w:val="3609300A"/>
    <w:rsid w:val="362C191E"/>
    <w:rsid w:val="365E5169"/>
    <w:rsid w:val="366D4BC8"/>
    <w:rsid w:val="366E760D"/>
    <w:rsid w:val="367B6FB5"/>
    <w:rsid w:val="369066FC"/>
    <w:rsid w:val="369334DC"/>
    <w:rsid w:val="36A75FFC"/>
    <w:rsid w:val="36AC7588"/>
    <w:rsid w:val="36C21C3F"/>
    <w:rsid w:val="36D33C63"/>
    <w:rsid w:val="36F318CB"/>
    <w:rsid w:val="37023232"/>
    <w:rsid w:val="372A42BA"/>
    <w:rsid w:val="375E2A17"/>
    <w:rsid w:val="377744E3"/>
    <w:rsid w:val="37847F8D"/>
    <w:rsid w:val="3795529C"/>
    <w:rsid w:val="379E11AD"/>
    <w:rsid w:val="37E42938"/>
    <w:rsid w:val="37F708BD"/>
    <w:rsid w:val="38082ACA"/>
    <w:rsid w:val="38242B87"/>
    <w:rsid w:val="38314519"/>
    <w:rsid w:val="38336D98"/>
    <w:rsid w:val="386C3059"/>
    <w:rsid w:val="3891486E"/>
    <w:rsid w:val="38E60960"/>
    <w:rsid w:val="38F512A1"/>
    <w:rsid w:val="39406294"/>
    <w:rsid w:val="39416F45"/>
    <w:rsid w:val="394A3E0E"/>
    <w:rsid w:val="394B1EE3"/>
    <w:rsid w:val="396B1563"/>
    <w:rsid w:val="396E1053"/>
    <w:rsid w:val="397321C6"/>
    <w:rsid w:val="399F7A55"/>
    <w:rsid w:val="39A4152E"/>
    <w:rsid w:val="39E3546E"/>
    <w:rsid w:val="3A257964"/>
    <w:rsid w:val="3A3A5061"/>
    <w:rsid w:val="3A3C6A5B"/>
    <w:rsid w:val="3A3D67D4"/>
    <w:rsid w:val="3A4678DA"/>
    <w:rsid w:val="3A4727AD"/>
    <w:rsid w:val="3A555D6F"/>
    <w:rsid w:val="3A571AE7"/>
    <w:rsid w:val="3A6F0BDF"/>
    <w:rsid w:val="3A8328DC"/>
    <w:rsid w:val="3A86417A"/>
    <w:rsid w:val="3A8D375B"/>
    <w:rsid w:val="3AAA60BB"/>
    <w:rsid w:val="3AD84A09"/>
    <w:rsid w:val="3AE214AE"/>
    <w:rsid w:val="3B0D21A6"/>
    <w:rsid w:val="3B124BB9"/>
    <w:rsid w:val="3B2220F5"/>
    <w:rsid w:val="3B2319C9"/>
    <w:rsid w:val="3B247C1B"/>
    <w:rsid w:val="3B5878C5"/>
    <w:rsid w:val="3B7A5A8D"/>
    <w:rsid w:val="3B903503"/>
    <w:rsid w:val="3BA05290"/>
    <w:rsid w:val="3BB0325D"/>
    <w:rsid w:val="3C045EE9"/>
    <w:rsid w:val="3C092149"/>
    <w:rsid w:val="3C2459F9"/>
    <w:rsid w:val="3C3A2B60"/>
    <w:rsid w:val="3C4B567C"/>
    <w:rsid w:val="3C6C6886"/>
    <w:rsid w:val="3C710A9B"/>
    <w:rsid w:val="3C736028"/>
    <w:rsid w:val="3C740B22"/>
    <w:rsid w:val="3C860462"/>
    <w:rsid w:val="3C942B7F"/>
    <w:rsid w:val="3C9613C2"/>
    <w:rsid w:val="3CA37266"/>
    <w:rsid w:val="3CA803D8"/>
    <w:rsid w:val="3CA8662A"/>
    <w:rsid w:val="3CAB3899"/>
    <w:rsid w:val="3CE75344"/>
    <w:rsid w:val="3CF4361D"/>
    <w:rsid w:val="3CF76527"/>
    <w:rsid w:val="3D2F0AF9"/>
    <w:rsid w:val="3D315030"/>
    <w:rsid w:val="3D385C00"/>
    <w:rsid w:val="3D3A1978"/>
    <w:rsid w:val="3D463DBE"/>
    <w:rsid w:val="3D4B05F7"/>
    <w:rsid w:val="3D536F54"/>
    <w:rsid w:val="3D7F365D"/>
    <w:rsid w:val="3D80667C"/>
    <w:rsid w:val="3D8F1598"/>
    <w:rsid w:val="3D931DA2"/>
    <w:rsid w:val="3D934BE4"/>
    <w:rsid w:val="3D995F73"/>
    <w:rsid w:val="3DA212CB"/>
    <w:rsid w:val="3DE2791A"/>
    <w:rsid w:val="3DF02037"/>
    <w:rsid w:val="3DFD7B27"/>
    <w:rsid w:val="3E027FBC"/>
    <w:rsid w:val="3E0B50C2"/>
    <w:rsid w:val="3E0E4BB3"/>
    <w:rsid w:val="3E22515D"/>
    <w:rsid w:val="3E263CAA"/>
    <w:rsid w:val="3E396CAE"/>
    <w:rsid w:val="3E506F79"/>
    <w:rsid w:val="3E614CE2"/>
    <w:rsid w:val="3E78202C"/>
    <w:rsid w:val="3E7D047A"/>
    <w:rsid w:val="3EA62247"/>
    <w:rsid w:val="3EC82FB3"/>
    <w:rsid w:val="3ED05615"/>
    <w:rsid w:val="3F03223E"/>
    <w:rsid w:val="3F0F473E"/>
    <w:rsid w:val="3F250AB4"/>
    <w:rsid w:val="3F2F6B8F"/>
    <w:rsid w:val="3F367F1D"/>
    <w:rsid w:val="3F6251B6"/>
    <w:rsid w:val="3F7E3CCE"/>
    <w:rsid w:val="3F9115F7"/>
    <w:rsid w:val="3FB3156E"/>
    <w:rsid w:val="3FB53538"/>
    <w:rsid w:val="3FB65AD9"/>
    <w:rsid w:val="3FBA0B4E"/>
    <w:rsid w:val="3FD339BE"/>
    <w:rsid w:val="3FE05723"/>
    <w:rsid w:val="40185875"/>
    <w:rsid w:val="402C0554"/>
    <w:rsid w:val="403D6978"/>
    <w:rsid w:val="40452C81"/>
    <w:rsid w:val="40582115"/>
    <w:rsid w:val="405C776F"/>
    <w:rsid w:val="405D1A2A"/>
    <w:rsid w:val="405E0525"/>
    <w:rsid w:val="40646D0C"/>
    <w:rsid w:val="40955117"/>
    <w:rsid w:val="40AD420F"/>
    <w:rsid w:val="40E4515D"/>
    <w:rsid w:val="410762AC"/>
    <w:rsid w:val="41151DB4"/>
    <w:rsid w:val="41601F71"/>
    <w:rsid w:val="41780CC1"/>
    <w:rsid w:val="41932D5F"/>
    <w:rsid w:val="41A05B22"/>
    <w:rsid w:val="41AF2209"/>
    <w:rsid w:val="41C95079"/>
    <w:rsid w:val="41D103D1"/>
    <w:rsid w:val="41D61543"/>
    <w:rsid w:val="41EA3241"/>
    <w:rsid w:val="41FF4F3E"/>
    <w:rsid w:val="420A6C99"/>
    <w:rsid w:val="422A188F"/>
    <w:rsid w:val="42312C1E"/>
    <w:rsid w:val="423408FB"/>
    <w:rsid w:val="42415557"/>
    <w:rsid w:val="42611755"/>
    <w:rsid w:val="42925DB2"/>
    <w:rsid w:val="42B52A5A"/>
    <w:rsid w:val="42C121F4"/>
    <w:rsid w:val="42EB4309"/>
    <w:rsid w:val="42F16099"/>
    <w:rsid w:val="433429C6"/>
    <w:rsid w:val="435C016E"/>
    <w:rsid w:val="437159C8"/>
    <w:rsid w:val="43AE09CA"/>
    <w:rsid w:val="43B91888"/>
    <w:rsid w:val="43C95804"/>
    <w:rsid w:val="4403491A"/>
    <w:rsid w:val="440920A4"/>
    <w:rsid w:val="445826D6"/>
    <w:rsid w:val="44703ED1"/>
    <w:rsid w:val="447F4114"/>
    <w:rsid w:val="448917EC"/>
    <w:rsid w:val="44A2710B"/>
    <w:rsid w:val="44BE2144"/>
    <w:rsid w:val="44C1472D"/>
    <w:rsid w:val="44CD30D2"/>
    <w:rsid w:val="44D3620E"/>
    <w:rsid w:val="44E4041B"/>
    <w:rsid w:val="44FC7513"/>
    <w:rsid w:val="4504461A"/>
    <w:rsid w:val="450D39DC"/>
    <w:rsid w:val="45141548"/>
    <w:rsid w:val="452C0D9A"/>
    <w:rsid w:val="452F78E8"/>
    <w:rsid w:val="45686B2D"/>
    <w:rsid w:val="457E78C3"/>
    <w:rsid w:val="457F0202"/>
    <w:rsid w:val="457F1EF2"/>
    <w:rsid w:val="45806396"/>
    <w:rsid w:val="45846C1E"/>
    <w:rsid w:val="45DB3EF9"/>
    <w:rsid w:val="45E85CE9"/>
    <w:rsid w:val="45FD1795"/>
    <w:rsid w:val="46032B23"/>
    <w:rsid w:val="46317690"/>
    <w:rsid w:val="463A1ECC"/>
    <w:rsid w:val="46A77952"/>
    <w:rsid w:val="46B81CA9"/>
    <w:rsid w:val="46BC1650"/>
    <w:rsid w:val="46E62229"/>
    <w:rsid w:val="46ED1809"/>
    <w:rsid w:val="46FA3F26"/>
    <w:rsid w:val="47024B89"/>
    <w:rsid w:val="470C6541"/>
    <w:rsid w:val="47134FE8"/>
    <w:rsid w:val="47266AC9"/>
    <w:rsid w:val="47811F51"/>
    <w:rsid w:val="47BD00A0"/>
    <w:rsid w:val="47C84024"/>
    <w:rsid w:val="47EFCFA3"/>
    <w:rsid w:val="47F40975"/>
    <w:rsid w:val="47F60B91"/>
    <w:rsid w:val="48054931"/>
    <w:rsid w:val="482F5E51"/>
    <w:rsid w:val="483B0352"/>
    <w:rsid w:val="48671147"/>
    <w:rsid w:val="486758C4"/>
    <w:rsid w:val="487C41DD"/>
    <w:rsid w:val="488C2ACF"/>
    <w:rsid w:val="488F7C16"/>
    <w:rsid w:val="48931F3C"/>
    <w:rsid w:val="48A56114"/>
    <w:rsid w:val="48AA54D8"/>
    <w:rsid w:val="48D32C81"/>
    <w:rsid w:val="48E7672C"/>
    <w:rsid w:val="4901159C"/>
    <w:rsid w:val="49153299"/>
    <w:rsid w:val="49180694"/>
    <w:rsid w:val="495B760C"/>
    <w:rsid w:val="49677321"/>
    <w:rsid w:val="4974292D"/>
    <w:rsid w:val="498B5C77"/>
    <w:rsid w:val="49B27967"/>
    <w:rsid w:val="49CA6C64"/>
    <w:rsid w:val="49DE7B2F"/>
    <w:rsid w:val="49DF0B35"/>
    <w:rsid w:val="49EF5898"/>
    <w:rsid w:val="4A0D488A"/>
    <w:rsid w:val="4A0D5D1E"/>
    <w:rsid w:val="4A2A75AB"/>
    <w:rsid w:val="4A3855BE"/>
    <w:rsid w:val="4A4554B8"/>
    <w:rsid w:val="4A5E5DDF"/>
    <w:rsid w:val="4A7F6F7D"/>
    <w:rsid w:val="4A9511DA"/>
    <w:rsid w:val="4AC705C3"/>
    <w:rsid w:val="4ACF1226"/>
    <w:rsid w:val="4AD4683C"/>
    <w:rsid w:val="4AD60806"/>
    <w:rsid w:val="4AE253FD"/>
    <w:rsid w:val="4AF54F29"/>
    <w:rsid w:val="4B007631"/>
    <w:rsid w:val="4B232DA2"/>
    <w:rsid w:val="4B296B88"/>
    <w:rsid w:val="4B4614E8"/>
    <w:rsid w:val="4B5670C1"/>
    <w:rsid w:val="4B9A5CD8"/>
    <w:rsid w:val="4BA72908"/>
    <w:rsid w:val="4BCD6803"/>
    <w:rsid w:val="4C1E1B11"/>
    <w:rsid w:val="4C352DFF"/>
    <w:rsid w:val="4C5424D5"/>
    <w:rsid w:val="4C63431C"/>
    <w:rsid w:val="4C637F6F"/>
    <w:rsid w:val="4C7D7357"/>
    <w:rsid w:val="4C7E73A7"/>
    <w:rsid w:val="4C891FD4"/>
    <w:rsid w:val="4C982217"/>
    <w:rsid w:val="4CA010CC"/>
    <w:rsid w:val="4CEC2563"/>
    <w:rsid w:val="4CF17B79"/>
    <w:rsid w:val="4D0072CE"/>
    <w:rsid w:val="4D0C636D"/>
    <w:rsid w:val="4D1D67F6"/>
    <w:rsid w:val="4D343C52"/>
    <w:rsid w:val="4D562C80"/>
    <w:rsid w:val="4D6640C3"/>
    <w:rsid w:val="4D6B3488"/>
    <w:rsid w:val="4D7560B4"/>
    <w:rsid w:val="4D77225E"/>
    <w:rsid w:val="4D7D31BB"/>
    <w:rsid w:val="4D930C30"/>
    <w:rsid w:val="4D9E721C"/>
    <w:rsid w:val="4DAB1AD6"/>
    <w:rsid w:val="4E06707A"/>
    <w:rsid w:val="4E5C54C6"/>
    <w:rsid w:val="4E661EA1"/>
    <w:rsid w:val="4ECC5774"/>
    <w:rsid w:val="4EE73FDF"/>
    <w:rsid w:val="4EEB4A7F"/>
    <w:rsid w:val="4F0B7849"/>
    <w:rsid w:val="4F1A44F5"/>
    <w:rsid w:val="4F3A01B4"/>
    <w:rsid w:val="4F3A75B6"/>
    <w:rsid w:val="4F561F16"/>
    <w:rsid w:val="4F585C8E"/>
    <w:rsid w:val="4F5876FA"/>
    <w:rsid w:val="4F6208BA"/>
    <w:rsid w:val="4F7A5C04"/>
    <w:rsid w:val="4F8C3B89"/>
    <w:rsid w:val="4F936CC6"/>
    <w:rsid w:val="4F9812E6"/>
    <w:rsid w:val="50137E07"/>
    <w:rsid w:val="501D6F9B"/>
    <w:rsid w:val="501E0C85"/>
    <w:rsid w:val="50402E5B"/>
    <w:rsid w:val="50760AC1"/>
    <w:rsid w:val="507C44FD"/>
    <w:rsid w:val="509314F5"/>
    <w:rsid w:val="50B45146"/>
    <w:rsid w:val="50B91612"/>
    <w:rsid w:val="50C57353"/>
    <w:rsid w:val="50EC2B32"/>
    <w:rsid w:val="50FD73A0"/>
    <w:rsid w:val="51037E7B"/>
    <w:rsid w:val="511676E7"/>
    <w:rsid w:val="51625CF9"/>
    <w:rsid w:val="51890380"/>
    <w:rsid w:val="51932FAD"/>
    <w:rsid w:val="51A46F68"/>
    <w:rsid w:val="51AB479B"/>
    <w:rsid w:val="51F003FF"/>
    <w:rsid w:val="52036385"/>
    <w:rsid w:val="522602C5"/>
    <w:rsid w:val="523227C6"/>
    <w:rsid w:val="52376968"/>
    <w:rsid w:val="52662470"/>
    <w:rsid w:val="5268268C"/>
    <w:rsid w:val="527252B8"/>
    <w:rsid w:val="527E1EAF"/>
    <w:rsid w:val="529945F3"/>
    <w:rsid w:val="52B551A5"/>
    <w:rsid w:val="52BB0A0D"/>
    <w:rsid w:val="52C13B4A"/>
    <w:rsid w:val="52D7511B"/>
    <w:rsid w:val="52DD4E28"/>
    <w:rsid w:val="52DE1FCB"/>
    <w:rsid w:val="532A1B08"/>
    <w:rsid w:val="532F4F57"/>
    <w:rsid w:val="53400F13"/>
    <w:rsid w:val="535844AE"/>
    <w:rsid w:val="53603363"/>
    <w:rsid w:val="536852EA"/>
    <w:rsid w:val="5386726D"/>
    <w:rsid w:val="538961A4"/>
    <w:rsid w:val="53A45945"/>
    <w:rsid w:val="53A6324B"/>
    <w:rsid w:val="53CB1124"/>
    <w:rsid w:val="53EE6BC1"/>
    <w:rsid w:val="540445A3"/>
    <w:rsid w:val="54104D89"/>
    <w:rsid w:val="5428123A"/>
    <w:rsid w:val="54297BF9"/>
    <w:rsid w:val="54324CFF"/>
    <w:rsid w:val="544B176B"/>
    <w:rsid w:val="54776BB6"/>
    <w:rsid w:val="547846DC"/>
    <w:rsid w:val="5479292E"/>
    <w:rsid w:val="54915D12"/>
    <w:rsid w:val="549F7EBB"/>
    <w:rsid w:val="54BB7C66"/>
    <w:rsid w:val="54C17E31"/>
    <w:rsid w:val="54FA3343"/>
    <w:rsid w:val="551654C9"/>
    <w:rsid w:val="55264138"/>
    <w:rsid w:val="553B5952"/>
    <w:rsid w:val="553D7E00"/>
    <w:rsid w:val="554B4D08"/>
    <w:rsid w:val="55515659"/>
    <w:rsid w:val="5566710A"/>
    <w:rsid w:val="55853555"/>
    <w:rsid w:val="558E2409"/>
    <w:rsid w:val="55B160F8"/>
    <w:rsid w:val="55BB6615"/>
    <w:rsid w:val="55E42029"/>
    <w:rsid w:val="55F81F79"/>
    <w:rsid w:val="56010E2D"/>
    <w:rsid w:val="560721BC"/>
    <w:rsid w:val="56293EE0"/>
    <w:rsid w:val="56450EDB"/>
    <w:rsid w:val="568E6439"/>
    <w:rsid w:val="56900687"/>
    <w:rsid w:val="56E12A0D"/>
    <w:rsid w:val="56E322E1"/>
    <w:rsid w:val="56EE0C86"/>
    <w:rsid w:val="56F02C50"/>
    <w:rsid w:val="56FA587C"/>
    <w:rsid w:val="572B18A4"/>
    <w:rsid w:val="573E39BB"/>
    <w:rsid w:val="57596A47"/>
    <w:rsid w:val="576176AA"/>
    <w:rsid w:val="57822B16"/>
    <w:rsid w:val="579B7990"/>
    <w:rsid w:val="579E26AC"/>
    <w:rsid w:val="57A53A3A"/>
    <w:rsid w:val="57AC6B77"/>
    <w:rsid w:val="57AF0E5C"/>
    <w:rsid w:val="57CA16F3"/>
    <w:rsid w:val="57E82F61"/>
    <w:rsid w:val="58191461"/>
    <w:rsid w:val="581E3FA7"/>
    <w:rsid w:val="583D33C0"/>
    <w:rsid w:val="585F008D"/>
    <w:rsid w:val="586438F5"/>
    <w:rsid w:val="587F428B"/>
    <w:rsid w:val="587F6039"/>
    <w:rsid w:val="58A7742D"/>
    <w:rsid w:val="58D17250"/>
    <w:rsid w:val="58DF2F7C"/>
    <w:rsid w:val="58F5454D"/>
    <w:rsid w:val="58F76517"/>
    <w:rsid w:val="5903310E"/>
    <w:rsid w:val="590B5B1F"/>
    <w:rsid w:val="590D1897"/>
    <w:rsid w:val="5919401E"/>
    <w:rsid w:val="591E1BC3"/>
    <w:rsid w:val="5957546F"/>
    <w:rsid w:val="596671F9"/>
    <w:rsid w:val="59691FED"/>
    <w:rsid w:val="597162CA"/>
    <w:rsid w:val="597638E0"/>
    <w:rsid w:val="597B2CC1"/>
    <w:rsid w:val="598C3730"/>
    <w:rsid w:val="59914276"/>
    <w:rsid w:val="59BD32BD"/>
    <w:rsid w:val="59C56616"/>
    <w:rsid w:val="59D33627"/>
    <w:rsid w:val="59D46859"/>
    <w:rsid w:val="59E22D24"/>
    <w:rsid w:val="5A094F9B"/>
    <w:rsid w:val="5A19111B"/>
    <w:rsid w:val="5A276988"/>
    <w:rsid w:val="5A2C317E"/>
    <w:rsid w:val="5A3C190B"/>
    <w:rsid w:val="5A5B0D0C"/>
    <w:rsid w:val="5A5D23AA"/>
    <w:rsid w:val="5A61633E"/>
    <w:rsid w:val="5A8C2C8F"/>
    <w:rsid w:val="5A8D7F61"/>
    <w:rsid w:val="5A981634"/>
    <w:rsid w:val="5AA1498D"/>
    <w:rsid w:val="5AD54636"/>
    <w:rsid w:val="5AD54E03"/>
    <w:rsid w:val="5AE91E90"/>
    <w:rsid w:val="5AF26F96"/>
    <w:rsid w:val="5B0B3659"/>
    <w:rsid w:val="5B3E2BC0"/>
    <w:rsid w:val="5B6360E6"/>
    <w:rsid w:val="5B8A3673"/>
    <w:rsid w:val="5B977B3E"/>
    <w:rsid w:val="5B9B5880"/>
    <w:rsid w:val="5B9E0ECC"/>
    <w:rsid w:val="5BA54009"/>
    <w:rsid w:val="5BCF63A9"/>
    <w:rsid w:val="5C050F4B"/>
    <w:rsid w:val="5C2C4F2D"/>
    <w:rsid w:val="5C5679F9"/>
    <w:rsid w:val="5C700ABB"/>
    <w:rsid w:val="5C7120A1"/>
    <w:rsid w:val="5C797243"/>
    <w:rsid w:val="5C806824"/>
    <w:rsid w:val="5CB52971"/>
    <w:rsid w:val="5CD32DF8"/>
    <w:rsid w:val="5CD4149F"/>
    <w:rsid w:val="5CF323B1"/>
    <w:rsid w:val="5CFD7E74"/>
    <w:rsid w:val="5D2B343B"/>
    <w:rsid w:val="5D4D6706"/>
    <w:rsid w:val="5D63417B"/>
    <w:rsid w:val="5D731EE5"/>
    <w:rsid w:val="5D775E79"/>
    <w:rsid w:val="5D8B36D2"/>
    <w:rsid w:val="5D8F4F70"/>
    <w:rsid w:val="5D924A61"/>
    <w:rsid w:val="5DA327CA"/>
    <w:rsid w:val="5DAF116F"/>
    <w:rsid w:val="5DB449D7"/>
    <w:rsid w:val="5DD30284"/>
    <w:rsid w:val="5E162F9C"/>
    <w:rsid w:val="5E4C10B3"/>
    <w:rsid w:val="5E4C4C10"/>
    <w:rsid w:val="5E5166CA"/>
    <w:rsid w:val="5E5B30A5"/>
    <w:rsid w:val="5E6957C1"/>
    <w:rsid w:val="5E8545C5"/>
    <w:rsid w:val="5E875C48"/>
    <w:rsid w:val="5EC7698C"/>
    <w:rsid w:val="5ECB7E0E"/>
    <w:rsid w:val="5EE70977"/>
    <w:rsid w:val="5EF84D97"/>
    <w:rsid w:val="5F17346F"/>
    <w:rsid w:val="5F35497D"/>
    <w:rsid w:val="5F5A270B"/>
    <w:rsid w:val="5F661984"/>
    <w:rsid w:val="5FAB70A8"/>
    <w:rsid w:val="5FD217D5"/>
    <w:rsid w:val="5FFC0099"/>
    <w:rsid w:val="602045A6"/>
    <w:rsid w:val="60310561"/>
    <w:rsid w:val="60365B77"/>
    <w:rsid w:val="603C0CB4"/>
    <w:rsid w:val="605D1356"/>
    <w:rsid w:val="608B78E2"/>
    <w:rsid w:val="609B1E7E"/>
    <w:rsid w:val="60B85F03"/>
    <w:rsid w:val="60DC361E"/>
    <w:rsid w:val="60F33A68"/>
    <w:rsid w:val="61016185"/>
    <w:rsid w:val="6110461A"/>
    <w:rsid w:val="612956DC"/>
    <w:rsid w:val="612A4D6D"/>
    <w:rsid w:val="613227E3"/>
    <w:rsid w:val="613B24C6"/>
    <w:rsid w:val="614C4F26"/>
    <w:rsid w:val="615564D1"/>
    <w:rsid w:val="616650DA"/>
    <w:rsid w:val="616933C9"/>
    <w:rsid w:val="61A15272"/>
    <w:rsid w:val="61A20385"/>
    <w:rsid w:val="61B74A96"/>
    <w:rsid w:val="61C4171F"/>
    <w:rsid w:val="61DD30D7"/>
    <w:rsid w:val="61F93300"/>
    <w:rsid w:val="61F96E5C"/>
    <w:rsid w:val="621D48D8"/>
    <w:rsid w:val="622B7232"/>
    <w:rsid w:val="624A77E6"/>
    <w:rsid w:val="62854B94"/>
    <w:rsid w:val="62B114E5"/>
    <w:rsid w:val="62B64D4D"/>
    <w:rsid w:val="62F80177"/>
    <w:rsid w:val="631E435E"/>
    <w:rsid w:val="631F6D97"/>
    <w:rsid w:val="63213CF4"/>
    <w:rsid w:val="633345F0"/>
    <w:rsid w:val="633D2D9C"/>
    <w:rsid w:val="63500CFE"/>
    <w:rsid w:val="63AC7EFE"/>
    <w:rsid w:val="63B079EF"/>
    <w:rsid w:val="63B86816"/>
    <w:rsid w:val="63C94F54"/>
    <w:rsid w:val="63D86F45"/>
    <w:rsid w:val="63F60FCB"/>
    <w:rsid w:val="6420377A"/>
    <w:rsid w:val="643E149E"/>
    <w:rsid w:val="644606A8"/>
    <w:rsid w:val="644F5459"/>
    <w:rsid w:val="6450412D"/>
    <w:rsid w:val="645F0EE1"/>
    <w:rsid w:val="64602371"/>
    <w:rsid w:val="648570CD"/>
    <w:rsid w:val="64961430"/>
    <w:rsid w:val="64994970"/>
    <w:rsid w:val="649E1F3D"/>
    <w:rsid w:val="64B928D3"/>
    <w:rsid w:val="64CA053B"/>
    <w:rsid w:val="64CA0F84"/>
    <w:rsid w:val="64CA31F0"/>
    <w:rsid w:val="64D771FD"/>
    <w:rsid w:val="64D911C7"/>
    <w:rsid w:val="64DA367B"/>
    <w:rsid w:val="64DD4813"/>
    <w:rsid w:val="64E14962"/>
    <w:rsid w:val="64F61D79"/>
    <w:rsid w:val="65241F3A"/>
    <w:rsid w:val="65282833"/>
    <w:rsid w:val="652E26F9"/>
    <w:rsid w:val="65366619"/>
    <w:rsid w:val="65416DD3"/>
    <w:rsid w:val="65727C4B"/>
    <w:rsid w:val="658554FB"/>
    <w:rsid w:val="65883BF7"/>
    <w:rsid w:val="658B6DC7"/>
    <w:rsid w:val="659A0956"/>
    <w:rsid w:val="659E34C7"/>
    <w:rsid w:val="659F7D1B"/>
    <w:rsid w:val="65AA3925"/>
    <w:rsid w:val="65B01973"/>
    <w:rsid w:val="65C94D98"/>
    <w:rsid w:val="65E676F8"/>
    <w:rsid w:val="6603474E"/>
    <w:rsid w:val="660B3602"/>
    <w:rsid w:val="660C6F8D"/>
    <w:rsid w:val="661C75BD"/>
    <w:rsid w:val="662D5327"/>
    <w:rsid w:val="66560D21"/>
    <w:rsid w:val="667C62AE"/>
    <w:rsid w:val="668F2A3A"/>
    <w:rsid w:val="66903B07"/>
    <w:rsid w:val="669058B5"/>
    <w:rsid w:val="66A23F66"/>
    <w:rsid w:val="66AD4998"/>
    <w:rsid w:val="66B5531C"/>
    <w:rsid w:val="66BA7997"/>
    <w:rsid w:val="66E14363"/>
    <w:rsid w:val="66E16111"/>
    <w:rsid w:val="670A38BA"/>
    <w:rsid w:val="672524A2"/>
    <w:rsid w:val="673301D2"/>
    <w:rsid w:val="673B3A73"/>
    <w:rsid w:val="676A395C"/>
    <w:rsid w:val="67713939"/>
    <w:rsid w:val="67CD5013"/>
    <w:rsid w:val="67DD2D7C"/>
    <w:rsid w:val="680F19A3"/>
    <w:rsid w:val="68420E31"/>
    <w:rsid w:val="684C2884"/>
    <w:rsid w:val="68662D72"/>
    <w:rsid w:val="68A33BCF"/>
    <w:rsid w:val="68AB7651"/>
    <w:rsid w:val="68B61551"/>
    <w:rsid w:val="68D60C2D"/>
    <w:rsid w:val="68D90E35"/>
    <w:rsid w:val="690802CD"/>
    <w:rsid w:val="690C1B6B"/>
    <w:rsid w:val="692F585A"/>
    <w:rsid w:val="6931512E"/>
    <w:rsid w:val="699FA0B1"/>
    <w:rsid w:val="69EE74C3"/>
    <w:rsid w:val="69FF3DA6"/>
    <w:rsid w:val="6A0A597F"/>
    <w:rsid w:val="6A250690"/>
    <w:rsid w:val="6A5938E3"/>
    <w:rsid w:val="6A5C267E"/>
    <w:rsid w:val="6A617C95"/>
    <w:rsid w:val="6A8169BA"/>
    <w:rsid w:val="6A9516EC"/>
    <w:rsid w:val="6AA803E7"/>
    <w:rsid w:val="6AAF57D6"/>
    <w:rsid w:val="6AB73D58"/>
    <w:rsid w:val="6AD14E1A"/>
    <w:rsid w:val="6AE90161"/>
    <w:rsid w:val="6B014ED0"/>
    <w:rsid w:val="6B054AC4"/>
    <w:rsid w:val="6B2947D1"/>
    <w:rsid w:val="6B4F5D3F"/>
    <w:rsid w:val="6B6413BD"/>
    <w:rsid w:val="6B7E03D2"/>
    <w:rsid w:val="6B824366"/>
    <w:rsid w:val="6B865960"/>
    <w:rsid w:val="6BA5042F"/>
    <w:rsid w:val="6BB87D88"/>
    <w:rsid w:val="6BD60F99"/>
    <w:rsid w:val="6BE26BB3"/>
    <w:rsid w:val="6BF30DC0"/>
    <w:rsid w:val="6BF95CAB"/>
    <w:rsid w:val="6BFF0DBE"/>
    <w:rsid w:val="6BFF8A38"/>
    <w:rsid w:val="6C0A54C0"/>
    <w:rsid w:val="6C256AA0"/>
    <w:rsid w:val="6C4B29AA"/>
    <w:rsid w:val="6C507FC1"/>
    <w:rsid w:val="6C702411"/>
    <w:rsid w:val="6C7C2B64"/>
    <w:rsid w:val="6C7F2654"/>
    <w:rsid w:val="6CBD73A9"/>
    <w:rsid w:val="6D0D3798"/>
    <w:rsid w:val="6D360A56"/>
    <w:rsid w:val="6D746AAD"/>
    <w:rsid w:val="6D79369D"/>
    <w:rsid w:val="6D866288"/>
    <w:rsid w:val="6DA47CF5"/>
    <w:rsid w:val="6DA5433C"/>
    <w:rsid w:val="6DC34565"/>
    <w:rsid w:val="6DE210EC"/>
    <w:rsid w:val="6E0A1704"/>
    <w:rsid w:val="6E113780"/>
    <w:rsid w:val="6E11552E"/>
    <w:rsid w:val="6E315BD0"/>
    <w:rsid w:val="6E3631E6"/>
    <w:rsid w:val="6E495542"/>
    <w:rsid w:val="6E510B61"/>
    <w:rsid w:val="6E70494A"/>
    <w:rsid w:val="6E7855AD"/>
    <w:rsid w:val="6E7D42EE"/>
    <w:rsid w:val="6ECD3B4B"/>
    <w:rsid w:val="6ED24CBD"/>
    <w:rsid w:val="6ED26B2E"/>
    <w:rsid w:val="6EF70BC7"/>
    <w:rsid w:val="6EF94940"/>
    <w:rsid w:val="6F03756C"/>
    <w:rsid w:val="6F062BB9"/>
    <w:rsid w:val="6F0C1D3D"/>
    <w:rsid w:val="6F5558EE"/>
    <w:rsid w:val="6F751AEC"/>
    <w:rsid w:val="6F7B1AEF"/>
    <w:rsid w:val="6F8C57B4"/>
    <w:rsid w:val="6F997ED1"/>
    <w:rsid w:val="6FAA5C3A"/>
    <w:rsid w:val="6FB72105"/>
    <w:rsid w:val="6FBA7D43"/>
    <w:rsid w:val="6FC565D0"/>
    <w:rsid w:val="6FEF189F"/>
    <w:rsid w:val="703025E3"/>
    <w:rsid w:val="703379DD"/>
    <w:rsid w:val="703D260A"/>
    <w:rsid w:val="707216B3"/>
    <w:rsid w:val="708C533F"/>
    <w:rsid w:val="709A7A5C"/>
    <w:rsid w:val="70A64653"/>
    <w:rsid w:val="70B52AE8"/>
    <w:rsid w:val="70B7060E"/>
    <w:rsid w:val="70BC3E77"/>
    <w:rsid w:val="70F3716D"/>
    <w:rsid w:val="70F829D5"/>
    <w:rsid w:val="711A1966"/>
    <w:rsid w:val="711C7DEE"/>
    <w:rsid w:val="712612F0"/>
    <w:rsid w:val="715A543E"/>
    <w:rsid w:val="71A14E1B"/>
    <w:rsid w:val="71A87053"/>
    <w:rsid w:val="71B132B0"/>
    <w:rsid w:val="71BB5EDC"/>
    <w:rsid w:val="71CA611F"/>
    <w:rsid w:val="71CB5851"/>
    <w:rsid w:val="72101EA0"/>
    <w:rsid w:val="7218332F"/>
    <w:rsid w:val="72322114"/>
    <w:rsid w:val="724F1FEB"/>
    <w:rsid w:val="72757DB1"/>
    <w:rsid w:val="72783DCD"/>
    <w:rsid w:val="727E484F"/>
    <w:rsid w:val="72842772"/>
    <w:rsid w:val="728F462D"/>
    <w:rsid w:val="729B7F48"/>
    <w:rsid w:val="72AE77EF"/>
    <w:rsid w:val="72B017B9"/>
    <w:rsid w:val="72BB1F0C"/>
    <w:rsid w:val="72D1172F"/>
    <w:rsid w:val="72F316A6"/>
    <w:rsid w:val="73020FF3"/>
    <w:rsid w:val="73267CCD"/>
    <w:rsid w:val="73685BF0"/>
    <w:rsid w:val="739048A5"/>
    <w:rsid w:val="73B21B10"/>
    <w:rsid w:val="73B862A1"/>
    <w:rsid w:val="73B93EE5"/>
    <w:rsid w:val="73BC5F3C"/>
    <w:rsid w:val="73E01C2A"/>
    <w:rsid w:val="73E86D31"/>
    <w:rsid w:val="73FB2F08"/>
    <w:rsid w:val="74312486"/>
    <w:rsid w:val="745F28C4"/>
    <w:rsid w:val="74634609"/>
    <w:rsid w:val="747C78F7"/>
    <w:rsid w:val="747F7695"/>
    <w:rsid w:val="7483115A"/>
    <w:rsid w:val="749B0247"/>
    <w:rsid w:val="74A964C0"/>
    <w:rsid w:val="74AB5D69"/>
    <w:rsid w:val="74CE5F27"/>
    <w:rsid w:val="74DF6386"/>
    <w:rsid w:val="750A2372"/>
    <w:rsid w:val="750E6C6B"/>
    <w:rsid w:val="75324707"/>
    <w:rsid w:val="753D283B"/>
    <w:rsid w:val="756E14B8"/>
    <w:rsid w:val="75864A53"/>
    <w:rsid w:val="75CF06D9"/>
    <w:rsid w:val="75D1787A"/>
    <w:rsid w:val="75DF032D"/>
    <w:rsid w:val="75FC2F67"/>
    <w:rsid w:val="760140DA"/>
    <w:rsid w:val="76045978"/>
    <w:rsid w:val="760F4A49"/>
    <w:rsid w:val="76133B2A"/>
    <w:rsid w:val="76530DD9"/>
    <w:rsid w:val="767A350B"/>
    <w:rsid w:val="76A77C3C"/>
    <w:rsid w:val="77083846"/>
    <w:rsid w:val="775A6197"/>
    <w:rsid w:val="7789082B"/>
    <w:rsid w:val="779A2861"/>
    <w:rsid w:val="77BD0907"/>
    <w:rsid w:val="77DE0B76"/>
    <w:rsid w:val="77F205C7"/>
    <w:rsid w:val="78120820"/>
    <w:rsid w:val="78126A72"/>
    <w:rsid w:val="781400F4"/>
    <w:rsid w:val="78144598"/>
    <w:rsid w:val="783B1B25"/>
    <w:rsid w:val="783E6762"/>
    <w:rsid w:val="785610A2"/>
    <w:rsid w:val="78615304"/>
    <w:rsid w:val="78840C72"/>
    <w:rsid w:val="789B25C4"/>
    <w:rsid w:val="78D76F87"/>
    <w:rsid w:val="78E21FA1"/>
    <w:rsid w:val="78F148D9"/>
    <w:rsid w:val="78F357D1"/>
    <w:rsid w:val="78FF6FF6"/>
    <w:rsid w:val="79226841"/>
    <w:rsid w:val="793F73F3"/>
    <w:rsid w:val="794B223C"/>
    <w:rsid w:val="79752E15"/>
    <w:rsid w:val="7999158E"/>
    <w:rsid w:val="79C63670"/>
    <w:rsid w:val="79C75A4A"/>
    <w:rsid w:val="79D51B05"/>
    <w:rsid w:val="79F71A7C"/>
    <w:rsid w:val="7A08012D"/>
    <w:rsid w:val="7A0F3269"/>
    <w:rsid w:val="7A1B6D05"/>
    <w:rsid w:val="7A1E0906"/>
    <w:rsid w:val="7A41719B"/>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0C77A9"/>
    <w:rsid w:val="7B26FDEF"/>
    <w:rsid w:val="7B3D416D"/>
    <w:rsid w:val="7B450F0D"/>
    <w:rsid w:val="7B475882"/>
    <w:rsid w:val="7B7F6999"/>
    <w:rsid w:val="7B8B5094"/>
    <w:rsid w:val="7B8E2477"/>
    <w:rsid w:val="7BB4552D"/>
    <w:rsid w:val="7BB5399C"/>
    <w:rsid w:val="7BBC487D"/>
    <w:rsid w:val="7C044924"/>
    <w:rsid w:val="7C1D11E6"/>
    <w:rsid w:val="7C233619"/>
    <w:rsid w:val="7C5238E1"/>
    <w:rsid w:val="7C547659"/>
    <w:rsid w:val="7CB63E70"/>
    <w:rsid w:val="7CE7399F"/>
    <w:rsid w:val="7D0F532E"/>
    <w:rsid w:val="7D226E2B"/>
    <w:rsid w:val="7D3ECE3A"/>
    <w:rsid w:val="7D5176F5"/>
    <w:rsid w:val="7D6452D1"/>
    <w:rsid w:val="7D781125"/>
    <w:rsid w:val="7D8628FA"/>
    <w:rsid w:val="7D943A85"/>
    <w:rsid w:val="7DA41F1A"/>
    <w:rsid w:val="7DA57A41"/>
    <w:rsid w:val="7DAF266D"/>
    <w:rsid w:val="7DB05310"/>
    <w:rsid w:val="7DC77AC8"/>
    <w:rsid w:val="7DE42E8D"/>
    <w:rsid w:val="7DF12C86"/>
    <w:rsid w:val="7E0712F2"/>
    <w:rsid w:val="7E1D1CCD"/>
    <w:rsid w:val="7E292420"/>
    <w:rsid w:val="7E355268"/>
    <w:rsid w:val="7E546F05"/>
    <w:rsid w:val="7E786F03"/>
    <w:rsid w:val="7EA06B86"/>
    <w:rsid w:val="7EA877E8"/>
    <w:rsid w:val="7EAA7A04"/>
    <w:rsid w:val="7EAF6DC9"/>
    <w:rsid w:val="7EB048EF"/>
    <w:rsid w:val="7EB25E33"/>
    <w:rsid w:val="7EC42148"/>
    <w:rsid w:val="7ECB34D7"/>
    <w:rsid w:val="7ED24865"/>
    <w:rsid w:val="7EE33B7E"/>
    <w:rsid w:val="7EEF3F71"/>
    <w:rsid w:val="7EF43FBB"/>
    <w:rsid w:val="7F01339C"/>
    <w:rsid w:val="7F160BF6"/>
    <w:rsid w:val="7F364DF4"/>
    <w:rsid w:val="7F36750F"/>
    <w:rsid w:val="7F4339B5"/>
    <w:rsid w:val="7F482E61"/>
    <w:rsid w:val="7F5B0CFF"/>
    <w:rsid w:val="7FA2248A"/>
    <w:rsid w:val="7FDD39BD"/>
    <w:rsid w:val="7FEBE7FD"/>
    <w:rsid w:val="7FF627D5"/>
    <w:rsid w:val="DDBF0320"/>
    <w:rsid w:val="DEAEA6F3"/>
    <w:rsid w:val="FF75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spacing w:before="260" w:after="260"/>
      <w:outlineLvl w:val="2"/>
    </w:pPr>
    <w:rPr>
      <w:rFonts w:ascii="宋体" w:hAnsi="宋体" w:eastAsia="宋体" w:cs="Times New Roman"/>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styleId="7">
    <w:name w:val="index 8"/>
    <w:basedOn w:val="1"/>
    <w:next w:val="1"/>
    <w:qFormat/>
    <w:uiPriority w:val="0"/>
    <w:pPr>
      <w:ind w:left="2940"/>
    </w:pPr>
  </w:style>
  <w:style w:type="paragraph" w:styleId="8">
    <w:name w:val="Normal Indent"/>
    <w:basedOn w:val="1"/>
    <w:next w:val="9"/>
    <w:qFormat/>
    <w:uiPriority w:val="0"/>
    <w:pPr>
      <w:ind w:firstLine="420" w:firstLineChars="200"/>
    </w:pPr>
    <w:rPr>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annotation text"/>
    <w:basedOn w:val="1"/>
    <w:link w:val="43"/>
    <w:unhideWhenUsed/>
    <w:qFormat/>
    <w:uiPriority w:val="0"/>
    <w:pPr>
      <w:jc w:val="left"/>
    </w:pPr>
    <w:rPr>
      <w:kern w:val="0"/>
      <w:sz w:val="20"/>
    </w:rPr>
  </w:style>
  <w:style w:type="paragraph" w:styleId="11">
    <w:name w:val="Body Text"/>
    <w:basedOn w:val="1"/>
    <w:next w:val="1"/>
    <w:unhideWhenUsed/>
    <w:qFormat/>
    <w:uiPriority w:val="0"/>
    <w:pPr>
      <w:spacing w:after="120"/>
    </w:pPr>
    <w:rPr>
      <w:sz w:val="24"/>
    </w:r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qFormat/>
    <w:uiPriority w:val="0"/>
    <w:rPr>
      <w:rFonts w:ascii="宋体" w:hAnsi="Courier New"/>
    </w:rPr>
  </w:style>
  <w:style w:type="paragraph" w:styleId="14">
    <w:name w:val="Balloon Text"/>
    <w:basedOn w:val="1"/>
    <w:unhideWhenUsed/>
    <w:qFormat/>
    <w:uiPriority w:val="99"/>
    <w:rPr>
      <w:sz w:val="18"/>
      <w:szCs w:val="18"/>
    </w:rPr>
  </w:style>
  <w:style w:type="paragraph" w:styleId="15">
    <w:name w:val="header"/>
    <w:basedOn w:val="1"/>
    <w:link w:val="42"/>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qFormat/>
    <w:uiPriority w:val="0"/>
    <w:pPr>
      <w:spacing w:line="600" w:lineRule="exact"/>
      <w:ind w:firstLine="880" w:firstLineChars="200"/>
    </w:pPr>
    <w:rPr>
      <w:rFonts w:eastAsia="仿宋_GB2312"/>
      <w:sz w:val="32"/>
    </w:rPr>
  </w:style>
  <w:style w:type="paragraph" w:styleId="18">
    <w:name w:val="Body Text 2"/>
    <w:basedOn w:val="1"/>
    <w:qFormat/>
    <w:uiPriority w:val="99"/>
    <w:pPr>
      <w:spacing w:before="240"/>
    </w:pPr>
    <w:rPr>
      <w:rFonts w:ascii="Calibri" w:hAnsi="Calibri"/>
      <w:color w:val="FF000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10"/>
    <w:next w:val="10"/>
    <w:link w:val="44"/>
    <w:qFormat/>
    <w:uiPriority w:val="0"/>
    <w:rPr>
      <w:b/>
      <w:bCs/>
      <w:kern w:val="2"/>
      <w:sz w:val="21"/>
    </w:rPr>
  </w:style>
  <w:style w:type="paragraph" w:styleId="22">
    <w:name w:val="Body Text First Indent"/>
    <w:basedOn w:val="11"/>
    <w:qFormat/>
    <w:uiPriority w:val="0"/>
    <w:pPr>
      <w:snapToGrid w:val="0"/>
      <w:spacing w:line="560" w:lineRule="exact"/>
      <w:ind w:firstLine="200" w:firstLineChars="200"/>
    </w:pPr>
    <w:rPr>
      <w:rFonts w:ascii="仿宋" w:hAnsi="仿宋" w:cs="仿宋"/>
    </w:rPr>
  </w:style>
  <w:style w:type="paragraph" w:styleId="23">
    <w:name w:val="Body Text First Indent 2"/>
    <w:basedOn w:val="12"/>
    <w:semiHidden/>
    <w:qFormat/>
    <w:uiPriority w:val="0"/>
    <w:pPr>
      <w:spacing w:after="120"/>
      <w:ind w:left="420" w:leftChars="200" w:firstLine="420" w:firstLineChars="200"/>
    </w:pPr>
    <w:rPr>
      <w:kern w:val="0"/>
      <w:sz w:val="20"/>
      <w:szCs w:val="24"/>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Hyperlink"/>
    <w:basedOn w:val="26"/>
    <w:qFormat/>
    <w:uiPriority w:val="0"/>
    <w:rPr>
      <w:color w:val="0000FF"/>
      <w:u w:val="none"/>
    </w:rPr>
  </w:style>
  <w:style w:type="character" w:styleId="31">
    <w:name w:val="annotation reference"/>
    <w:basedOn w:val="26"/>
    <w:qFormat/>
    <w:uiPriority w:val="0"/>
    <w:rPr>
      <w:sz w:val="21"/>
      <w:szCs w:val="21"/>
    </w:rPr>
  </w:style>
  <w:style w:type="paragraph" w:customStyle="1" w:styleId="32">
    <w:name w:val="正文格式"/>
    <w:basedOn w:val="12"/>
    <w:qFormat/>
    <w:uiPriority w:val="99"/>
    <w:pPr>
      <w:spacing w:after="0" w:line="360" w:lineRule="auto"/>
      <w:ind w:left="0" w:leftChars="0" w:firstLine="600"/>
    </w:pPr>
    <w:rPr>
      <w:rFonts w:eastAsia="仿宋_GB2312"/>
      <w:sz w:val="30"/>
      <w:szCs w:val="30"/>
    </w:rPr>
  </w:style>
  <w:style w:type="paragraph" w:styleId="3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5">
    <w:name w:val="List Paragraph"/>
    <w:basedOn w:val="1"/>
    <w:qFormat/>
    <w:uiPriority w:val="34"/>
    <w:pPr>
      <w:ind w:firstLine="420" w:firstLineChars="200"/>
    </w:pPr>
  </w:style>
  <w:style w:type="character" w:customStyle="1" w:styleId="36">
    <w:name w:val="NormalCharacter"/>
    <w:qFormat/>
    <w:uiPriority w:val="0"/>
    <w:rPr>
      <w:kern w:val="2"/>
      <w:sz w:val="21"/>
      <w:szCs w:val="24"/>
      <w:lang w:val="en-US" w:eastAsia="zh-CN" w:bidi="ar-SA"/>
    </w:rPr>
  </w:style>
  <w:style w:type="paragraph" w:customStyle="1" w:styleId="37">
    <w:name w:val="Table Paragraph"/>
    <w:basedOn w:val="1"/>
    <w:qFormat/>
    <w:uiPriority w:val="0"/>
    <w:pPr>
      <w:autoSpaceDE w:val="0"/>
      <w:autoSpaceDN w:val="0"/>
      <w:jc w:val="left"/>
    </w:pPr>
    <w:rPr>
      <w:rFonts w:ascii="宋体" w:hAnsi="宋体" w:cs="宋体"/>
      <w:kern w:val="0"/>
      <w:sz w:val="22"/>
      <w:szCs w:val="22"/>
    </w:rPr>
  </w:style>
  <w:style w:type="paragraph" w:customStyle="1" w:styleId="3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qowt-font5-gb2312"/>
    <w:qFormat/>
    <w:uiPriority w:val="0"/>
  </w:style>
  <w:style w:type="paragraph" w:customStyle="1" w:styleId="40">
    <w:name w:val="msolistparagraph"/>
    <w:basedOn w:val="1"/>
    <w:qFormat/>
    <w:uiPriority w:val="0"/>
    <w:pPr>
      <w:ind w:firstLine="420" w:firstLineChars="200"/>
    </w:p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页眉 字符"/>
    <w:basedOn w:val="26"/>
    <w:link w:val="15"/>
    <w:qFormat/>
    <w:uiPriority w:val="0"/>
    <w:rPr>
      <w:kern w:val="2"/>
      <w:sz w:val="18"/>
      <w:szCs w:val="18"/>
    </w:rPr>
  </w:style>
  <w:style w:type="character" w:customStyle="1" w:styleId="43">
    <w:name w:val="批注文字 字符"/>
    <w:basedOn w:val="26"/>
    <w:link w:val="10"/>
    <w:qFormat/>
    <w:uiPriority w:val="0"/>
    <w:rPr>
      <w:szCs w:val="24"/>
    </w:rPr>
  </w:style>
  <w:style w:type="character" w:customStyle="1" w:styleId="44">
    <w:name w:val="批注主题 字符"/>
    <w:basedOn w:val="43"/>
    <w:link w:val="21"/>
    <w:qFormat/>
    <w:uiPriority w:val="0"/>
    <w:rPr>
      <w:b/>
      <w:bCs/>
      <w:kern w:val="2"/>
      <w:sz w:val="21"/>
      <w:szCs w:val="24"/>
    </w:rPr>
  </w:style>
  <w:style w:type="paragraph" w:customStyle="1" w:styleId="45">
    <w:name w:val="9前海 正文"/>
    <w:basedOn w:val="46"/>
    <w:qFormat/>
    <w:uiPriority w:val="0"/>
    <w:pPr>
      <w:ind w:firstLine="640"/>
    </w:pPr>
    <w:rPr>
      <w:rFonts w:ascii="仿宋_GB2312" w:eastAsia="仿宋_GB2312"/>
    </w:rPr>
  </w:style>
  <w:style w:type="paragraph" w:customStyle="1" w:styleId="46">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7">
    <w:name w:val="列出段落2"/>
    <w:basedOn w:val="1"/>
    <w:qFormat/>
    <w:uiPriority w:val="34"/>
    <w:pPr>
      <w:ind w:firstLine="420" w:firstLineChars="200"/>
    </w:pPr>
  </w:style>
  <w:style w:type="paragraph" w:customStyle="1" w:styleId="48">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49">
    <w:name w:val="No Spacing"/>
    <w:qFormat/>
    <w:uiPriority w:val="1"/>
    <w:pPr>
      <w:adjustRightInd w:val="0"/>
      <w:snapToGrid w:val="0"/>
      <w:jc w:val="center"/>
    </w:pPr>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20382</Words>
  <Characters>21213</Characters>
  <Lines>5243</Lines>
  <Paragraphs>2645</Paragraphs>
  <TotalTime>13</TotalTime>
  <ScaleCrop>false</ScaleCrop>
  <LinksUpToDate>false</LinksUpToDate>
  <CharactersWithSpaces>21715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2025-02-14T01:50:00Z</dcterms:created>
  <dc:creator>黎俊</dc:creator>
  <cp:lastModifiedBy>黎俊</cp:lastModifiedBy>
  <cp:lastPrinted>2025-09-28T00:37:00Z</cp:lastPrinted>
  <dcterms:modified xsi:type="dcterms:W3CDTF">2026-02-04T09:40:44Z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