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color w:val="auto"/>
          <w:highlight w:val="none"/>
        </w:rPr>
      </w:pPr>
      <w:bookmarkStart w:id="85" w:name="_GoBack"/>
      <w:bookmarkEnd w:id="85"/>
    </w:p>
    <w:p>
      <w:pPr>
        <w:rPr>
          <w:color w:val="auto"/>
          <w:highlight w:val="none"/>
        </w:rPr>
      </w:pPr>
    </w:p>
    <w:p>
      <w:pPr>
        <w:rPr>
          <w:color w:val="auto"/>
          <w:highlight w:val="none"/>
        </w:rPr>
      </w:pPr>
    </w:p>
    <w:p>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简易招标文件</w:t>
      </w:r>
    </w:p>
    <w:p>
      <w:pPr>
        <w:jc w:val="center"/>
        <w:rPr>
          <w:rFonts w:hint="eastAsia" w:ascii="宋体" w:hAnsi="宋体" w:cs="宋体"/>
          <w:color w:val="auto"/>
          <w:highlight w:val="none"/>
        </w:rPr>
      </w:pPr>
    </w:p>
    <w:p>
      <w:pPr>
        <w:rPr>
          <w:rFonts w:hint="eastAsia" w:ascii="宋体" w:hAnsi="宋体" w:cs="宋体"/>
          <w:color w:val="auto"/>
          <w:highlight w:val="none"/>
        </w:rPr>
      </w:pPr>
    </w:p>
    <w:p>
      <w:pPr>
        <w:pStyle w:val="33"/>
        <w:ind w:firstLine="420"/>
        <w:rPr>
          <w:rFonts w:hint="eastAsia" w:ascii="宋体" w:hAnsi="宋体" w:cs="宋体"/>
          <w:color w:val="auto"/>
          <w:highlight w:val="none"/>
        </w:rPr>
      </w:pPr>
    </w:p>
    <w:p>
      <w:pPr>
        <w:pStyle w:val="33"/>
        <w:ind w:firstLine="420"/>
        <w:rPr>
          <w:rFonts w:hint="eastAsia" w:ascii="宋体" w:hAnsi="宋体" w:cs="宋体"/>
          <w:color w:val="auto"/>
          <w:highlight w:val="none"/>
        </w:rPr>
      </w:pPr>
    </w:p>
    <w:p>
      <w:pPr>
        <w:rPr>
          <w:rFonts w:hint="eastAsia" w:ascii="宋体" w:hAnsi="宋体" w:cs="宋体"/>
          <w:b/>
          <w:color w:val="auto"/>
          <w:sz w:val="44"/>
          <w:highlight w:val="none"/>
        </w:rPr>
      </w:pPr>
    </w:p>
    <w:p>
      <w:pPr>
        <w:ind w:left="2326" w:leftChars="247" w:right="-319" w:rightChars="-152" w:hanging="1807" w:hangingChars="500"/>
        <w:rPr>
          <w:rFonts w:hint="eastAsia" w:ascii="宋体" w:hAnsi="宋体" w:cs="宋体"/>
          <w:b/>
          <w:color w:val="auto"/>
          <w:sz w:val="36"/>
          <w:szCs w:val="36"/>
          <w:highlight w:val="none"/>
        </w:rPr>
      </w:pPr>
      <w:r>
        <w:rPr>
          <w:rFonts w:hint="eastAsia" w:ascii="宋体" w:hAnsi="宋体" w:cs="宋体"/>
          <w:b/>
          <w:color w:val="auto"/>
          <w:sz w:val="36"/>
          <w:szCs w:val="36"/>
          <w:highlight w:val="none"/>
        </w:rPr>
        <w:t>招标编号：QH2026010</w:t>
      </w:r>
    </w:p>
    <w:p>
      <w:pPr>
        <w:pStyle w:val="33"/>
        <w:ind w:firstLine="420"/>
        <w:rPr>
          <w:rFonts w:hint="eastAsia" w:ascii="宋体" w:hAnsi="宋体" w:cs="宋体"/>
          <w:color w:val="auto"/>
          <w:highlight w:val="none"/>
        </w:rPr>
      </w:pPr>
    </w:p>
    <w:p>
      <w:pPr>
        <w:pStyle w:val="33"/>
        <w:ind w:firstLine="420"/>
        <w:rPr>
          <w:rFonts w:hint="eastAsia" w:ascii="宋体" w:hAnsi="宋体" w:cs="宋体"/>
          <w:color w:val="auto"/>
          <w:highlight w:val="none"/>
        </w:rPr>
      </w:pPr>
    </w:p>
    <w:p>
      <w:pPr>
        <w:pStyle w:val="33"/>
        <w:ind w:firstLine="420"/>
        <w:rPr>
          <w:rFonts w:hint="eastAsia" w:ascii="宋体" w:hAnsi="宋体" w:cs="宋体"/>
          <w:color w:val="auto"/>
          <w:highlight w:val="none"/>
        </w:rPr>
      </w:pPr>
    </w:p>
    <w:p>
      <w:pPr>
        <w:ind w:left="2326" w:leftChars="247" w:right="-319" w:rightChars="-152" w:hanging="1807" w:hangingChars="500"/>
        <w:rPr>
          <w:rFonts w:hint="eastAsia" w:ascii="宋体" w:hAnsi="宋体" w:cs="宋体"/>
          <w:b/>
          <w:color w:val="auto"/>
          <w:sz w:val="36"/>
          <w:szCs w:val="36"/>
          <w:highlight w:val="none"/>
        </w:rPr>
      </w:pPr>
      <w:r>
        <w:rPr>
          <w:rFonts w:hint="eastAsia" w:ascii="宋体" w:hAnsi="宋体" w:cs="宋体"/>
          <w:b/>
          <w:color w:val="auto"/>
          <w:sz w:val="36"/>
          <w:szCs w:val="36"/>
          <w:highlight w:val="none"/>
        </w:rPr>
        <w:t>招标项目：前海建设工程全生命周期监督管理平台可行性研究咨询服务项目</w:t>
      </w:r>
    </w:p>
    <w:p>
      <w:pPr>
        <w:ind w:firstLine="3264" w:firstLineChars="739"/>
        <w:rPr>
          <w:rFonts w:hint="eastAsia" w:ascii="宋体" w:hAnsi="宋体" w:cs="宋体"/>
          <w:b/>
          <w:color w:val="auto"/>
          <w:sz w:val="44"/>
          <w:highlight w:val="none"/>
        </w:rPr>
      </w:pPr>
    </w:p>
    <w:p>
      <w:pPr>
        <w:ind w:left="1260" w:leftChars="600" w:firstLine="1855" w:firstLineChars="420"/>
        <w:rPr>
          <w:rFonts w:hint="eastAsia" w:ascii="宋体" w:hAnsi="宋体" w:cs="宋体"/>
          <w:b/>
          <w:color w:val="auto"/>
          <w:sz w:val="44"/>
          <w:highlight w:val="none"/>
        </w:rPr>
      </w:pPr>
    </w:p>
    <w:p>
      <w:pPr>
        <w:rPr>
          <w:rFonts w:hint="eastAsia" w:ascii="宋体" w:hAnsi="宋体" w:cs="宋体"/>
          <w:b/>
          <w:color w:val="auto"/>
          <w:sz w:val="44"/>
          <w:highlight w:val="none"/>
        </w:rPr>
      </w:pPr>
    </w:p>
    <w:p>
      <w:pPr>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深圳市前海深港现代服务业合作区管理局</w:t>
      </w:r>
    </w:p>
    <w:p>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2026年1月</w:t>
      </w:r>
    </w:p>
    <w:p>
      <w:pPr>
        <w:autoSpaceDE w:val="0"/>
        <w:autoSpaceDN w:val="0"/>
        <w:adjustRightInd w:val="0"/>
        <w:spacing w:line="360" w:lineRule="auto"/>
        <w:jc w:val="center"/>
        <w:rPr>
          <w:rFonts w:hint="eastAsia" w:ascii="宋体" w:hAnsi="宋体" w:cs="仿宋_GB2312"/>
          <w:b/>
          <w:bCs/>
          <w:color w:val="auto"/>
          <w:kern w:val="0"/>
          <w:sz w:val="22"/>
          <w:szCs w:val="22"/>
          <w:highlight w:val="none"/>
        </w:rPr>
      </w:pPr>
      <w:bookmarkStart w:id="0" w:name="_Toc12932"/>
      <w:r>
        <w:rPr>
          <w:rFonts w:ascii="宋体" w:hAnsi="宋体"/>
          <w:b/>
          <w:bCs/>
          <w:color w:val="auto"/>
          <w:sz w:val="32"/>
          <w:szCs w:val="40"/>
          <w:highlight w:val="none"/>
          <w:u w:val="single"/>
        </w:rPr>
        <w:br w:type="page"/>
      </w:r>
    </w:p>
    <w:p>
      <w:pPr>
        <w:autoSpaceDE w:val="0"/>
        <w:autoSpaceDN w:val="0"/>
        <w:adjustRightInd w:val="0"/>
        <w:spacing w:line="360" w:lineRule="auto"/>
        <w:jc w:val="center"/>
        <w:rPr>
          <w:color w:val="auto"/>
          <w:highlight w:val="none"/>
        </w:rPr>
      </w:pPr>
      <w:r>
        <w:rPr>
          <w:rFonts w:hint="eastAsia" w:ascii="宋体" w:hAnsi="宋体" w:cs="宋体"/>
          <w:b/>
          <w:bCs/>
          <w:color w:val="auto"/>
          <w:kern w:val="0"/>
          <w:sz w:val="36"/>
          <w:szCs w:val="36"/>
          <w:highlight w:val="none"/>
        </w:rPr>
        <w:t>特别警示条款</w:t>
      </w:r>
    </w:p>
    <w:p>
      <w:pPr>
        <w:ind w:firstLine="420" w:firstLineChars="200"/>
        <w:rPr>
          <w:rFonts w:hint="eastAsia" w:ascii="宋体" w:hAnsi="宋体" w:cs="宋体"/>
          <w:color w:val="auto"/>
          <w:szCs w:val="21"/>
          <w:highlight w:val="none"/>
        </w:rPr>
      </w:pPr>
      <w:bookmarkStart w:id="1" w:name="OLE_LINK38"/>
      <w:r>
        <w:rPr>
          <w:rFonts w:hint="eastAsia" w:ascii="宋体" w:hAnsi="宋体" w:cs="宋体"/>
          <w:color w:val="auto"/>
          <w:szCs w:val="21"/>
          <w:highlight w:val="none"/>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482" w:type="pct"/>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482" w:type="pct"/>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与其他投标供应商的法定代表人、主要经营负责人、投标授权代表人、项目负责人、主要技术人员为</w:t>
            </w:r>
            <w:r>
              <w:rPr>
                <w:rFonts w:hint="eastAsia" w:ascii="宋体" w:hAnsi="宋体" w:cs="宋体"/>
                <w:b/>
                <w:bCs/>
                <w:color w:val="auto"/>
                <w:szCs w:val="21"/>
                <w:highlight w:val="none"/>
              </w:rPr>
              <w:t>同一人、属同一单位或者在同一单位缴纳社会保险</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482" w:type="pct"/>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参与本项目政府采购活动时，与其他投标供应商存在单位负责人为</w:t>
            </w:r>
            <w:r>
              <w:rPr>
                <w:rFonts w:hint="eastAsia" w:ascii="宋体" w:hAnsi="宋体" w:cs="宋体"/>
                <w:b/>
                <w:bCs/>
                <w:color w:val="auto"/>
                <w:szCs w:val="21"/>
                <w:highlight w:val="none"/>
              </w:rPr>
              <w:t>同一人或直接控股、管理关系</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4482" w:type="pct"/>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与其他投标供应商的投标文件或部分投标文件</w:t>
            </w:r>
            <w:r>
              <w:rPr>
                <w:rFonts w:hint="eastAsia" w:ascii="宋体" w:hAnsi="宋体" w:cs="宋体"/>
                <w:b/>
                <w:bCs/>
                <w:color w:val="auto"/>
                <w:szCs w:val="21"/>
                <w:highlight w:val="none"/>
              </w:rPr>
              <w:t>相互混装或存在非正常一致</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482" w:type="pct"/>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与其他投标供应商的投标文件由</w:t>
            </w:r>
            <w:r>
              <w:rPr>
                <w:rFonts w:hint="eastAsia" w:ascii="宋体" w:hAnsi="宋体" w:cs="宋体"/>
                <w:b/>
                <w:bCs/>
                <w:color w:val="auto"/>
                <w:szCs w:val="21"/>
                <w:highlight w:val="none"/>
              </w:rPr>
              <w:t>同一单位或者同一人编制</w:t>
            </w:r>
            <w:r>
              <w:rPr>
                <w:rFonts w:hint="eastAsia" w:ascii="宋体" w:hAnsi="宋体" w:cs="宋体"/>
                <w:color w:val="auto"/>
                <w:szCs w:val="21"/>
                <w:highlight w:val="none"/>
              </w:rPr>
              <w:t>，或者使用</w:t>
            </w:r>
            <w:r>
              <w:rPr>
                <w:rFonts w:hint="eastAsia" w:ascii="宋体" w:hAnsi="宋体" w:cs="宋体"/>
                <w:b/>
                <w:bCs/>
                <w:color w:val="auto"/>
                <w:szCs w:val="21"/>
                <w:highlight w:val="none"/>
              </w:rPr>
              <w:t>同一设备编制</w:t>
            </w:r>
            <w:r>
              <w:rPr>
                <w:rFonts w:hint="eastAsia" w:ascii="宋体" w:hAnsi="宋体" w:cs="宋体"/>
                <w:color w:val="auto"/>
                <w:szCs w:val="21"/>
                <w:highlight w:val="none"/>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482" w:type="pct"/>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提供</w:t>
            </w:r>
            <w:r>
              <w:rPr>
                <w:rFonts w:hint="eastAsia" w:ascii="宋体" w:hAnsi="宋体" w:cs="宋体"/>
                <w:b/>
                <w:bCs/>
                <w:color w:val="auto"/>
                <w:szCs w:val="21"/>
                <w:highlight w:val="none"/>
              </w:rPr>
              <w:t>未经出具机构核实</w:t>
            </w:r>
            <w:r>
              <w:rPr>
                <w:rFonts w:hint="eastAsia" w:ascii="宋体" w:hAnsi="宋体" w:cs="宋体"/>
                <w:color w:val="auto"/>
                <w:szCs w:val="21"/>
                <w:highlight w:val="none"/>
              </w:rPr>
              <w:t>的虚假的检验检测报告、业绩材料、社保缴纳证明、学历学位证书、职称认证证书等材料。</w:t>
            </w:r>
          </w:p>
        </w:tc>
      </w:tr>
      <w:bookmarkEnd w:id="1"/>
    </w:tbl>
    <w:p>
      <w:pPr>
        <w:autoSpaceDE w:val="0"/>
        <w:autoSpaceDN w:val="0"/>
        <w:adjustRightIn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w:t>
      </w:r>
    </w:p>
    <w:p>
      <w:pPr>
        <w:autoSpaceDE w:val="0"/>
        <w:autoSpaceDN w:val="0"/>
        <w:adjustRightInd w:val="0"/>
        <w:spacing w:line="360" w:lineRule="auto"/>
        <w:ind w:firstLine="482" w:firstLineChars="200"/>
        <w:jc w:val="left"/>
        <w:rPr>
          <w:rFonts w:hint="eastAsia" w:ascii="宋体" w:hAnsi="宋体" w:cs="宋体"/>
          <w:color w:val="auto"/>
          <w:sz w:val="24"/>
          <w:highlight w:val="none"/>
        </w:rPr>
      </w:pPr>
      <w:r>
        <w:rPr>
          <w:rStyle w:val="22"/>
          <w:rFonts w:hint="eastAsia" w:ascii="宋体" w:hAnsi="宋体" w:cs="宋体"/>
          <w:color w:val="auto"/>
          <w:sz w:val="24"/>
          <w:highlight w:val="none"/>
        </w:rPr>
        <w:t>第五十七条</w:t>
      </w:r>
      <w:r>
        <w:rPr>
          <w:rFonts w:hint="eastAsia" w:ascii="宋体" w:hAnsi="宋体" w:cs="宋体"/>
          <w:color w:val="auto"/>
          <w:sz w:val="24"/>
          <w:highlight w:val="none"/>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6"/>
        <w:shd w:val="clear" w:color="auto" w:fill="FFFFFF"/>
        <w:spacing w:before="0" w:beforeAutospacing="0" w:after="0" w:afterAutospacing="0" w:line="360" w:lineRule="auto"/>
        <w:ind w:firstLine="480" w:firstLineChars="200"/>
        <w:rPr>
          <w:rFonts w:hint="eastAsia"/>
          <w:color w:val="auto"/>
          <w:highlight w:val="none"/>
        </w:rPr>
      </w:pPr>
      <w:bookmarkStart w:id="2" w:name="_Toc2750"/>
      <w:r>
        <w:rPr>
          <w:rFonts w:hint="eastAsia"/>
          <w:color w:val="auto"/>
          <w:highlight w:val="none"/>
        </w:rPr>
        <w:t>（一）在采购活动中应当回避而未回避的；</w:t>
      </w:r>
      <w:bookmarkEnd w:id="2"/>
    </w:p>
    <w:p>
      <w:pPr>
        <w:pStyle w:val="16"/>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（二）未按照本条例规定签订、履行采购合同，造成严重后果的；</w:t>
      </w:r>
    </w:p>
    <w:p>
      <w:pPr>
        <w:pStyle w:val="16"/>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（三）隐瞒真实情况，提供虚假资料的；</w:t>
      </w:r>
    </w:p>
    <w:p>
      <w:pPr>
        <w:pStyle w:val="16"/>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（四）以非法手段排斥其他供应商参与竞争的；</w:t>
      </w:r>
    </w:p>
    <w:p>
      <w:pPr>
        <w:pStyle w:val="16"/>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（五）与其他采购参加人串通投标的；</w:t>
      </w:r>
    </w:p>
    <w:p>
      <w:pPr>
        <w:pStyle w:val="16"/>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（六）恶意投诉的；</w:t>
      </w:r>
    </w:p>
    <w:p>
      <w:pPr>
        <w:pStyle w:val="16"/>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（七）向采购项目相关人行贿或者提供其他不当利益的；</w:t>
      </w:r>
    </w:p>
    <w:p>
      <w:pPr>
        <w:pStyle w:val="16"/>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（八）阻碍、抗拒主管部门监督检查的；</w:t>
      </w:r>
    </w:p>
    <w:p>
      <w:pPr>
        <w:pStyle w:val="16"/>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auto"/>
          <w:kern w:val="0"/>
          <w:sz w:val="24"/>
          <w:highlight w:val="none"/>
        </w:rPr>
      </w:pPr>
    </w:p>
    <w:p>
      <w:pPr>
        <w:autoSpaceDE w:val="0"/>
        <w:autoSpaceDN w:val="0"/>
        <w:adjustRightIn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《深圳经济特区政府采购条例实施细则》</w:t>
      </w:r>
    </w:p>
    <w:p>
      <w:pPr>
        <w:keepLines/>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第七十五条</w:t>
      </w:r>
      <w:r>
        <w:rPr>
          <w:rFonts w:hint="eastAsia" w:ascii="宋体" w:hAnsi="宋体" w:cs="宋体"/>
          <w:color w:val="auto"/>
          <w:sz w:val="24"/>
          <w:highlight w:val="none"/>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auto"/>
          <w:sz w:val="24"/>
          <w:highlight w:val="none"/>
        </w:rPr>
      </w:pPr>
      <w:bookmarkStart w:id="3" w:name="_Toc6281"/>
      <w:r>
        <w:rPr>
          <w:rFonts w:hint="eastAsia" w:ascii="宋体" w:hAnsi="宋体" w:cs="宋体"/>
          <w:color w:val="auto"/>
          <w:sz w:val="24"/>
          <w:highlight w:val="none"/>
        </w:rPr>
        <w:t>（一）投标供应商之间相互约定给予未中标的供应商利益补偿；</w:t>
      </w:r>
      <w:bookmarkEnd w:id="3"/>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（四）不同投标供应商的投标文件或部分投标文件相互混装；</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（五）不同投标供应商的投标文件内容存在非正常一致；</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（六）由同一单位工作人员为两家以上（含两家）供应商进行同一项投标活动的；</w:t>
      </w:r>
    </w:p>
    <w:p>
      <w:pPr>
        <w:keepLines/>
        <w:spacing w:line="360" w:lineRule="auto"/>
        <w:ind w:firstLine="480" w:firstLineChars="200"/>
        <w:rPr>
          <w:rFonts w:hint="eastAsia" w:ascii="宋体" w:hAnsi="宋体" w:cs="宋体"/>
          <w:color w:val="auto"/>
          <w:sz w:val="24"/>
          <w:highlight w:val="none"/>
        </w:rPr>
      </w:pPr>
      <w:bookmarkStart w:id="4" w:name="_Toc31089"/>
      <w:r>
        <w:rPr>
          <w:rFonts w:hint="eastAsia" w:ascii="宋体" w:hAnsi="宋体" w:cs="宋体"/>
          <w:color w:val="auto"/>
          <w:sz w:val="24"/>
          <w:highlight w:val="none"/>
        </w:rPr>
        <w:t>（七）主管部门依照法律、法规认定的其他情形。</w:t>
      </w:r>
      <w:bookmarkEnd w:id="4"/>
    </w:p>
    <w:p>
      <w:pPr>
        <w:keepLines/>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第七十七条</w:t>
      </w:r>
      <w:r>
        <w:rPr>
          <w:rFonts w:hint="eastAsia" w:ascii="宋体" w:hAnsi="宋体" w:cs="宋体"/>
          <w:color w:val="auto"/>
          <w:sz w:val="24"/>
          <w:highlight w:val="none"/>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（一）通过转让或者租借等方式从其他单位获取资格或者资质证书投标的；</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（三）项目负责人或者主要技术人员不是本单位人员的；</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（四）投标保证金不是从投标供应商基本账户转出的；</w:t>
      </w:r>
    </w:p>
    <w:p>
      <w:pPr>
        <w:keepLine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（五）其他隐瞒真实情况、提供虚假资料的行为。</w:t>
      </w:r>
    </w:p>
    <w:p>
      <w:pPr>
        <w:keepLine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投标供应商不能提供项目负责人或者主要技术人员的劳动合同、社会保险等劳动关系证明材料的，视为存在前款第（三）项规定的情形。</w:t>
      </w:r>
    </w:p>
    <w:p>
      <w:pPr>
        <w:pStyle w:val="9"/>
        <w:tabs>
          <w:tab w:val="left" w:pos="562"/>
          <w:tab w:val="left" w:pos="3372"/>
          <w:tab w:val="left" w:pos="3653"/>
        </w:tabs>
        <w:spacing w:line="360" w:lineRule="auto"/>
        <w:rPr>
          <w:rFonts w:hint="eastAsia" w:ascii="宋体" w:hAnsi="宋体" w:cs="宋体"/>
          <w:color w:val="auto"/>
          <w:highlight w:val="none"/>
        </w:rPr>
      </w:pPr>
    </w:p>
    <w:p>
      <w:pPr>
        <w:autoSpaceDE w:val="0"/>
        <w:autoSpaceDN w:val="0"/>
        <w:adjustRightIn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《中华人民共和国政府采购法实施条例》 </w:t>
      </w:r>
    </w:p>
    <w:p>
      <w:pPr>
        <w:spacing w:line="360" w:lineRule="auto"/>
        <w:ind w:firstLine="482" w:firstLineChars="200"/>
        <w:jc w:val="left"/>
        <w:rPr>
          <w:rFonts w:hint="eastAsia" w:ascii="宋体" w:hAnsi="宋体" w:cs="宋体"/>
          <w:color w:val="auto"/>
          <w:sz w:val="24"/>
          <w:highlight w:val="none"/>
        </w:rPr>
      </w:pPr>
      <w:bookmarkStart w:id="5" w:name="_Toc10451"/>
      <w:r>
        <w:rPr>
          <w:rFonts w:hint="eastAsia" w:ascii="宋体" w:hAnsi="宋体" w:cs="宋体"/>
          <w:b/>
          <w:bCs/>
          <w:color w:val="auto"/>
          <w:sz w:val="24"/>
          <w:highlight w:val="none"/>
        </w:rPr>
        <w:t>第十八条</w:t>
      </w:r>
      <w:r>
        <w:rPr>
          <w:rFonts w:hint="eastAsia" w:ascii="宋体" w:hAnsi="宋体" w:cs="宋体"/>
          <w:color w:val="auto"/>
          <w:sz w:val="24"/>
          <w:highlight w:val="none"/>
        </w:rPr>
        <w:t xml:space="preserve"> 单位负责人为同一人或者存在直接控股、管理关系的不同供应商，不得参加同一合同项下的政府采购活动。</w:t>
      </w:r>
      <w:bookmarkEnd w:id="5"/>
    </w:p>
    <w:p>
      <w:pPr>
        <w:spacing w:line="360" w:lineRule="auto"/>
        <w:ind w:firstLine="480" w:firstLineChars="200"/>
        <w:jc w:val="left"/>
        <w:rPr>
          <w:rFonts w:hint="eastAsia" w:ascii="宋体" w:hAnsi="宋体" w:cs="宋体"/>
          <w:color w:val="auto"/>
          <w:sz w:val="24"/>
          <w:highlight w:val="none"/>
        </w:rPr>
      </w:pPr>
      <w:bookmarkStart w:id="6" w:name="_Toc4495"/>
      <w:r>
        <w:rPr>
          <w:rFonts w:hint="eastAsia" w:ascii="宋体" w:hAnsi="宋体" w:cs="宋体"/>
          <w:color w:val="auto"/>
          <w:sz w:val="24"/>
          <w:highlight w:val="none"/>
        </w:rPr>
        <w:t>除单一来源采购项目外，为采购项目提供整体设计、规范编制或者项目管理、监 理、检测等服务的供应商，不得再参加该采购项目的其他采购活动。</w:t>
      </w:r>
      <w:bookmarkEnd w:id="6"/>
    </w:p>
    <w:p>
      <w:pPr>
        <w:pStyle w:val="9"/>
        <w:tabs>
          <w:tab w:val="left" w:pos="562"/>
          <w:tab w:val="left" w:pos="3372"/>
          <w:tab w:val="left" w:pos="3653"/>
        </w:tabs>
        <w:spacing w:line="360" w:lineRule="auto"/>
        <w:rPr>
          <w:rFonts w:hint="eastAsia" w:ascii="宋体" w:hAnsi="宋体" w:cs="宋体"/>
          <w:color w:val="auto"/>
          <w:highlight w:val="none"/>
        </w:rPr>
      </w:pPr>
    </w:p>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b/>
          <w:color w:val="auto"/>
          <w:kern w:val="0"/>
          <w:sz w:val="24"/>
          <w:highlight w:val="none"/>
        </w:rPr>
        <w:t xml:space="preserve">《深圳市财政局关于采购文件增加风险告知有关事项的通知》 </w:t>
      </w:r>
    </w:p>
    <w:p>
      <w:pPr>
        <w:pStyle w:val="9"/>
        <w:tabs>
          <w:tab w:val="left" w:pos="562"/>
          <w:tab w:val="left" w:pos="3372"/>
          <w:tab w:val="left" w:pos="3653"/>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《关于在相关自由贸易试验区和自由贸易港开展推动解决政府采购异常低价问题试点工作的通知》</w:t>
      </w:r>
    </w:p>
    <w:p>
      <w:pPr>
        <w:pStyle w:val="9"/>
        <w:tabs>
          <w:tab w:val="left" w:pos="562"/>
          <w:tab w:val="left" w:pos="3372"/>
          <w:tab w:val="left" w:pos="3653"/>
        </w:tabs>
        <w:spacing w:after="0"/>
        <w:rPr>
          <w:rFonts w:hint="eastAsia" w:ascii="宋体" w:hAnsi="宋体" w:cs="宋体"/>
          <w:b/>
          <w:bCs/>
          <w:color w:val="auto"/>
          <w:highlight w:val="none"/>
        </w:rPr>
      </w:pPr>
      <w:r>
        <w:rPr>
          <w:rFonts w:hint="eastAsia" w:ascii="宋体" w:hAnsi="宋体" w:cs="宋体"/>
          <w:b/>
          <w:bCs/>
          <w:color w:val="auto"/>
          <w:highlight w:val="none"/>
        </w:rPr>
        <w:t>强化政府采购异常低价审查：</w:t>
      </w:r>
    </w:p>
    <w:p>
      <w:pPr>
        <w:pStyle w:val="9"/>
        <w:tabs>
          <w:tab w:val="left" w:pos="562"/>
          <w:tab w:val="left" w:pos="3372"/>
          <w:tab w:val="left" w:pos="3653"/>
        </w:tabs>
        <w:spacing w:after="0"/>
        <w:ind w:firstLine="480" w:firstLineChars="200"/>
        <w:rPr>
          <w:rFonts w:hint="eastAsia" w:ascii="宋体" w:hAnsi="宋体" w:cs="宋体"/>
          <w:color w:val="auto"/>
          <w:highlight w:val="none"/>
        </w:rPr>
      </w:pPr>
      <w:r>
        <w:rPr>
          <w:rFonts w:hint="eastAsia" w:ascii="宋体" w:hAnsi="宋体" w:cs="宋体"/>
          <w:color w:val="auto"/>
          <w:highlight w:val="none"/>
        </w:rPr>
        <w:t>试点地区采购人应当在采购文件中明确异常低价投标（响应）审查的有关内容，主要包括：</w:t>
      </w:r>
    </w:p>
    <w:p>
      <w:pPr>
        <w:pStyle w:val="9"/>
        <w:tabs>
          <w:tab w:val="left" w:pos="562"/>
          <w:tab w:val="left" w:pos="3372"/>
          <w:tab w:val="left" w:pos="3653"/>
        </w:tabs>
        <w:spacing w:after="0"/>
        <w:ind w:firstLine="480" w:firstLineChars="200"/>
        <w:rPr>
          <w:rFonts w:hint="eastAsia" w:ascii="宋体" w:hAnsi="宋体" w:cs="宋体"/>
          <w:color w:val="auto"/>
          <w:highlight w:val="none"/>
        </w:rPr>
      </w:pPr>
      <w:r>
        <w:rPr>
          <w:rFonts w:hint="eastAsia" w:ascii="宋体" w:hAnsi="宋体" w:cs="宋体"/>
          <w:color w:val="auto"/>
          <w:highlight w:val="none"/>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9"/>
        <w:tabs>
          <w:tab w:val="left" w:pos="562"/>
          <w:tab w:val="left" w:pos="3372"/>
          <w:tab w:val="left" w:pos="3653"/>
        </w:tabs>
        <w:spacing w:after="0"/>
        <w:ind w:firstLine="480" w:firstLineChars="200"/>
        <w:rPr>
          <w:rFonts w:hint="eastAsia" w:ascii="宋体" w:hAnsi="宋体" w:cs="宋体"/>
          <w:color w:val="auto"/>
          <w:highlight w:val="none"/>
        </w:rPr>
      </w:pPr>
      <w:r>
        <w:rPr>
          <w:rFonts w:hint="eastAsia" w:ascii="宋体" w:hAnsi="宋体" w:cs="宋体"/>
          <w:color w:val="auto"/>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9"/>
        <w:tabs>
          <w:tab w:val="left" w:pos="562"/>
          <w:tab w:val="left" w:pos="3372"/>
          <w:tab w:val="left" w:pos="3653"/>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pStyle w:val="9"/>
        <w:tabs>
          <w:tab w:val="left" w:pos="562"/>
          <w:tab w:val="left" w:pos="3372"/>
          <w:tab w:val="left" w:pos="3653"/>
        </w:tabs>
        <w:spacing w:line="360" w:lineRule="auto"/>
        <w:ind w:firstLine="480" w:firstLineChars="200"/>
        <w:rPr>
          <w:rFonts w:hint="eastAsia" w:ascii="宋体" w:hAnsi="宋体" w:cs="宋体"/>
          <w:color w:val="auto"/>
          <w:highlight w:val="none"/>
        </w:rPr>
      </w:pPr>
    </w:p>
    <w:p>
      <w:pPr>
        <w:pStyle w:val="9"/>
        <w:tabs>
          <w:tab w:val="left" w:pos="562"/>
          <w:tab w:val="left" w:pos="3372"/>
          <w:tab w:val="left" w:pos="3653"/>
        </w:tabs>
        <w:spacing w:line="360" w:lineRule="auto"/>
        <w:ind w:firstLine="480" w:firstLineChars="200"/>
        <w:rPr>
          <w:rFonts w:hint="eastAsia" w:ascii="宋体" w:hAnsi="宋体" w:cs="宋体"/>
          <w:color w:val="auto"/>
          <w:highlight w:val="none"/>
        </w:rPr>
      </w:pPr>
    </w:p>
    <w:p>
      <w:pPr>
        <w:pStyle w:val="9"/>
        <w:tabs>
          <w:tab w:val="left" w:pos="562"/>
          <w:tab w:val="left" w:pos="3372"/>
          <w:tab w:val="left" w:pos="3653"/>
        </w:tabs>
        <w:spacing w:line="360" w:lineRule="auto"/>
        <w:ind w:firstLine="480" w:firstLineChars="200"/>
        <w:rPr>
          <w:rFonts w:hint="eastAsia" w:ascii="宋体" w:hAnsi="宋体" w:cs="宋体"/>
          <w:color w:val="auto"/>
          <w:highlight w:val="none"/>
        </w:rPr>
      </w:pPr>
    </w:p>
    <w:p>
      <w:pPr>
        <w:jc w:val="center"/>
        <w:outlineLvl w:val="0"/>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bookmarkStart w:id="7" w:name="_Toc20243"/>
      <w:bookmarkStart w:id="8" w:name="_Toc20808"/>
      <w:r>
        <w:rPr>
          <w:rFonts w:hint="eastAsia" w:ascii="宋体" w:hAnsi="宋体" w:cs="宋体"/>
          <w:b/>
          <w:bCs/>
          <w:color w:val="auto"/>
          <w:sz w:val="36"/>
          <w:szCs w:val="36"/>
          <w:highlight w:val="none"/>
          <w:lang w:val="zh-CN"/>
        </w:rPr>
        <w:t>目录</w:t>
      </w:r>
      <w:bookmarkEnd w:id="0"/>
      <w:bookmarkEnd w:id="7"/>
      <w:bookmarkEnd w:id="8"/>
    </w:p>
    <w:p>
      <w:pPr>
        <w:pStyle w:val="14"/>
        <w:tabs>
          <w:tab w:val="right" w:leader="dot" w:pos="8306"/>
        </w:tabs>
        <w:spacing w:line="480" w:lineRule="auto"/>
        <w:rPr>
          <w:b/>
          <w:bCs/>
          <w:color w:val="auto"/>
          <w:sz w:val="24"/>
          <w:szCs w:val="32"/>
          <w:highlight w:val="none"/>
        </w:rPr>
      </w:pPr>
    </w:p>
    <w:p>
      <w:pPr>
        <w:pStyle w:val="14"/>
        <w:tabs>
          <w:tab w:val="right" w:leader="dot" w:pos="8306"/>
        </w:tabs>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TOC \o "1-1" \h \u </w:instrText>
      </w:r>
      <w:r>
        <w:rPr>
          <w:rFonts w:hint="eastAsia" w:ascii="宋体" w:hAnsi="宋体" w:cs="宋体"/>
          <w:b/>
          <w:bCs/>
          <w:color w:val="auto"/>
          <w:sz w:val="24"/>
          <w:highlight w:val="none"/>
        </w:rPr>
        <w:fldChar w:fldCharType="separate"/>
      </w:r>
      <w:r>
        <w:rPr>
          <w:color w:val="auto"/>
          <w:highlight w:val="none"/>
        </w:rPr>
        <w:fldChar w:fldCharType="begin"/>
      </w:r>
      <w:r>
        <w:rPr>
          <w:color w:val="auto"/>
          <w:highlight w:val="none"/>
        </w:rPr>
        <w:instrText xml:space="preserve"> HYPERLINK \l "_Toc15219" </w:instrText>
      </w:r>
      <w:r>
        <w:rPr>
          <w:color w:val="auto"/>
          <w:highlight w:val="none"/>
        </w:rPr>
        <w:fldChar w:fldCharType="separate"/>
      </w:r>
      <w:r>
        <w:rPr>
          <w:rFonts w:hint="eastAsia" w:ascii="宋体" w:hAnsi="宋体" w:cs="宋体"/>
          <w:b/>
          <w:bCs/>
          <w:color w:val="auto"/>
          <w:sz w:val="24"/>
          <w:highlight w:val="none"/>
        </w:rPr>
        <w:t>第一章 招标邀请书（招标公告）</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_Toc15219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6</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eastAsia" w:ascii="宋体" w:hAnsi="宋体" w:cs="宋体"/>
          <w:b/>
          <w:bCs/>
          <w:color w:val="auto"/>
          <w:sz w:val="24"/>
          <w:highlight w:val="none"/>
        </w:rPr>
      </w:pPr>
      <w:r>
        <w:rPr>
          <w:color w:val="auto"/>
          <w:highlight w:val="none"/>
        </w:rPr>
        <w:fldChar w:fldCharType="begin"/>
      </w:r>
      <w:r>
        <w:rPr>
          <w:color w:val="auto"/>
          <w:highlight w:val="none"/>
        </w:rPr>
        <w:instrText xml:space="preserve"> HYPERLINK \l "_Toc30172" </w:instrText>
      </w:r>
      <w:r>
        <w:rPr>
          <w:color w:val="auto"/>
          <w:highlight w:val="none"/>
        </w:rPr>
        <w:fldChar w:fldCharType="separate"/>
      </w:r>
      <w:r>
        <w:rPr>
          <w:rFonts w:hint="eastAsia" w:ascii="宋体" w:hAnsi="宋体" w:cs="宋体"/>
          <w:b/>
          <w:bCs/>
          <w:color w:val="auto"/>
          <w:sz w:val="24"/>
          <w:highlight w:val="none"/>
        </w:rPr>
        <w:t>第二章 投标须知</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_Toc30172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10</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eastAsia" w:ascii="宋体" w:hAnsi="宋体" w:cs="宋体"/>
          <w:b/>
          <w:bCs/>
          <w:color w:val="auto"/>
          <w:sz w:val="24"/>
          <w:highlight w:val="none"/>
        </w:rPr>
      </w:pPr>
      <w:r>
        <w:rPr>
          <w:color w:val="auto"/>
          <w:highlight w:val="none"/>
        </w:rPr>
        <w:fldChar w:fldCharType="begin"/>
      </w:r>
      <w:r>
        <w:rPr>
          <w:color w:val="auto"/>
          <w:highlight w:val="none"/>
        </w:rPr>
        <w:instrText xml:space="preserve"> HYPERLINK \l "_Toc25974" </w:instrText>
      </w:r>
      <w:r>
        <w:rPr>
          <w:color w:val="auto"/>
          <w:highlight w:val="none"/>
        </w:rPr>
        <w:fldChar w:fldCharType="separate"/>
      </w:r>
      <w:r>
        <w:rPr>
          <w:rFonts w:hint="eastAsia" w:ascii="宋体" w:hAnsi="宋体" w:cs="宋体"/>
          <w:b/>
          <w:bCs/>
          <w:color w:val="auto"/>
          <w:sz w:val="24"/>
          <w:highlight w:val="none"/>
        </w:rPr>
        <w:t>第三章 评标程序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_Toc25974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13</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eastAsia" w:ascii="宋体" w:hAnsi="宋体" w:cs="宋体"/>
          <w:b/>
          <w:bCs/>
          <w:color w:val="auto"/>
          <w:sz w:val="24"/>
          <w:highlight w:val="none"/>
        </w:rPr>
      </w:pPr>
      <w:r>
        <w:rPr>
          <w:color w:val="auto"/>
          <w:highlight w:val="none"/>
        </w:rPr>
        <w:fldChar w:fldCharType="begin"/>
      </w:r>
      <w:r>
        <w:rPr>
          <w:color w:val="auto"/>
          <w:highlight w:val="none"/>
        </w:rPr>
        <w:instrText xml:space="preserve"> HYPERLINK \l "_Toc8663" </w:instrText>
      </w:r>
      <w:r>
        <w:rPr>
          <w:color w:val="auto"/>
          <w:highlight w:val="none"/>
        </w:rPr>
        <w:fldChar w:fldCharType="separate"/>
      </w:r>
      <w:r>
        <w:rPr>
          <w:rFonts w:hint="eastAsia" w:ascii="宋体" w:hAnsi="宋体" w:cs="宋体"/>
          <w:b/>
          <w:bCs/>
          <w:color w:val="auto"/>
          <w:sz w:val="24"/>
          <w:highlight w:val="none"/>
        </w:rPr>
        <w:t>第四章 合同格式及合同条款</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_Toc8663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15</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eastAsia" w:ascii="宋体" w:hAnsi="宋体" w:cs="宋体"/>
          <w:b/>
          <w:bCs/>
          <w:color w:val="auto"/>
          <w:sz w:val="24"/>
          <w:highlight w:val="none"/>
        </w:rPr>
      </w:pPr>
      <w:r>
        <w:rPr>
          <w:color w:val="auto"/>
          <w:highlight w:val="none"/>
        </w:rPr>
        <w:fldChar w:fldCharType="begin"/>
      </w:r>
      <w:r>
        <w:rPr>
          <w:color w:val="auto"/>
          <w:highlight w:val="none"/>
        </w:rPr>
        <w:instrText xml:space="preserve"> HYPERLINK \l "_Toc11333" </w:instrText>
      </w:r>
      <w:r>
        <w:rPr>
          <w:color w:val="auto"/>
          <w:highlight w:val="none"/>
        </w:rPr>
        <w:fldChar w:fldCharType="separate"/>
      </w:r>
      <w:r>
        <w:rPr>
          <w:rFonts w:hint="eastAsia" w:ascii="宋体" w:hAnsi="宋体" w:cs="宋体"/>
          <w:b/>
          <w:bCs/>
          <w:color w:val="auto"/>
          <w:sz w:val="24"/>
          <w:highlight w:val="none"/>
        </w:rPr>
        <w:t>第五章 用户需求书</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_Toc11333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28</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eastAsia" w:ascii="宋体" w:hAnsi="宋体" w:cs="宋体"/>
          <w:b/>
          <w:bCs/>
          <w:color w:val="auto"/>
          <w:sz w:val="24"/>
          <w:highlight w:val="none"/>
        </w:rPr>
      </w:pPr>
      <w:r>
        <w:rPr>
          <w:color w:val="auto"/>
          <w:highlight w:val="none"/>
        </w:rPr>
        <w:fldChar w:fldCharType="begin"/>
      </w:r>
      <w:r>
        <w:rPr>
          <w:color w:val="auto"/>
          <w:highlight w:val="none"/>
        </w:rPr>
        <w:instrText xml:space="preserve"> HYPERLINK \l "_Toc10061" </w:instrText>
      </w:r>
      <w:r>
        <w:rPr>
          <w:color w:val="auto"/>
          <w:highlight w:val="none"/>
        </w:rPr>
        <w:fldChar w:fldCharType="separate"/>
      </w:r>
      <w:r>
        <w:rPr>
          <w:rFonts w:hint="eastAsia" w:ascii="宋体" w:hAnsi="宋体" w:cs="宋体"/>
          <w:b/>
          <w:bCs/>
          <w:color w:val="auto"/>
          <w:sz w:val="24"/>
          <w:highlight w:val="none"/>
        </w:rPr>
        <w:t>第六章 投标文件初审及招标项目评分表</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_Toc10061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35</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eastAsia" w:ascii="宋体" w:hAnsi="宋体" w:cs="宋体"/>
          <w:b/>
          <w:bCs/>
          <w:color w:val="auto"/>
          <w:sz w:val="24"/>
          <w:highlight w:val="none"/>
        </w:rPr>
      </w:pPr>
      <w:r>
        <w:rPr>
          <w:color w:val="auto"/>
          <w:highlight w:val="none"/>
        </w:rPr>
        <w:fldChar w:fldCharType="begin"/>
      </w:r>
      <w:r>
        <w:rPr>
          <w:color w:val="auto"/>
          <w:highlight w:val="none"/>
        </w:rPr>
        <w:instrText xml:space="preserve"> HYPERLINK \l "_Toc31322" </w:instrText>
      </w:r>
      <w:r>
        <w:rPr>
          <w:color w:val="auto"/>
          <w:highlight w:val="none"/>
        </w:rPr>
        <w:fldChar w:fldCharType="separate"/>
      </w:r>
      <w:r>
        <w:rPr>
          <w:rFonts w:hint="eastAsia" w:ascii="宋体" w:hAnsi="宋体" w:cs="宋体"/>
          <w:b/>
          <w:bCs/>
          <w:color w:val="auto"/>
          <w:sz w:val="24"/>
          <w:highlight w:val="none"/>
        </w:rPr>
        <w:t>第七章 附件（投标文件格式）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_Toc31322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43</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eastAsia" w:ascii="宋体" w:hAnsi="宋体" w:cs="宋体"/>
          <w:b/>
          <w:bCs/>
          <w:color w:val="auto"/>
          <w:sz w:val="24"/>
          <w:highlight w:val="none"/>
        </w:rPr>
      </w:pPr>
      <w:r>
        <w:rPr>
          <w:color w:val="auto"/>
          <w:highlight w:val="none"/>
        </w:rPr>
        <w:fldChar w:fldCharType="begin"/>
      </w:r>
      <w:r>
        <w:rPr>
          <w:color w:val="auto"/>
          <w:highlight w:val="none"/>
        </w:rPr>
        <w:instrText xml:space="preserve"> HYPERLINK \l "_Toc2231" </w:instrText>
      </w:r>
      <w:r>
        <w:rPr>
          <w:color w:val="auto"/>
          <w:highlight w:val="none"/>
        </w:rPr>
        <w:fldChar w:fldCharType="separate"/>
      </w:r>
      <w:r>
        <w:rPr>
          <w:rFonts w:hint="eastAsia" w:ascii="宋体" w:hAnsi="宋体" w:cs="宋体"/>
          <w:b/>
          <w:bCs/>
          <w:color w:val="auto"/>
          <w:sz w:val="24"/>
          <w:highlight w:val="none"/>
        </w:rPr>
        <w:t>附件：相关政策</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_Toc2231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74</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eastAsia" w:ascii="宋体" w:hAnsi="宋体" w:cs="宋体"/>
          <w:b/>
          <w:color w:val="auto"/>
          <w:sz w:val="24"/>
          <w:highlight w:val="none"/>
        </w:rPr>
      </w:pPr>
      <w:r>
        <w:rPr>
          <w:rFonts w:hint="eastAsia" w:ascii="宋体" w:hAnsi="宋体" w:cs="宋体"/>
          <w:b/>
          <w:bCs/>
          <w:color w:val="auto"/>
          <w:sz w:val="24"/>
          <w:highlight w:val="none"/>
        </w:rPr>
        <w:fldChar w:fldCharType="end"/>
      </w:r>
    </w:p>
    <w:p>
      <w:pPr>
        <w:spacing w:line="360" w:lineRule="auto"/>
        <w:rPr>
          <w:color w:val="auto"/>
          <w:highlight w:val="none"/>
        </w:rPr>
      </w:pPr>
    </w:p>
    <w:p>
      <w:pPr>
        <w:numPr>
          <w:ilvl w:val="0"/>
          <w:numId w:val="1"/>
        </w:numPr>
        <w:spacing w:line="360" w:lineRule="auto"/>
        <w:jc w:val="center"/>
        <w:outlineLvl w:val="0"/>
        <w:rPr>
          <w:rFonts w:hint="eastAsia" w:ascii="宋体" w:hAnsi="宋体" w:cs="宋体"/>
          <w:b/>
          <w:bCs/>
          <w:color w:val="auto"/>
          <w:sz w:val="24"/>
          <w:highlight w:val="none"/>
        </w:rPr>
      </w:pPr>
      <w:r>
        <w:rPr>
          <w:rFonts w:ascii="宋体"/>
          <w:b/>
          <w:bCs/>
          <w:color w:val="auto"/>
          <w:sz w:val="32"/>
          <w:szCs w:val="28"/>
          <w:highlight w:val="none"/>
        </w:rPr>
        <w:br w:type="page"/>
      </w:r>
      <w:r>
        <w:rPr>
          <w:rFonts w:hint="eastAsia" w:ascii="宋体"/>
          <w:b/>
          <w:bCs/>
          <w:color w:val="auto"/>
          <w:sz w:val="32"/>
          <w:szCs w:val="28"/>
          <w:highlight w:val="none"/>
        </w:rPr>
        <w:t xml:space="preserve"> </w:t>
      </w:r>
      <w:bookmarkStart w:id="9" w:name="_Toc17273"/>
      <w:bookmarkStart w:id="10" w:name="_Toc15219"/>
      <w:r>
        <w:rPr>
          <w:rFonts w:hint="eastAsia" w:ascii="宋体" w:hAnsi="宋体" w:cs="宋体"/>
          <w:b/>
          <w:bCs/>
          <w:color w:val="auto"/>
          <w:sz w:val="24"/>
          <w:highlight w:val="none"/>
        </w:rPr>
        <w:t>招标邀请书（招标公告）</w:t>
      </w:r>
      <w:bookmarkEnd w:id="9"/>
      <w:bookmarkEnd w:id="10"/>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北京国际招标有限公司（以下简称采购代理机构）受深圳市前海深港现代服务业合作区管理局委托就</w:t>
      </w:r>
      <w:r>
        <w:rPr>
          <w:rFonts w:hint="eastAsia" w:ascii="宋体" w:hAnsi="宋体" w:cs="宋体"/>
          <w:color w:val="auto"/>
          <w:sz w:val="24"/>
          <w:highlight w:val="none"/>
          <w:u w:val="single"/>
        </w:rPr>
        <w:t>前海建设工程全生命周期监督管理平台可行性研究咨询服务</w:t>
      </w:r>
      <w:r>
        <w:rPr>
          <w:rFonts w:hint="eastAsia" w:ascii="宋体" w:hAnsi="宋体" w:cs="宋体"/>
          <w:color w:val="auto"/>
          <w:sz w:val="24"/>
          <w:highlight w:val="none"/>
        </w:rPr>
        <w:t>采购项目（招标编号：</w:t>
      </w:r>
      <w:r>
        <w:rPr>
          <w:rFonts w:hint="eastAsia" w:ascii="宋体" w:hAnsi="宋体" w:cs="宋体"/>
          <w:color w:val="auto"/>
          <w:sz w:val="24"/>
          <w:highlight w:val="none"/>
          <w:u w:val="single"/>
        </w:rPr>
        <w:t>QH2026010）</w:t>
      </w:r>
      <w:r>
        <w:rPr>
          <w:rFonts w:hint="eastAsia" w:ascii="宋体" w:hAnsi="宋体" w:cs="宋体"/>
          <w:color w:val="auto"/>
          <w:sz w:val="24"/>
          <w:highlight w:val="none"/>
        </w:rPr>
        <w:t>采用简易招标方式采购，欢迎符合投标人资格要求的专业供应商积极参加投标。</w:t>
      </w:r>
    </w:p>
    <w:tbl>
      <w:tblPr>
        <w:tblStyle w:val="19"/>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招标编号</w:t>
            </w:r>
          </w:p>
        </w:tc>
        <w:tc>
          <w:tcPr>
            <w:tcW w:w="7015"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QH2026010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招标项目名称</w:t>
            </w:r>
          </w:p>
        </w:tc>
        <w:tc>
          <w:tcPr>
            <w:tcW w:w="7015"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前海建设工程全生命周期监督管理平台可行性研究咨询服务项目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标的内容</w:t>
            </w:r>
          </w:p>
        </w:tc>
        <w:tc>
          <w:tcPr>
            <w:tcW w:w="7015" w:type="dxa"/>
            <w:vAlign w:val="center"/>
          </w:tcPr>
          <w:p>
            <w:pPr>
              <w:spacing w:line="360" w:lineRule="auto"/>
              <w:rPr>
                <w:color w:val="auto"/>
                <w:highlight w:val="none"/>
              </w:rPr>
            </w:pPr>
            <w:r>
              <w:rPr>
                <w:rFonts w:hint="eastAsia" w:ascii="宋体" w:hAnsi="宋体" w:cs="宋体"/>
                <w:color w:val="auto"/>
                <w:sz w:val="24"/>
                <w:highlight w:val="none"/>
              </w:rPr>
              <w:t>按照《深圳经济特区政府投资项目管理条例》《深圳市前海管理局政府投资项目管理工作规程》《前海管理局政务信息化项目管理办法》等相关规定，开展前海建设工程全生命周期监督管理平台可行性研究咨询服务工作，服务内容为可行性研究报告编制服务。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项目预算</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（最高限价）</w:t>
            </w:r>
          </w:p>
        </w:tc>
        <w:tc>
          <w:tcPr>
            <w:tcW w:w="7015"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402</w:t>
            </w: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00.00（人民币肆拾万零贰仟捌佰元整）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676" w:type="dxa"/>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标书获得办法</w:t>
            </w:r>
          </w:p>
        </w:tc>
        <w:tc>
          <w:tcPr>
            <w:tcW w:w="7015" w:type="dxa"/>
            <w:vAlign w:val="center"/>
          </w:tcPr>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招标文件为电子版，投标人可在前海管理局官网（政务公开-采购信息-招标公告栏目）(</w:t>
            </w:r>
            <w:bookmarkStart w:id="11" w:name="OLE_LINK46"/>
            <w:r>
              <w:rPr>
                <w:rFonts w:hint="eastAsia" w:ascii="宋体" w:hAnsi="宋体" w:cs="宋体"/>
                <w:color w:val="auto"/>
                <w:kern w:val="0"/>
                <w:sz w:val="24"/>
                <w:highlight w:val="none"/>
              </w:rPr>
              <w:t>http://qh.sz.gov.cn/</w:t>
            </w:r>
            <w:bookmarkEnd w:id="11"/>
            <w:r>
              <w:rPr>
                <w:rFonts w:hint="eastAsia" w:ascii="宋体" w:hAnsi="宋体" w:cs="宋体"/>
                <w:color w:val="auto"/>
                <w:kern w:val="0"/>
                <w:sz w:val="24"/>
                <w:highlight w:val="none"/>
              </w:rPr>
              <w:t>)免费下载。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报名方式</w:t>
            </w:r>
          </w:p>
        </w:tc>
        <w:tc>
          <w:tcPr>
            <w:tcW w:w="7015" w:type="dxa"/>
            <w:vAlign w:val="center"/>
          </w:tcPr>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将投标文件密封并在</w:t>
            </w:r>
            <w:r>
              <w:rPr>
                <w:rFonts w:hint="eastAsia" w:ascii="宋体" w:hAnsi="宋体" w:cs="宋体"/>
                <w:b/>
                <w:bCs/>
                <w:color w:val="auto"/>
                <w:kern w:val="0"/>
                <w:sz w:val="24"/>
                <w:highlight w:val="none"/>
              </w:rPr>
              <w:t>2026年</w:t>
            </w:r>
            <w:r>
              <w:rPr>
                <w:rFonts w:hint="eastAsia" w:ascii="宋体" w:hAnsi="宋体" w:cs="宋体"/>
                <w:b/>
                <w:bCs/>
                <w:color w:val="auto"/>
                <w:kern w:val="0"/>
                <w:sz w:val="24"/>
                <w:highlight w:val="none"/>
                <w:lang w:val="en-US" w:eastAsia="zh-CN"/>
              </w:rPr>
              <w:t>2</w:t>
            </w:r>
            <w:r>
              <w:rPr>
                <w:rFonts w:hint="eastAsia" w:ascii="宋体" w:hAnsi="宋体" w:cs="宋体"/>
                <w:b/>
                <w:bCs/>
                <w:color w:val="auto"/>
                <w:kern w:val="0"/>
                <w:sz w:val="24"/>
                <w:highlight w:val="none"/>
              </w:rPr>
              <w:t>月</w:t>
            </w:r>
            <w:r>
              <w:rPr>
                <w:rFonts w:hint="eastAsia" w:ascii="宋体" w:hAnsi="宋体" w:cs="宋体"/>
                <w:b/>
                <w:bCs/>
                <w:color w:val="auto"/>
                <w:kern w:val="0"/>
                <w:sz w:val="24"/>
                <w:highlight w:val="none"/>
                <w:lang w:val="en-US" w:eastAsia="zh-CN"/>
              </w:rPr>
              <w:t>3</w:t>
            </w:r>
            <w:r>
              <w:rPr>
                <w:rFonts w:hint="eastAsia" w:ascii="宋体" w:hAnsi="宋体" w:cs="宋体"/>
                <w:b/>
                <w:bCs/>
                <w:color w:val="auto"/>
                <w:kern w:val="0"/>
                <w:sz w:val="24"/>
                <w:highlight w:val="none"/>
              </w:rPr>
              <w:t>日</w:t>
            </w:r>
            <w:r>
              <w:rPr>
                <w:rFonts w:hint="eastAsia" w:ascii="宋体" w:hAnsi="宋体" w:cs="宋体"/>
                <w:b/>
                <w:bCs/>
                <w:color w:val="auto"/>
                <w:kern w:val="0"/>
                <w:sz w:val="24"/>
                <w:highlight w:val="none"/>
                <w:lang w:val="en-US" w:eastAsia="zh-CN"/>
              </w:rPr>
              <w:t>10</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0</w:t>
            </w:r>
            <w:r>
              <w:rPr>
                <w:rFonts w:hint="eastAsia" w:ascii="宋体" w:hAnsi="宋体" w:cs="宋体"/>
                <w:b/>
                <w:bCs/>
                <w:color w:val="auto"/>
                <w:kern w:val="0"/>
                <w:sz w:val="24"/>
                <w:highlight w:val="none"/>
              </w:rPr>
              <w:t>0时（北京时间）</w:t>
            </w:r>
            <w:r>
              <w:rPr>
                <w:rFonts w:hint="eastAsia" w:ascii="宋体" w:hAnsi="宋体" w:cs="宋体"/>
                <w:color w:val="auto"/>
                <w:kern w:val="0"/>
                <w:sz w:val="24"/>
                <w:highlight w:val="none"/>
              </w:rPr>
              <w:t>前送达（现场递交或邮寄）至深圳市南山区前海深港合作区桂湾五路123号前海管理局前海大厦T1栋2318室</w:t>
            </w:r>
          </w:p>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联  系  人：李先生</w:t>
            </w:r>
          </w:p>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电      话：0755-88105335</w:t>
            </w:r>
          </w:p>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投标人资格要求</w:t>
            </w:r>
          </w:p>
        </w:tc>
        <w:tc>
          <w:tcPr>
            <w:tcW w:w="7015" w:type="dxa"/>
            <w:vAlign w:val="center"/>
          </w:tcPr>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在中华人民共和国境内注册的具有独立法人资格或具有独立承担民事责任的能力的其他组织</w:t>
            </w:r>
            <w:r>
              <w:rPr>
                <w:rFonts w:hint="eastAsia" w:ascii="宋体" w:hAnsi="宋体" w:cs="宋体"/>
                <w:b/>
                <w:bCs/>
                <w:color w:val="auto"/>
                <w:kern w:val="0"/>
                <w:sz w:val="24"/>
                <w:highlight w:val="none"/>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auto"/>
                <w:kern w:val="0"/>
                <w:sz w:val="24"/>
                <w:highlight w:val="none"/>
              </w:rPr>
              <w:t>；</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参与政府采购项目投标的供应商近三年内无行贿犯罪记录</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color w:val="auto"/>
                <w:kern w:val="0"/>
                <w:sz w:val="24"/>
                <w:highlight w:val="none"/>
              </w:rPr>
              <w:t>；</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参与本项目投标前三年内，在经营活动中没有重大违法记录以及不存在被有关部门禁止参与政府采购活动且在有效期内的情况</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color w:val="auto"/>
                <w:kern w:val="0"/>
                <w:sz w:val="24"/>
                <w:highlight w:val="none"/>
              </w:rPr>
              <w:t>；</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投标人承诺“本单位（公司）不存在《深圳市财政局政府采购供应商信用信息管理办法》（深财规〔2023〕3号）列明的严重违法失信行为”</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color w:val="auto"/>
                <w:kern w:val="0"/>
                <w:sz w:val="24"/>
                <w:highlight w:val="none"/>
              </w:rPr>
              <w:t>；</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auto"/>
                <w:kern w:val="0"/>
                <w:sz w:val="24"/>
                <w:highlight w:val="none"/>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为此项目提供整体设计、规范编制或者项目管理、监理、检测等服务的供应商，不得再参加此项目的其他招标采购活动</w:t>
            </w:r>
            <w:r>
              <w:rPr>
                <w:rFonts w:hint="eastAsia" w:ascii="宋体" w:hAnsi="宋体" w:cs="宋体"/>
                <w:b/>
                <w:bCs/>
                <w:color w:val="auto"/>
                <w:kern w:val="0"/>
                <w:sz w:val="24"/>
                <w:highlight w:val="none"/>
              </w:rPr>
              <w:t>（由投标人在《政府采购投标及履约承诺函》中作出声明）；</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落实政府采购政策需满足的资格要求：本项目不属于专门面向特定企业（单位）的采购项目，本项目采购标的对应的中小企业划分标准所属行业为：</w:t>
            </w:r>
            <w:r>
              <w:rPr>
                <w:rFonts w:hint="eastAsia" w:ascii="宋体" w:hAnsi="宋体" w:cs="宋体"/>
                <w:color w:val="auto"/>
                <w:kern w:val="0"/>
                <w:sz w:val="24"/>
                <w:highlight w:val="none"/>
                <w:u w:val="single"/>
              </w:rPr>
              <w:t>软件和信息技术服务业。</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投标人属于在全国投资项目在线审批监管平台备案的工程咨询单位，咨询专业包括电子、信息工程（含通信、广电、信息化），服务范围包括项目咨询。</w:t>
            </w:r>
            <w:r>
              <w:rPr>
                <w:rFonts w:hint="eastAsia" w:ascii="宋体" w:hAnsi="宋体" w:cs="宋体"/>
                <w:b/>
                <w:bCs/>
                <w:color w:val="auto"/>
                <w:kern w:val="0"/>
                <w:sz w:val="24"/>
                <w:highlight w:val="none"/>
              </w:rPr>
              <w:t>（提供全国投资项目在线审批监管平台的查询截图）</w:t>
            </w:r>
            <w:r>
              <w:rPr>
                <w:rFonts w:hint="eastAsia" w:ascii="宋体" w:hAnsi="宋体" w:cs="宋体"/>
                <w:color w:val="auto"/>
                <w:kern w:val="0"/>
                <w:sz w:val="24"/>
                <w:highlight w:val="none"/>
              </w:rPr>
              <w:t>；</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报价要求</w:t>
            </w:r>
          </w:p>
        </w:tc>
        <w:tc>
          <w:tcPr>
            <w:tcW w:w="7015" w:type="dxa"/>
            <w:vAlign w:val="center"/>
          </w:tcPr>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本次投标为总价包干，投标报价总价作为中标人与采购人签订的合同金额。投标人的报价不可高于总预算（限价）及各分项预算（限价），否则投标人的投标文件视同无效。投标人的投标总价为完成项目及招标文件或合同条款所规定的工作内容的各项费用，应包括项目研究、成果报告编制、法定税费和企业的利润等为完成本项目服务所发生的全部相关费用。包含但不限于：人员费用及成果制作费、专家咨询费/评审费、车辆使用费、办公场所租赁费、差旅费、管理费、税费等。一经中标，投标报价总价作为中标单位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的合同金额，合同期限内不做调整。</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联系方式</w:t>
            </w:r>
          </w:p>
        </w:tc>
        <w:tc>
          <w:tcPr>
            <w:tcW w:w="7015" w:type="dxa"/>
            <w:vAlign w:val="center"/>
          </w:tcPr>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1.采购人信息</w:t>
            </w:r>
          </w:p>
          <w:p>
            <w:pPr>
              <w:spacing w:line="360" w:lineRule="auto"/>
              <w:rPr>
                <w:rFonts w:hint="eastAsia" w:ascii="宋体" w:hAnsi="宋体" w:cs="宋体"/>
                <w:color w:val="auto"/>
                <w:kern w:val="0"/>
                <w:sz w:val="24"/>
                <w:highlight w:val="none"/>
              </w:rPr>
            </w:pPr>
            <w:bookmarkStart w:id="12" w:name="_Toc28359086"/>
            <w:bookmarkStart w:id="13" w:name="_Toc28359009"/>
            <w:r>
              <w:rPr>
                <w:rFonts w:hint="eastAsia" w:ascii="宋体" w:hAnsi="宋体" w:cs="宋体"/>
                <w:color w:val="auto"/>
                <w:kern w:val="0"/>
                <w:sz w:val="24"/>
                <w:highlight w:val="none"/>
              </w:rPr>
              <w:t>名  称：深圳市前海深港现代服务业合作区管理局</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地  址：深圳市南山区前海深港合作区桂湾五路123号前海管理局前海大厦T1栋　　　　　　　　　</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联系人：李先生</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电  话：0755-88105335</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2.采购代理机构信息</w:t>
            </w:r>
            <w:bookmarkEnd w:id="12"/>
            <w:bookmarkEnd w:id="13"/>
          </w:p>
          <w:p>
            <w:pPr>
              <w:spacing w:line="360" w:lineRule="auto"/>
              <w:rPr>
                <w:rFonts w:hint="eastAsia" w:ascii="宋体" w:hAnsi="宋体" w:cs="宋体"/>
                <w:color w:val="auto"/>
                <w:kern w:val="0"/>
                <w:sz w:val="24"/>
                <w:highlight w:val="none"/>
              </w:rPr>
            </w:pPr>
            <w:bookmarkStart w:id="14" w:name="_Toc28359010"/>
            <w:bookmarkStart w:id="15" w:name="_Toc28359087"/>
            <w:r>
              <w:rPr>
                <w:rFonts w:hint="eastAsia" w:ascii="宋体" w:hAnsi="宋体" w:cs="宋体"/>
                <w:color w:val="auto"/>
                <w:kern w:val="0"/>
                <w:sz w:val="24"/>
                <w:highlight w:val="none"/>
              </w:rPr>
              <w:t>名  称：北京国际招标有限公司</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地  址：深圳市南山区卓越前海壹号大厦A座1403B</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联系人：张先生</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电  话：0755-83629963</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邮  箱：759017044@qq.com</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3.项目联系方式</w:t>
            </w:r>
            <w:bookmarkEnd w:id="14"/>
            <w:bookmarkEnd w:id="15"/>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项目联系人：张先生</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电　话：0755-83629963</w:t>
            </w:r>
          </w:p>
        </w:tc>
      </w:tr>
    </w:tbl>
    <w:p>
      <w:pPr>
        <w:adjustRightInd w:val="0"/>
        <w:snapToGrid w:val="0"/>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北京国际招标有限公司</w:t>
      </w:r>
    </w:p>
    <w:p>
      <w:pPr>
        <w:adjustRightInd w:val="0"/>
        <w:snapToGrid w:val="0"/>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w:t>
      </w: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 </w:t>
      </w:r>
      <w:bookmarkStart w:id="16" w:name="_Toc10214"/>
      <w:bookmarkStart w:id="17" w:name="_Toc30172"/>
      <w:r>
        <w:rPr>
          <w:rFonts w:hint="eastAsia" w:ascii="宋体" w:hAnsi="宋体" w:cs="宋体"/>
          <w:b/>
          <w:bCs/>
          <w:color w:val="auto"/>
          <w:sz w:val="24"/>
          <w:highlight w:val="none"/>
        </w:rPr>
        <w:t>投标须知</w:t>
      </w:r>
      <w:bookmarkEnd w:id="16"/>
      <w:bookmarkEnd w:id="17"/>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1、本项目是深圳市前海深港现代服务业合作区管理局的前海建设工程全生命周期监督管理平台可行性研究咨询服务项目。</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本项目不属于《深圳市2025—2026年政府集中采购目录及限额标准》规定应集中采购项目，根据《中华人民共和国政府采购法》《深圳经济特区政府采购条例》的有关规定，北京国际招标有限公司受深圳市前海深港现代服务业合作区管理局委托组织采购。</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2.2、对于重新组织简易招标(公开征集)，仍出现有效投标供应商不足3家的情形，按以下流程执行：</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a.有效投标人为2家的，可在2家有效投标人中取得分最高者为中标供应商；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b.如参与投标且符合招标文件要求的供应商仅有1家，评审委员会应与投标供应商进行谈判，原则上成交价不超过最初报价的95%。</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3、本项目根据项目的实际情况，公开征集符合投标人资格的供应商。请各供应商根据本文件的要求，准备</w:t>
      </w:r>
      <w:r>
        <w:rPr>
          <w:rFonts w:hint="eastAsia" w:ascii="宋体" w:hAnsi="宋体" w:cs="宋体"/>
          <w:b/>
          <w:bCs/>
          <w:color w:val="auto"/>
          <w:sz w:val="24"/>
          <w:highlight w:val="none"/>
        </w:rPr>
        <w:t>5套（1套正本，4套副本</w:t>
      </w:r>
      <w:bookmarkStart w:id="18" w:name="OLE_LINK1"/>
      <w:r>
        <w:rPr>
          <w:rFonts w:hint="eastAsia" w:ascii="宋体" w:hAnsi="宋体" w:cs="宋体"/>
          <w:b/>
          <w:bCs/>
          <w:color w:val="auto"/>
          <w:sz w:val="24"/>
          <w:highlight w:val="none"/>
        </w:rPr>
        <w:t>，</w:t>
      </w:r>
      <w:bookmarkStart w:id="19" w:name="OLE_LINK3"/>
      <w:r>
        <w:rPr>
          <w:rFonts w:hint="eastAsia" w:ascii="宋体" w:hAnsi="宋体" w:cs="宋体"/>
          <w:b/>
          <w:color w:val="auto"/>
          <w:sz w:val="24"/>
          <w:highlight w:val="none"/>
        </w:rPr>
        <w:t>1份</w:t>
      </w:r>
      <w:bookmarkEnd w:id="18"/>
      <w:bookmarkEnd w:id="19"/>
      <w:r>
        <w:rPr>
          <w:rFonts w:hint="eastAsia" w:ascii="宋体" w:hAnsi="宋体" w:cs="宋体"/>
          <w:b/>
          <w:color w:val="auto"/>
          <w:sz w:val="24"/>
          <w:highlight w:val="none"/>
        </w:rPr>
        <w:t>电子文档【电子文档包括：PDF格式的正本投标文件扫描件、与正本一致的word文档格式的投标文件】</w:t>
      </w:r>
      <w:r>
        <w:rPr>
          <w:rFonts w:hint="eastAsia" w:ascii="宋体" w:hAnsi="宋体" w:cs="宋体"/>
          <w:b/>
          <w:bCs/>
          <w:color w:val="auto"/>
          <w:sz w:val="24"/>
          <w:highlight w:val="none"/>
        </w:rPr>
        <w:t>）</w:t>
      </w:r>
      <w:r>
        <w:rPr>
          <w:rFonts w:hint="eastAsia" w:ascii="宋体" w:hAnsi="宋体" w:cs="宋体"/>
          <w:color w:val="auto"/>
          <w:sz w:val="24"/>
          <w:highlight w:val="none"/>
        </w:rPr>
        <w:t>完备的资料进行投标。</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auto"/>
          <w:sz w:val="24"/>
          <w:highlight w:val="none"/>
        </w:rPr>
      </w:pPr>
      <w:r>
        <w:rPr>
          <w:rFonts w:hint="eastAsia" w:ascii="宋体" w:hAnsi="宋体" w:cs="宋体"/>
          <w:color w:val="auto"/>
          <w:sz w:val="24"/>
          <w:highlight w:val="none"/>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highlight w:val="none"/>
        </w:rPr>
      </w:pPr>
      <w:r>
        <w:rPr>
          <w:rFonts w:hint="eastAsia" w:ascii="宋体" w:hAnsi="宋体" w:cs="宋体"/>
          <w:color w:val="auto"/>
          <w:sz w:val="24"/>
          <w:highlight w:val="none"/>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highlight w:val="none"/>
        </w:rPr>
      </w:pPr>
      <w:r>
        <w:rPr>
          <w:rFonts w:hint="eastAsia" w:ascii="宋体" w:hAnsi="宋体" w:cs="宋体"/>
          <w:color w:val="auto"/>
          <w:sz w:val="24"/>
          <w:highlight w:val="none"/>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highlight w:val="none"/>
        </w:rPr>
      </w:pPr>
      <w:r>
        <w:rPr>
          <w:rFonts w:hint="eastAsia" w:ascii="宋体" w:hAnsi="宋体" w:cs="宋体"/>
          <w:color w:val="auto"/>
          <w:sz w:val="24"/>
          <w:highlight w:val="none"/>
        </w:rPr>
        <w:t>技术部分。</w:t>
      </w:r>
    </w:p>
    <w:p>
      <w:pPr>
        <w:snapToGrid w:val="0"/>
        <w:spacing w:line="360" w:lineRule="auto"/>
        <w:rPr>
          <w:rFonts w:hint="eastAsia"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采购人会对本次招标的项目确定一个最高限价，最终成交价格超出最高限价将会被当作投标无效处理。</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9、本次采购凡涉及知识产权问题，由项目供应商负责。</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10、采购人将组成评审委员会，评审工作由评审委员会独立负责。</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（3）如果二个及以上供应商的综合评分相同，且投标价格也相同时，取技术部分得分高者为第一中标候选人。</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（1）供应商在谈判时由项目负责人与评审委员会进行谈判；</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（2）原则上成交价不超过最初报价的95%。</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14、所有的评审/谈判内容都必须保密。</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15、招标代理服务收费：</w:t>
      </w:r>
    </w:p>
    <w:p>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具体计取费率标准如下表所示：</w:t>
      </w:r>
    </w:p>
    <w:tbl>
      <w:tblPr>
        <w:tblStyle w:val="19"/>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0.8%</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0.8%</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0.45%</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0.5%</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0.1%</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0.008%</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0.008%</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0.006%</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0.006%</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0.004%</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0.004%</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0.004%</w:t>
            </w:r>
          </w:p>
        </w:tc>
      </w:tr>
    </w:tbl>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招标代理服务费缴纳至：</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开户名称：北京国际招标有限公司深圳分公司</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银行账号：15063366666619</w:t>
      </w:r>
    </w:p>
    <w:p>
      <w:pPr>
        <w:spacing w:line="360" w:lineRule="auto"/>
        <w:rPr>
          <w:rFonts w:hint="eastAsia" w:ascii="宋体" w:hAnsi="宋体" w:cs="宋体"/>
          <w:b/>
          <w:bCs/>
          <w:color w:val="auto"/>
          <w:sz w:val="24"/>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auto"/>
          <w:sz w:val="24"/>
          <w:highlight w:val="none"/>
        </w:rPr>
        <w:t>开户银行：平安银行深圳分行营业部</w:t>
      </w: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bookmarkStart w:id="20" w:name="_Toc20176"/>
      <w:bookmarkStart w:id="21" w:name="_Toc25974"/>
      <w:r>
        <w:rPr>
          <w:rFonts w:hint="eastAsia" w:ascii="宋体" w:hAnsi="宋体" w:cs="宋体"/>
          <w:b/>
          <w:bCs/>
          <w:color w:val="auto"/>
          <w:sz w:val="24"/>
          <w:highlight w:val="none"/>
        </w:rPr>
        <w:t>评标程序</w:t>
      </w:r>
      <w:bookmarkEnd w:id="20"/>
      <w:bookmarkEnd w:id="21"/>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二、参加会议人员：投标人代表（如需）、项目负责代表、评审委员会成员、监督部门代表（如需）、采购代理机构代表。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三、会议主持人：北京国际招标有限公司工作人员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四、开标时间：2026年2月3日10：00时（北京时间）。</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五、会议开始：2026年2月3日10：00时（北京时间）由会议主持人宣布定标会议开始。</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七、由采购代理机构代表现场拆封投标文件，并分发给评审委员会成员。</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八、评审委员会审查供应商的投标文件，工作人员记录审查的情况。</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九、评审委员会按以下工作程序进行：</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1、评标委员会对各供应商的投标文件进行初审，对未能通过初审的投标文件作投标无效处理。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2、对通过初审的供应商的投标文件进行详细的比较和评价。如需要，进行必要的澄清/说明工作。</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3、根据参与投标且符合招标文件要求的供应商数量情况，确定本项目的评审方法。</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4、采用综合评分法的情况：评审委员会将分别对供应商递交的投标文件进行评审。</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4.2如果二个及以上供应商的综合评分相同时，取投标价格低者为第一中标候选人。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4.3如果二个及以上供应商的综合评分相同，且投标价格也相同时，取技术部分得分高者为第一中标候选人。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5、采用谈判的情况：参与投标且符合招标文件要求的供应商仅有一家，评审委员会将与投标供应商进行谈判。</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5.1 供应商在谈判时由项目负责人与评审委员会进行谈判；</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5.2 原则上成交价不超过最初报价的95%。</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6、评审委员会按照本项目招标文件中规定的评标方法确定中标供应商。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十、根据本次采购的结果，1</w:t>
      </w:r>
      <w:r>
        <w:rPr>
          <w:rFonts w:ascii="宋体" w:hAnsi="宋体" w:cs="宋体"/>
          <w:color w:val="auto"/>
          <w:sz w:val="24"/>
          <w:highlight w:val="none"/>
        </w:rPr>
        <w:t>0</w:t>
      </w:r>
      <w:r>
        <w:rPr>
          <w:rFonts w:hint="eastAsia" w:ascii="宋体" w:hAnsi="宋体" w:cs="宋体"/>
          <w:color w:val="auto"/>
          <w:sz w:val="24"/>
          <w:highlight w:val="none"/>
        </w:rPr>
        <w:t>个工作日内与中标供应商签订合同。</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pStyle w:val="9"/>
        <w:rPr>
          <w:rFonts w:hint="eastAsia" w:ascii="宋体" w:hAnsi="宋体" w:cs="宋体"/>
          <w:color w:val="auto"/>
          <w:highlight w:val="none"/>
        </w:rPr>
      </w:pPr>
      <w:r>
        <w:rPr>
          <w:rFonts w:hint="eastAsia"/>
          <w:color w:val="auto"/>
          <w:highlight w:val="none"/>
        </w:rPr>
        <w:br w:type="page"/>
      </w:r>
    </w:p>
    <w:p>
      <w:pPr>
        <w:numPr>
          <w:ilvl w:val="0"/>
          <w:numId w:val="1"/>
        </w:numPr>
        <w:spacing w:line="360" w:lineRule="auto"/>
        <w:jc w:val="center"/>
        <w:outlineLvl w:val="0"/>
        <w:rPr>
          <w:rFonts w:hint="eastAsia" w:ascii="宋体" w:hAnsi="宋体" w:cs="宋体"/>
          <w:b/>
          <w:bCs/>
          <w:color w:val="auto"/>
          <w:sz w:val="24"/>
          <w:highlight w:val="none"/>
        </w:rPr>
      </w:pPr>
      <w:bookmarkStart w:id="22" w:name="_Toc8663"/>
      <w:bookmarkStart w:id="23" w:name="_Toc3567"/>
      <w:r>
        <w:rPr>
          <w:rFonts w:hint="eastAsia" w:ascii="宋体" w:hAnsi="宋体" w:cs="宋体"/>
          <w:b/>
          <w:bCs/>
          <w:color w:val="auto"/>
          <w:sz w:val="24"/>
          <w:highlight w:val="none"/>
        </w:rPr>
        <w:t xml:space="preserve"> 合同格式及合同条款</w:t>
      </w:r>
      <w:bookmarkEnd w:id="22"/>
      <w:bookmarkEnd w:id="23"/>
    </w:p>
    <w:p>
      <w:pPr>
        <w:spacing w:line="360" w:lineRule="auto"/>
        <w:ind w:firstLine="470" w:firstLineChars="196"/>
        <w:jc w:val="center"/>
        <w:rPr>
          <w:rFonts w:hint="eastAsia" w:ascii="宋体" w:hAnsi="宋体" w:cs="宋体"/>
          <w:color w:val="auto"/>
          <w:sz w:val="24"/>
          <w:highlight w:val="none"/>
        </w:rPr>
      </w:pPr>
      <w:bookmarkStart w:id="24" w:name="_Toc73517685"/>
      <w:bookmarkStart w:id="25" w:name="_Toc73521680"/>
      <w:bookmarkStart w:id="26" w:name="_Toc73518163"/>
      <w:bookmarkStart w:id="27" w:name="_Toc73521592"/>
      <w:bookmarkStart w:id="28" w:name="_Toc84303603"/>
      <w:bookmarkStart w:id="29" w:name="_Toc101074886"/>
      <w:bookmarkStart w:id="30" w:name="_Toc100052414"/>
    </w:p>
    <w:bookmarkEnd w:id="24"/>
    <w:bookmarkEnd w:id="25"/>
    <w:bookmarkEnd w:id="26"/>
    <w:bookmarkEnd w:id="27"/>
    <w:bookmarkEnd w:id="28"/>
    <w:bookmarkEnd w:id="29"/>
    <w:bookmarkEnd w:id="30"/>
    <w:p>
      <w:pPr>
        <w:pStyle w:val="33"/>
        <w:spacing w:line="360" w:lineRule="auto"/>
        <w:ind w:left="1470" w:right="1470" w:firstLine="482"/>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合同编号（甲方）：            </w:t>
      </w:r>
    </w:p>
    <w:p>
      <w:pPr>
        <w:pStyle w:val="33"/>
        <w:spacing w:line="360" w:lineRule="auto"/>
        <w:ind w:left="1470" w:right="1470" w:firstLine="482"/>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合同编号（乙方）：            </w:t>
      </w:r>
    </w:p>
    <w:p>
      <w:pPr>
        <w:pStyle w:val="33"/>
        <w:spacing w:line="360" w:lineRule="auto"/>
        <w:ind w:left="1470" w:right="1470" w:firstLine="482"/>
        <w:jc w:val="center"/>
        <w:rPr>
          <w:rFonts w:hint="eastAsia" w:ascii="宋体" w:hAnsi="宋体" w:cs="宋体"/>
          <w:b/>
          <w:color w:val="auto"/>
          <w:sz w:val="24"/>
          <w:szCs w:val="24"/>
          <w:highlight w:val="none"/>
        </w:rPr>
      </w:pPr>
    </w:p>
    <w:p>
      <w:pPr>
        <w:pStyle w:val="33"/>
        <w:spacing w:line="360" w:lineRule="auto"/>
        <w:ind w:left="1470" w:right="1470"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pStyle w:val="33"/>
        <w:spacing w:line="360" w:lineRule="auto"/>
        <w:ind w:left="1470" w:right="1470"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spacing w:line="360" w:lineRule="auto"/>
        <w:jc w:val="center"/>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rPr>
        <w:t>前海建设工程全生命周期监督管理平台可行性研究咨询服务项目</w:t>
      </w:r>
    </w:p>
    <w:p>
      <w:pPr>
        <w:spacing w:line="360" w:lineRule="auto"/>
        <w:jc w:val="center"/>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rPr>
        <w:t>委托合同</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pStyle w:val="33"/>
        <w:spacing w:line="360" w:lineRule="auto"/>
        <w:ind w:left="1470" w:right="147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33"/>
        <w:spacing w:line="360" w:lineRule="auto"/>
        <w:ind w:left="1470" w:right="147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ind w:firstLine="720" w:firstLineChars="300"/>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：前海建设工程全生命周期监督管理平台可行性研究咨询服务项目</w:t>
      </w:r>
    </w:p>
    <w:p>
      <w:pPr>
        <w:spacing w:line="360" w:lineRule="auto"/>
        <w:ind w:firstLine="720" w:firstLineChars="300"/>
        <w:rPr>
          <w:rFonts w:hint="eastAsia" w:ascii="宋体" w:hAnsi="宋体" w:cs="宋体"/>
          <w:color w:val="auto"/>
          <w:sz w:val="24"/>
          <w:highlight w:val="none"/>
          <w:u w:val="single"/>
        </w:rPr>
      </w:pPr>
      <w:r>
        <w:rPr>
          <w:rFonts w:hint="eastAsia" w:ascii="宋体" w:hAnsi="宋体" w:cs="宋体"/>
          <w:color w:val="auto"/>
          <w:sz w:val="24"/>
          <w:highlight w:val="none"/>
        </w:rPr>
        <w:t>项目类型：</w:t>
      </w:r>
      <w:r>
        <w:rPr>
          <w:rFonts w:hint="eastAsia" w:ascii="宋体" w:hAnsi="宋体" w:cs="宋体"/>
          <w:color w:val="auto"/>
          <w:sz w:val="24"/>
          <w:highlight w:val="none"/>
          <w:u w:val="single"/>
        </w:rPr>
        <w:t xml:space="preserve">           服务类       </w:t>
      </w:r>
      <w:r>
        <w:rPr>
          <w:rFonts w:ascii="宋体" w:hAnsi="宋体" w:cs="宋体"/>
          <w:color w:val="auto"/>
          <w:sz w:val="24"/>
          <w:highlight w:val="none"/>
          <w:u w:val="single"/>
        </w:rPr>
        <w:t xml:space="preserve">     </w:t>
      </w:r>
    </w:p>
    <w:p>
      <w:pPr>
        <w:spacing w:line="360" w:lineRule="auto"/>
        <w:ind w:firstLine="720" w:firstLineChars="300"/>
        <w:rPr>
          <w:rFonts w:hint="eastAsia" w:ascii="宋体" w:hAnsi="宋体" w:cs="宋体"/>
          <w:color w:val="auto"/>
          <w:sz w:val="24"/>
          <w:highlight w:val="none"/>
          <w:u w:val="single"/>
        </w:rPr>
      </w:pPr>
      <w:r>
        <w:rPr>
          <w:rFonts w:hint="eastAsia" w:ascii="宋体" w:hAnsi="宋体" w:cs="宋体"/>
          <w:color w:val="auto"/>
          <w:sz w:val="24"/>
          <w:highlight w:val="none"/>
        </w:rPr>
        <w:t>委托方（甲方）：</w:t>
      </w:r>
      <w:r>
        <w:rPr>
          <w:rFonts w:hint="eastAsia" w:ascii="宋体" w:hAnsi="宋体" w:cs="宋体"/>
          <w:color w:val="auto"/>
          <w:sz w:val="24"/>
          <w:highlight w:val="none"/>
          <w:u w:val="single"/>
        </w:rPr>
        <w:t xml:space="preserve">  深圳市前海深港现代服务业合作区管理局  </w:t>
      </w:r>
    </w:p>
    <w:p>
      <w:pPr>
        <w:spacing w:line="360" w:lineRule="auto"/>
        <w:ind w:firstLine="720" w:firstLineChars="300"/>
        <w:rPr>
          <w:rFonts w:hint="eastAsia" w:ascii="宋体" w:hAnsi="宋体" w:cs="宋体"/>
          <w:color w:val="auto"/>
          <w:sz w:val="24"/>
          <w:highlight w:val="none"/>
          <w:u w:val="single"/>
        </w:rPr>
      </w:pPr>
      <w:r>
        <w:rPr>
          <w:rFonts w:hint="eastAsia" w:ascii="宋体" w:hAnsi="宋体" w:cs="宋体"/>
          <w:color w:val="auto"/>
          <w:sz w:val="24"/>
          <w:highlight w:val="none"/>
        </w:rPr>
        <w:t>承接方（乙方）：</w:t>
      </w:r>
      <w:r>
        <w:rPr>
          <w:rFonts w:hint="eastAsia" w:ascii="宋体" w:hAnsi="宋体" w:cs="宋体"/>
          <w:color w:val="auto"/>
          <w:sz w:val="24"/>
          <w:highlight w:val="none"/>
          <w:u w:val="single"/>
        </w:rPr>
        <w:t xml:space="preserve">                                        </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jc w:val="center"/>
        <w:rPr>
          <w:rFonts w:hint="eastAsia" w:ascii="宋体" w:hAnsi="宋体" w:cs="宋体"/>
          <w:color w:val="auto"/>
          <w:sz w:val="24"/>
          <w:highlight w:val="none"/>
        </w:rPr>
      </w:pP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二〇二六年  月</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本合同共    页（不含封面）</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甲方： </w:t>
      </w:r>
      <w:r>
        <w:rPr>
          <w:rFonts w:hint="eastAsia" w:ascii="宋体" w:hAnsi="宋体" w:cs="宋体"/>
          <w:color w:val="auto"/>
          <w:sz w:val="24"/>
          <w:highlight w:val="none"/>
          <w:u w:val="single"/>
        </w:rPr>
        <w:t>深圳市前海深港现代服务业合作区管理局</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地址： </w:t>
      </w:r>
      <w:r>
        <w:rPr>
          <w:rFonts w:hint="eastAsia" w:ascii="宋体" w:hAnsi="宋体" w:cs="宋体"/>
          <w:color w:val="auto"/>
          <w:sz w:val="24"/>
          <w:highlight w:val="none"/>
          <w:u w:val="single"/>
        </w:rPr>
        <w:t>深圳市前海深港合作区</w:t>
      </w:r>
      <w:r>
        <w:rPr>
          <w:rFonts w:ascii="宋体" w:hAnsi="宋体" w:cs="宋体"/>
          <w:color w:val="auto"/>
          <w:sz w:val="24"/>
          <w:highlight w:val="none"/>
          <w:u w:val="single"/>
        </w:rPr>
        <w:t>桂湾五路123号前海大厦T1栋前海管理局</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法定代表人： </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乙方：</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地址：</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法定代表人：</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以下甲方和乙方合称“双方”。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根据《中华人民共和国民法典》等法律、法规的相关规定和编号为【</w:t>
      </w:r>
      <w:r>
        <w:rPr>
          <w:rFonts w:hint="eastAsia" w:ascii="宋体" w:hAnsi="宋体" w:cs="宋体"/>
          <w:color w:val="auto"/>
          <w:sz w:val="24"/>
          <w:highlight w:val="none"/>
          <w:u w:val="single"/>
        </w:rPr>
        <w:t>QH2025XXX</w:t>
      </w:r>
      <w:r>
        <w:rPr>
          <w:rFonts w:hint="eastAsia" w:ascii="宋体" w:hAnsi="宋体" w:cs="宋体"/>
          <w:color w:val="auto"/>
          <w:sz w:val="24"/>
          <w:highlight w:val="none"/>
        </w:rPr>
        <w:t>】招标项目的中标结果，由【***】单位（以下简称乙方）为中标人。按照《中华人民共和国民法典》和《深圳经济特区政府采购条例》，经甲乙双方协商，就甲方委托乙方开展</w:t>
      </w:r>
      <w:r>
        <w:rPr>
          <w:rFonts w:hint="eastAsia" w:ascii="宋体" w:hAnsi="宋体" w:cs="宋体"/>
          <w:b/>
          <w:bCs/>
          <w:color w:val="auto"/>
          <w:sz w:val="24"/>
          <w:highlight w:val="none"/>
          <w:u w:val="single"/>
        </w:rPr>
        <w:t>前海建设工程全生命周期监督管理平台可行性研究咨询服务项目</w:t>
      </w:r>
      <w:r>
        <w:rPr>
          <w:rFonts w:hint="eastAsia" w:ascii="宋体" w:hAnsi="宋体" w:cs="宋体"/>
          <w:b/>
          <w:bCs/>
          <w:color w:val="auto"/>
          <w:kern w:val="0"/>
          <w:sz w:val="24"/>
          <w:highlight w:val="none"/>
          <w:u w:val="single"/>
        </w:rPr>
        <w:t>（以下简称本项目）</w:t>
      </w:r>
      <w:r>
        <w:rPr>
          <w:rFonts w:hint="eastAsia" w:ascii="宋体" w:hAnsi="宋体" w:cs="宋体"/>
          <w:color w:val="auto"/>
          <w:sz w:val="24"/>
          <w:highlight w:val="none"/>
        </w:rPr>
        <w:t>，达成以下合同条款：</w:t>
      </w:r>
    </w:p>
    <w:p>
      <w:pPr>
        <w:numPr>
          <w:ilvl w:val="0"/>
          <w:numId w:val="5"/>
        </w:numPr>
        <w:spacing w:line="360" w:lineRule="auto"/>
        <w:ind w:left="11" w:firstLine="420"/>
        <w:outlineLvl w:val="1"/>
        <w:rPr>
          <w:rFonts w:hint="eastAsia" w:ascii="宋体" w:hAnsi="宋体" w:cs="宋体"/>
          <w:b/>
          <w:bCs/>
          <w:color w:val="auto"/>
          <w:sz w:val="24"/>
          <w:highlight w:val="none"/>
        </w:rPr>
      </w:pPr>
      <w:r>
        <w:rPr>
          <w:rFonts w:hint="eastAsia" w:ascii="宋体" w:hAnsi="宋体" w:cs="宋体"/>
          <w:b/>
          <w:bCs/>
          <w:color w:val="auto"/>
          <w:sz w:val="24"/>
          <w:highlight w:val="none"/>
        </w:rPr>
        <w:t>项目建设内容</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本项目以破解前海建设工程跨部门协同不足、数据壁垒突出、监管模式</w:t>
      </w:r>
      <w:r>
        <w:rPr>
          <w:rFonts w:hint="eastAsia" w:ascii="宋体" w:hAnsi="宋体" w:cs="宋体"/>
          <w:color w:val="auto"/>
          <w:kern w:val="0"/>
          <w:sz w:val="24"/>
          <w:highlight w:val="none"/>
          <w:lang w:eastAsia="zh-CN"/>
        </w:rPr>
        <w:t>滞后</w:t>
      </w:r>
      <w:r>
        <w:rPr>
          <w:rFonts w:hint="eastAsia" w:ascii="宋体" w:hAnsi="宋体" w:cs="宋体"/>
          <w:color w:val="auto"/>
          <w:kern w:val="0"/>
          <w:sz w:val="24"/>
          <w:highlight w:val="none"/>
        </w:rPr>
        <w:t>等痛点为出发点，通过充分发挥前海廉洁治理创新平台作用，按照建设“三套数字系统”、强化“两个保障支撑”、打造“一个场景空间”的总体思路，实现“公司穿透、人员穿透、资金穿透”三维穿透监管效果，做到业务流程高效运转、权力运行全程留痕、廉政风险实时预警，努力在运用区块链、大数据、人工智能技术源头治理腐败上走前列、作示范。</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建设“三套数字系统”。一是工程建设行权数字化系统。建设覆盖项目谋划储备、政府投资计划、前期工作、建设实施、竣工移交等全过程的数字化业务系统，横向贯通各业务环节，纵向打通省、市、区三级系统数据通道，实现数据实时回流与统一管理，形成项目数字资源“总账本”，推动“权在线上走、事在网上办”。二是工程建设存证数字化系统。建立可信共享存证的区块链数字化系统，发挥区块链数据不可篡改、全流程可追溯、分布式存证等技术优势，部署一套高性能区块链底层平台，构建独立的区块链网络，将业务数据实时写入区块链，形成不可篡改的“数字证据链”，为廉政监督提供即时可信的链上取证通道。三是工程建设监督数字化系统。建设工程建设全生命周期监督预警系统，打造“事前预防-事中预警提醒-事后快速处置”的风险管控体系，通过数据上链存证、多维指标设置、智能模型研判、闭环处置落地，实现建设工程领域立体化监督、规范化管理。</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2.强化“两个保障”支撑。一是建设一个数据共享库。以数据互通共享为核心，统筹归集省级、市级、本级多层级业务系统数据，通过标准化治理与专题数据库建设，构建起可信可靠、高效可用的数据支撑体系。二是制定一套制度规范。形成一套包括技术方案、数据安全、操作规程、预警处置等操作规程，实现业务升级、流程优化再造，进一步提高建设工程的审批效率和建设质效。  </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打造“一个场景空间”。即：“区块链+大数据智慧监督”场景应用体验空间，整合人工智能、区块链、大数据等技术在前海工程建设领域等廉政风险防控方面的应用，探索打造廉洁治理应用场景体验中心，彰显廉洁前海、阳光前海、效率前海建设的成果。</w:t>
      </w:r>
    </w:p>
    <w:p>
      <w:pPr>
        <w:numPr>
          <w:ilvl w:val="0"/>
          <w:numId w:val="5"/>
        </w:numPr>
        <w:spacing w:line="360" w:lineRule="auto"/>
        <w:ind w:left="11" w:firstLine="420"/>
        <w:outlineLvl w:val="1"/>
        <w:rPr>
          <w:rFonts w:hint="eastAsia" w:ascii="宋体" w:hAnsi="宋体" w:cs="宋体"/>
          <w:b/>
          <w:bCs/>
          <w:color w:val="auto"/>
          <w:sz w:val="24"/>
          <w:highlight w:val="none"/>
        </w:rPr>
      </w:pPr>
      <w:r>
        <w:rPr>
          <w:rFonts w:hint="eastAsia" w:ascii="宋体" w:hAnsi="宋体" w:cs="宋体"/>
          <w:b/>
          <w:bCs/>
          <w:color w:val="auto"/>
          <w:sz w:val="24"/>
          <w:highlight w:val="none"/>
        </w:rPr>
        <w:t>服务内容</w:t>
      </w:r>
    </w:p>
    <w:p>
      <w:pPr>
        <w:snapToGrid w:val="0"/>
        <w:spacing w:line="360" w:lineRule="auto"/>
        <w:ind w:left="11" w:firstLine="480" w:firstLineChars="200"/>
        <w:rPr>
          <w:rFonts w:hint="eastAsia" w:ascii="宋体" w:hAnsi="宋体" w:cs="宋体"/>
          <w:color w:val="auto"/>
          <w:kern w:val="0"/>
          <w:sz w:val="24"/>
          <w:highlight w:val="none"/>
        </w:rPr>
      </w:pPr>
      <w:bookmarkStart w:id="31" w:name="_Toc23975"/>
      <w:r>
        <w:rPr>
          <w:rFonts w:hint="eastAsia" w:ascii="宋体" w:hAnsi="宋体" w:cs="宋体"/>
          <w:color w:val="auto"/>
          <w:kern w:val="0"/>
          <w:sz w:val="24"/>
          <w:highlight w:val="none"/>
        </w:rPr>
        <w:t>按照《深圳经济特区政府投资项目管理条例》《深圳市前海管理局政府投资项目管理工作规程》《前海管理局政务信息化项目管理办法》等相关规定，开展“前海建设工程全生命周期监督管理平台”可行性研究报告编制服务。具体内容：</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1．从需求分析、场景设计、架构设计、数据设计、流程设计、标准规范、性能参数、功能指标、建设实施、测试方案、运行维护等方面进行总体设计，形成可行性研究报告。</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2．可行性研究报告内容应按照项目需求单位业务实际需要，符合《深圳市政府投资信息化工程建设项目可行性研究报告编制指南》和发改部门有关要求。</w:t>
      </w:r>
    </w:p>
    <w:p>
      <w:pPr>
        <w:numPr>
          <w:ilvl w:val="0"/>
          <w:numId w:val="5"/>
        </w:numPr>
        <w:spacing w:line="360" w:lineRule="auto"/>
        <w:ind w:left="11" w:firstLine="420"/>
        <w:outlineLvl w:val="1"/>
        <w:rPr>
          <w:rFonts w:hint="eastAsia" w:ascii="宋体" w:hAnsi="宋体" w:cs="宋体"/>
          <w:b/>
          <w:bCs/>
          <w:color w:val="auto"/>
          <w:sz w:val="24"/>
          <w:highlight w:val="none"/>
        </w:rPr>
      </w:pPr>
      <w:r>
        <w:rPr>
          <w:rFonts w:hint="eastAsia" w:ascii="宋体" w:hAnsi="宋体" w:cs="宋体"/>
          <w:b/>
          <w:bCs/>
          <w:color w:val="auto"/>
          <w:sz w:val="24"/>
          <w:highlight w:val="none"/>
        </w:rPr>
        <w:t>合同含税总价</w:t>
      </w:r>
      <w:bookmarkEnd w:id="31"/>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本项目合同含税总价为（大写）：_________________元（￥_______________元）人民币，总价包干。</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合同金额应包括本项目研究、成果报告编制、法定税费和企业的利润等为完成本项目服务所发生的全部相关费用。服务费包含</w:t>
      </w:r>
      <w:r>
        <w:rPr>
          <w:rFonts w:hint="eastAsia" w:ascii="宋体" w:hAnsi="宋体" w:cs="宋体"/>
          <w:color w:val="auto"/>
          <w:kern w:val="0"/>
          <w:sz w:val="24"/>
          <w:highlight w:val="none"/>
          <w:lang w:eastAsia="zh-Hans"/>
        </w:rPr>
        <w:t>但不限于</w:t>
      </w:r>
      <w:r>
        <w:rPr>
          <w:rFonts w:hint="eastAsia" w:ascii="宋体" w:hAnsi="宋体" w:cs="宋体"/>
          <w:color w:val="auto"/>
          <w:kern w:val="0"/>
          <w:sz w:val="24"/>
          <w:highlight w:val="none"/>
        </w:rPr>
        <w:t>：人员费用及成果制作费、专家咨询费/评审费、车辆使用费、办公场所租赁费、差旅费、管理费、税费等；在合同实施期间，除另签补充合同外，甲方不接受乙方以任何理由、任何名目提出增加费用的要求。</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本项目合同最终支付总金额按照如下方式确定：</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1、项目通过甲方发展改革部门批复后，如批复的可行性研究报告编制费用低于合同价，则以批复金额作为合同价；</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2、如项目通过深圳市财政预算和投资评审中心的竣工决算评审，可行性研究报告编制合同价以评审结果为准，甲方据此支付尾款；</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3、如项目可行性研究报告未获得甲方发展改革部门的批复，本合同终止，甲方不支付后续费用；</w:t>
      </w:r>
    </w:p>
    <w:p>
      <w:pPr>
        <w:spacing w:line="360" w:lineRule="auto"/>
        <w:ind w:left="11" w:firstLine="420"/>
        <w:outlineLvl w:val="1"/>
        <w:rPr>
          <w:rFonts w:hint="eastAsia" w:ascii="宋体" w:hAnsi="宋体" w:cs="宋体"/>
          <w:b/>
          <w:bCs/>
          <w:color w:val="auto"/>
          <w:sz w:val="24"/>
          <w:highlight w:val="none"/>
        </w:rPr>
      </w:pPr>
      <w:bookmarkStart w:id="32" w:name="_Toc30786"/>
      <w:r>
        <w:rPr>
          <w:rFonts w:hint="eastAsia" w:ascii="宋体" w:hAnsi="宋体" w:cs="宋体"/>
          <w:b/>
          <w:bCs/>
          <w:color w:val="auto"/>
          <w:sz w:val="24"/>
          <w:highlight w:val="none"/>
        </w:rPr>
        <w:t>四、技术资料</w:t>
      </w:r>
      <w:bookmarkEnd w:id="32"/>
    </w:p>
    <w:p>
      <w:pPr>
        <w:pStyle w:val="10"/>
        <w:snapToGrid w:val="0"/>
        <w:spacing w:line="360" w:lineRule="auto"/>
        <w:ind w:left="11" w:firstLine="480" w:firstLineChars="200"/>
        <w:rPr>
          <w:rFonts w:hint="eastAsia" w:hAnsi="宋体" w:cs="宋体"/>
          <w:color w:val="auto"/>
          <w:sz w:val="24"/>
          <w:highlight w:val="none"/>
        </w:rPr>
      </w:pPr>
      <w:r>
        <w:rPr>
          <w:rFonts w:hint="eastAsia" w:hAnsi="宋体" w:cs="宋体"/>
          <w:color w:val="auto"/>
          <w:sz w:val="24"/>
          <w:highlight w:val="none"/>
        </w:rPr>
        <w:t>1.乙方应按本合同规定的时间向甲方提供有关技术资料。</w:t>
      </w:r>
    </w:p>
    <w:p>
      <w:pPr>
        <w:pStyle w:val="10"/>
        <w:snapToGrid w:val="0"/>
        <w:spacing w:line="360" w:lineRule="auto"/>
        <w:ind w:left="11" w:firstLine="480" w:firstLineChars="200"/>
        <w:rPr>
          <w:rFonts w:hint="eastAsia" w:hAnsi="宋体" w:cs="宋体"/>
          <w:color w:val="auto"/>
          <w:sz w:val="24"/>
          <w:highlight w:val="none"/>
        </w:rPr>
      </w:pPr>
      <w:r>
        <w:rPr>
          <w:rFonts w:hint="eastAsia" w:hAnsi="宋体" w:cs="宋体"/>
          <w:color w:val="auto"/>
          <w:sz w:val="24"/>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snapToGrid w:val="0"/>
        <w:spacing w:line="360" w:lineRule="auto"/>
        <w:ind w:left="11" w:firstLine="480" w:firstLineChars="200"/>
        <w:rPr>
          <w:rFonts w:hint="eastAsia" w:hAnsi="宋体" w:cs="宋体"/>
          <w:color w:val="auto"/>
          <w:sz w:val="24"/>
          <w:highlight w:val="none"/>
        </w:rPr>
      </w:pPr>
      <w:r>
        <w:rPr>
          <w:rFonts w:hint="eastAsia" w:hAnsi="宋体" w:cs="宋体"/>
          <w:color w:val="auto"/>
          <w:sz w:val="24"/>
          <w:highlight w:val="none"/>
        </w:rPr>
        <w:t>3.合同履行完毕，未经甲方的书面同意，乙方不得保存在履行合同过程中所获得或接触到的任何内部数据资料。</w:t>
      </w:r>
    </w:p>
    <w:p>
      <w:pPr>
        <w:spacing w:line="360" w:lineRule="auto"/>
        <w:ind w:left="11" w:firstLine="420"/>
        <w:outlineLvl w:val="1"/>
        <w:rPr>
          <w:rFonts w:hint="eastAsia" w:ascii="宋体" w:hAnsi="宋体" w:cs="宋体"/>
          <w:b/>
          <w:bCs/>
          <w:color w:val="auto"/>
          <w:sz w:val="24"/>
          <w:highlight w:val="none"/>
        </w:rPr>
      </w:pPr>
      <w:bookmarkStart w:id="33" w:name="_Toc9742"/>
      <w:r>
        <w:rPr>
          <w:rFonts w:hint="eastAsia" w:ascii="宋体" w:hAnsi="宋体" w:cs="宋体"/>
          <w:b/>
          <w:bCs/>
          <w:color w:val="auto"/>
          <w:sz w:val="24"/>
          <w:highlight w:val="none"/>
        </w:rPr>
        <w:t>五、知识产权</w:t>
      </w:r>
      <w:bookmarkEnd w:id="33"/>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1.本项目全部阶段性成果和最终成果的所有权、知识产权以及与之相关的所有权利归甲方所有。</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2.双方确定，甲方有权利用乙方按照本合同约定提供的成果，进行后续改进。由此产生的具有实质性或创造性技术进步特征的新的成果及其权利归属，全部由甲方享有。具体相关利益的分配办法如下：甲方100%。</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乙方所提交的全部阶段性成果和最终成果文件及任何数据、资料、软件等不得侵犯任何第三方的知识产权或其他权利，由于该文件、数据、资料、软件侵权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5.乙方完成本合同项目的研究开发人员享有在有关成果文件上写明成果完成者的权利和与甲方共同获得有关荣誉证书、奖励的权利。</w:t>
      </w:r>
    </w:p>
    <w:p>
      <w:pPr>
        <w:spacing w:line="360" w:lineRule="auto"/>
        <w:ind w:left="11" w:firstLine="420"/>
        <w:outlineLvl w:val="1"/>
        <w:rPr>
          <w:rFonts w:hint="eastAsia" w:ascii="宋体" w:hAnsi="宋体" w:cs="宋体"/>
          <w:b/>
          <w:bCs/>
          <w:color w:val="auto"/>
          <w:sz w:val="24"/>
          <w:highlight w:val="none"/>
        </w:rPr>
      </w:pPr>
      <w:bookmarkStart w:id="34" w:name="_Toc16452"/>
      <w:r>
        <w:rPr>
          <w:rFonts w:hint="eastAsia" w:ascii="宋体" w:hAnsi="宋体" w:cs="宋体"/>
          <w:b/>
          <w:bCs/>
          <w:color w:val="auto"/>
          <w:sz w:val="24"/>
          <w:highlight w:val="none"/>
        </w:rPr>
        <w:t>六、甲方的权利与义务</w:t>
      </w:r>
      <w:bookmarkEnd w:id="34"/>
    </w:p>
    <w:p>
      <w:pPr>
        <w:pStyle w:val="10"/>
        <w:snapToGrid w:val="0"/>
        <w:spacing w:line="360" w:lineRule="auto"/>
        <w:ind w:left="11" w:firstLine="480" w:firstLineChars="200"/>
        <w:outlineLvl w:val="2"/>
        <w:rPr>
          <w:rFonts w:hint="eastAsia" w:hAnsi="宋体" w:cs="宋体"/>
          <w:color w:val="auto"/>
          <w:sz w:val="24"/>
          <w:highlight w:val="none"/>
        </w:rPr>
      </w:pPr>
      <w:r>
        <w:rPr>
          <w:rFonts w:hint="eastAsia" w:hAnsi="宋体" w:cs="宋体"/>
          <w:color w:val="auto"/>
          <w:sz w:val="24"/>
          <w:highlight w:val="none"/>
        </w:rPr>
        <w:t>1.甲方的权利</w:t>
      </w:r>
    </w:p>
    <w:p>
      <w:pPr>
        <w:pStyle w:val="10"/>
        <w:snapToGrid w:val="0"/>
        <w:spacing w:line="360" w:lineRule="auto"/>
        <w:ind w:left="11" w:firstLine="720" w:firstLineChars="300"/>
        <w:rPr>
          <w:rFonts w:hint="eastAsia" w:hAnsi="宋体" w:cs="宋体"/>
          <w:color w:val="auto"/>
          <w:sz w:val="24"/>
          <w:highlight w:val="none"/>
        </w:rPr>
      </w:pPr>
      <w:r>
        <w:rPr>
          <w:rFonts w:hint="eastAsia" w:hAnsi="宋体" w:cs="宋体"/>
          <w:color w:val="auto"/>
          <w:sz w:val="24"/>
          <w:highlight w:val="none"/>
        </w:rPr>
        <w:t>1.1甲方对项目研究过程的决策、控制、实施等环节实行全面管理，协调和监督项目工作开展，控制项目工作过程，进行项目成果验收。</w:t>
      </w:r>
    </w:p>
    <w:p>
      <w:pPr>
        <w:pStyle w:val="10"/>
        <w:snapToGrid w:val="0"/>
        <w:spacing w:line="360" w:lineRule="auto"/>
        <w:ind w:left="11" w:firstLine="720" w:firstLineChars="300"/>
        <w:rPr>
          <w:rFonts w:hint="eastAsia" w:hAnsi="宋体" w:cs="宋体"/>
          <w:color w:val="auto"/>
          <w:sz w:val="24"/>
          <w:highlight w:val="none"/>
        </w:rPr>
      </w:pPr>
      <w:r>
        <w:rPr>
          <w:rFonts w:hint="eastAsia" w:hAnsi="宋体" w:cs="宋体"/>
          <w:color w:val="auto"/>
          <w:sz w:val="24"/>
          <w:highlight w:val="none"/>
        </w:rPr>
        <w:t>1.2检查乙方项目人员到位情况，如因人力、能力不足致使项目工作不能按计划完成时，可要求乙方增加或替换相应的技术人员，直至甲方认可，乙方不得拒绝。</w:t>
      </w:r>
    </w:p>
    <w:p>
      <w:pPr>
        <w:pStyle w:val="10"/>
        <w:snapToGrid w:val="0"/>
        <w:spacing w:line="360" w:lineRule="auto"/>
        <w:ind w:left="11" w:firstLine="720" w:firstLineChars="300"/>
        <w:rPr>
          <w:rFonts w:hint="eastAsia" w:hAnsi="宋体" w:cs="宋体"/>
          <w:color w:val="auto"/>
          <w:sz w:val="24"/>
          <w:highlight w:val="none"/>
        </w:rPr>
      </w:pPr>
      <w:r>
        <w:rPr>
          <w:rFonts w:hint="eastAsia" w:hAnsi="宋体" w:cs="宋体"/>
          <w:color w:val="auto"/>
          <w:sz w:val="24"/>
          <w:highlight w:val="none"/>
        </w:rPr>
        <w:t>1.3甲方有权向乙方询问项目工作进展及相关情况，并要求乙方在指定时间内做出答复。</w:t>
      </w:r>
    </w:p>
    <w:p>
      <w:pPr>
        <w:pStyle w:val="10"/>
        <w:snapToGrid w:val="0"/>
        <w:spacing w:line="360" w:lineRule="auto"/>
        <w:ind w:left="11" w:firstLine="720" w:firstLineChars="300"/>
        <w:rPr>
          <w:rFonts w:hint="eastAsia" w:hAnsi="宋体" w:cs="宋体"/>
          <w:color w:val="auto"/>
          <w:sz w:val="24"/>
          <w:highlight w:val="none"/>
        </w:rPr>
      </w:pPr>
      <w:r>
        <w:rPr>
          <w:rFonts w:hint="eastAsia" w:hAnsi="宋体" w:cs="宋体"/>
          <w:color w:val="auto"/>
          <w:sz w:val="24"/>
          <w:highlight w:val="none"/>
        </w:rPr>
        <w:t>1.4甲方有权对乙方提交的阶段性成果、最终成果等相关工作文件进行审核并提出修改意见，有权根据实际需要对成果进行综合优化、调整和修改。</w:t>
      </w:r>
    </w:p>
    <w:p>
      <w:pPr>
        <w:pStyle w:val="10"/>
        <w:snapToGrid w:val="0"/>
        <w:spacing w:line="360" w:lineRule="auto"/>
        <w:ind w:left="11" w:firstLine="720" w:firstLineChars="300"/>
        <w:rPr>
          <w:rFonts w:hint="eastAsia" w:hAnsi="宋体" w:cs="宋体"/>
          <w:color w:val="auto"/>
          <w:sz w:val="24"/>
          <w:highlight w:val="none"/>
        </w:rPr>
      </w:pPr>
      <w:r>
        <w:rPr>
          <w:rFonts w:hint="eastAsia" w:hAnsi="宋体" w:cs="宋体"/>
          <w:color w:val="auto"/>
          <w:sz w:val="24"/>
          <w:highlight w:val="none"/>
        </w:rPr>
        <w:t>1.5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行承担。</w:t>
      </w:r>
    </w:p>
    <w:p>
      <w:pPr>
        <w:pStyle w:val="10"/>
        <w:snapToGrid w:val="0"/>
        <w:spacing w:line="360" w:lineRule="auto"/>
        <w:ind w:left="11" w:firstLine="720" w:firstLineChars="300"/>
        <w:rPr>
          <w:rFonts w:hint="eastAsia" w:hAnsi="宋体" w:cs="宋体"/>
          <w:color w:val="auto"/>
          <w:sz w:val="24"/>
          <w:highlight w:val="none"/>
        </w:rPr>
      </w:pPr>
      <w:r>
        <w:rPr>
          <w:rFonts w:hint="eastAsia" w:hAnsi="宋体" w:cs="宋体"/>
          <w:color w:val="auto"/>
          <w:sz w:val="24"/>
          <w:highlight w:val="none"/>
        </w:rPr>
        <w:t>1.6甲方有权要求乙方全面履行合同。甲方不接受部分履行，如本合同项下部分成果文件未能按时交付则视为整体延误。</w:t>
      </w:r>
    </w:p>
    <w:p>
      <w:pPr>
        <w:pStyle w:val="10"/>
        <w:snapToGrid w:val="0"/>
        <w:spacing w:line="360" w:lineRule="auto"/>
        <w:ind w:left="11" w:firstLine="720" w:firstLineChars="300"/>
        <w:rPr>
          <w:rFonts w:hint="eastAsia" w:hAnsi="宋体" w:cs="宋体"/>
          <w:color w:val="auto"/>
          <w:sz w:val="24"/>
          <w:highlight w:val="none"/>
        </w:rPr>
      </w:pPr>
      <w:r>
        <w:rPr>
          <w:rFonts w:hint="eastAsia" w:hAnsi="宋体" w:cs="宋体"/>
          <w:color w:val="auto"/>
          <w:sz w:val="24"/>
          <w:highlight w:val="none"/>
        </w:rPr>
        <w:t>1.7如甲方确认乙方工作人员未按照本合同要求履行职责，甲方有权要求乙方限期更换人员，直至终止合同并要求乙方承担相应赔偿责任。</w:t>
      </w:r>
    </w:p>
    <w:p>
      <w:pPr>
        <w:pStyle w:val="10"/>
        <w:snapToGrid w:val="0"/>
        <w:spacing w:line="360" w:lineRule="auto"/>
        <w:ind w:left="11" w:firstLine="720" w:firstLineChars="300"/>
        <w:rPr>
          <w:rFonts w:hint="eastAsia" w:hAnsi="宋体" w:cs="宋体"/>
          <w:color w:val="auto"/>
          <w:sz w:val="24"/>
          <w:highlight w:val="none"/>
        </w:rPr>
      </w:pPr>
      <w:r>
        <w:rPr>
          <w:rFonts w:hint="eastAsia" w:hAnsi="宋体" w:cs="宋体"/>
          <w:color w:val="auto"/>
          <w:sz w:val="24"/>
          <w:highlight w:val="none"/>
        </w:rPr>
        <w:t>1.8甲方对乙方在委托权限范围内完成委托事项有指导、监督权利。</w:t>
      </w:r>
    </w:p>
    <w:p>
      <w:pPr>
        <w:pStyle w:val="10"/>
        <w:snapToGrid w:val="0"/>
        <w:spacing w:line="360" w:lineRule="auto"/>
        <w:ind w:left="11" w:firstLine="480" w:firstLineChars="200"/>
        <w:outlineLvl w:val="2"/>
        <w:rPr>
          <w:rFonts w:hint="eastAsia" w:hAnsi="宋体" w:cs="宋体"/>
          <w:color w:val="auto"/>
          <w:sz w:val="24"/>
          <w:highlight w:val="none"/>
        </w:rPr>
      </w:pPr>
      <w:r>
        <w:rPr>
          <w:rFonts w:hint="eastAsia" w:hAnsi="宋体" w:cs="宋体"/>
          <w:color w:val="auto"/>
          <w:sz w:val="24"/>
          <w:highlight w:val="none"/>
        </w:rPr>
        <w:t>2.甲方的义务</w:t>
      </w:r>
    </w:p>
    <w:p>
      <w:pPr>
        <w:pStyle w:val="10"/>
        <w:snapToGrid w:val="0"/>
        <w:spacing w:line="360" w:lineRule="auto"/>
        <w:ind w:left="11" w:firstLine="720" w:firstLineChars="300"/>
        <w:rPr>
          <w:rFonts w:hint="eastAsia" w:hAnsi="宋体" w:cs="宋体"/>
          <w:color w:val="auto"/>
          <w:sz w:val="24"/>
          <w:highlight w:val="none"/>
        </w:rPr>
      </w:pPr>
      <w:r>
        <w:rPr>
          <w:rFonts w:hint="eastAsia" w:hAnsi="宋体" w:cs="宋体"/>
          <w:color w:val="auto"/>
          <w:sz w:val="24"/>
          <w:highlight w:val="none"/>
        </w:rPr>
        <w:t>2.1甲方应将项目所需相关档案资料、信息数据等移交给乙方，并要求乙方签收甲方提供的材料清单。</w:t>
      </w:r>
    </w:p>
    <w:p>
      <w:pPr>
        <w:pStyle w:val="10"/>
        <w:snapToGrid w:val="0"/>
        <w:spacing w:line="360" w:lineRule="auto"/>
        <w:ind w:left="11" w:firstLine="720" w:firstLineChars="300"/>
        <w:rPr>
          <w:rFonts w:hint="eastAsia" w:hAnsi="宋体" w:cs="宋体"/>
          <w:color w:val="auto"/>
          <w:sz w:val="24"/>
          <w:highlight w:val="none"/>
        </w:rPr>
      </w:pPr>
      <w:r>
        <w:rPr>
          <w:rFonts w:hint="eastAsia" w:hAnsi="宋体" w:cs="宋体"/>
          <w:color w:val="auto"/>
          <w:sz w:val="24"/>
          <w:highlight w:val="none"/>
        </w:rPr>
        <w:t>2.2甲方对乙方按照合同约定所履行的服务提供必要的支持与协助。</w:t>
      </w:r>
    </w:p>
    <w:p>
      <w:pPr>
        <w:pStyle w:val="10"/>
        <w:snapToGrid w:val="0"/>
        <w:spacing w:line="360" w:lineRule="auto"/>
        <w:ind w:left="11" w:firstLine="720" w:firstLineChars="300"/>
        <w:rPr>
          <w:rFonts w:hint="eastAsia" w:hAnsi="宋体" w:cs="宋体"/>
          <w:color w:val="auto"/>
          <w:sz w:val="24"/>
          <w:highlight w:val="none"/>
        </w:rPr>
      </w:pPr>
      <w:r>
        <w:rPr>
          <w:rFonts w:hint="eastAsia" w:hAnsi="宋体" w:cs="宋体"/>
          <w:color w:val="auto"/>
          <w:sz w:val="24"/>
          <w:highlight w:val="none"/>
        </w:rPr>
        <w:t>2.3根据合同约定的相关条款，按时支付乙方服务费用。</w:t>
      </w:r>
    </w:p>
    <w:p>
      <w:pPr>
        <w:pStyle w:val="10"/>
        <w:snapToGrid w:val="0"/>
        <w:spacing w:line="360" w:lineRule="auto"/>
        <w:ind w:left="11" w:firstLine="720" w:firstLineChars="300"/>
        <w:rPr>
          <w:rFonts w:hint="eastAsia" w:hAnsi="宋体" w:cs="宋体"/>
          <w:color w:val="auto"/>
          <w:sz w:val="24"/>
          <w:highlight w:val="none"/>
        </w:rPr>
      </w:pPr>
      <w:r>
        <w:rPr>
          <w:rFonts w:hint="eastAsia" w:hAnsi="宋体" w:cs="宋体"/>
          <w:color w:val="auto"/>
          <w:sz w:val="24"/>
          <w:highlight w:val="none"/>
        </w:rPr>
        <w:t>2.4甲方指定项目联系人：</w:t>
      </w:r>
    </w:p>
    <w:p>
      <w:pPr>
        <w:pStyle w:val="10"/>
        <w:snapToGrid w:val="0"/>
        <w:spacing w:line="360" w:lineRule="auto"/>
        <w:ind w:left="11" w:firstLine="720" w:firstLineChars="300"/>
        <w:rPr>
          <w:rFonts w:hint="eastAsia" w:hAnsi="宋体" w:cs="宋体"/>
          <w:color w:val="auto"/>
          <w:sz w:val="24"/>
          <w:highlight w:val="none"/>
        </w:rPr>
      </w:pPr>
      <w:r>
        <w:rPr>
          <w:rFonts w:hint="eastAsia" w:hAnsi="宋体" w:cs="宋体"/>
          <w:color w:val="auto"/>
          <w:sz w:val="24"/>
          <w:highlight w:val="none"/>
        </w:rPr>
        <w:t xml:space="preserve">姓名： </w:t>
      </w:r>
    </w:p>
    <w:p>
      <w:pPr>
        <w:pStyle w:val="10"/>
        <w:snapToGrid w:val="0"/>
        <w:spacing w:line="360" w:lineRule="auto"/>
        <w:ind w:left="11" w:firstLine="720" w:firstLineChars="300"/>
        <w:rPr>
          <w:rFonts w:hint="eastAsia" w:hAnsi="宋体" w:cs="宋体"/>
          <w:color w:val="auto"/>
          <w:sz w:val="24"/>
          <w:highlight w:val="none"/>
        </w:rPr>
      </w:pPr>
      <w:r>
        <w:rPr>
          <w:rFonts w:hint="eastAsia" w:hAnsi="宋体" w:cs="宋体"/>
          <w:color w:val="auto"/>
          <w:sz w:val="24"/>
          <w:highlight w:val="none"/>
        </w:rPr>
        <w:t>联系方式：</w:t>
      </w:r>
    </w:p>
    <w:p>
      <w:pPr>
        <w:spacing w:line="360" w:lineRule="auto"/>
        <w:ind w:left="11" w:firstLine="420"/>
        <w:outlineLvl w:val="1"/>
        <w:rPr>
          <w:rFonts w:hint="eastAsia" w:ascii="宋体" w:hAnsi="宋体" w:cs="宋体"/>
          <w:b/>
          <w:bCs/>
          <w:color w:val="auto"/>
          <w:sz w:val="24"/>
          <w:highlight w:val="none"/>
        </w:rPr>
      </w:pPr>
      <w:bookmarkStart w:id="35" w:name="_Toc29058"/>
      <w:r>
        <w:rPr>
          <w:rFonts w:hint="eastAsia" w:ascii="宋体" w:hAnsi="宋体" w:cs="宋体"/>
          <w:b/>
          <w:bCs/>
          <w:color w:val="auto"/>
          <w:sz w:val="24"/>
          <w:highlight w:val="none"/>
        </w:rPr>
        <w:t>七、乙方的权利与义务</w:t>
      </w:r>
      <w:bookmarkEnd w:id="35"/>
    </w:p>
    <w:p>
      <w:pPr>
        <w:pStyle w:val="10"/>
        <w:snapToGrid w:val="0"/>
        <w:spacing w:line="360" w:lineRule="auto"/>
        <w:ind w:left="11" w:firstLine="720" w:firstLineChars="300"/>
        <w:outlineLvl w:val="2"/>
        <w:rPr>
          <w:rFonts w:hint="eastAsia" w:hAnsi="宋体" w:cs="宋体"/>
          <w:color w:val="auto"/>
          <w:sz w:val="24"/>
          <w:highlight w:val="none"/>
        </w:rPr>
      </w:pPr>
      <w:r>
        <w:rPr>
          <w:rFonts w:hint="eastAsia" w:hAnsi="宋体" w:cs="宋体"/>
          <w:color w:val="auto"/>
          <w:sz w:val="24"/>
          <w:highlight w:val="none"/>
        </w:rPr>
        <w:t>1.乙方的权利</w:t>
      </w:r>
    </w:p>
    <w:p>
      <w:pPr>
        <w:pStyle w:val="10"/>
        <w:snapToGrid w:val="0"/>
        <w:spacing w:line="360" w:lineRule="auto"/>
        <w:ind w:left="210" w:leftChars="100" w:firstLine="480" w:firstLineChars="200"/>
        <w:rPr>
          <w:rFonts w:hint="eastAsia" w:hAnsi="宋体" w:cs="宋体"/>
          <w:color w:val="auto"/>
          <w:sz w:val="24"/>
          <w:highlight w:val="none"/>
        </w:rPr>
      </w:pPr>
      <w:r>
        <w:rPr>
          <w:rFonts w:hint="eastAsia" w:hAnsi="宋体" w:cs="宋体"/>
          <w:color w:val="auto"/>
          <w:sz w:val="24"/>
          <w:highlight w:val="none"/>
        </w:rPr>
        <w:t>1.1根据项目工作的需要，可要求甲方提供或协助乙方收集相关资料。</w:t>
      </w:r>
    </w:p>
    <w:p>
      <w:pPr>
        <w:pStyle w:val="10"/>
        <w:snapToGrid w:val="0"/>
        <w:spacing w:line="360" w:lineRule="auto"/>
        <w:ind w:left="210" w:leftChars="100" w:firstLine="480" w:firstLineChars="200"/>
        <w:rPr>
          <w:rFonts w:hint="eastAsia" w:hAnsi="宋体" w:cs="宋体"/>
          <w:color w:val="auto"/>
          <w:sz w:val="24"/>
          <w:highlight w:val="none"/>
        </w:rPr>
      </w:pPr>
      <w:r>
        <w:rPr>
          <w:rFonts w:hint="eastAsia" w:hAnsi="宋体" w:cs="宋体"/>
          <w:color w:val="auto"/>
          <w:sz w:val="24"/>
          <w:highlight w:val="none"/>
        </w:rPr>
        <w:t>1.2参与本项目服务相关的工作会议及技术会议。</w:t>
      </w:r>
    </w:p>
    <w:p>
      <w:pPr>
        <w:pStyle w:val="10"/>
        <w:snapToGrid w:val="0"/>
        <w:spacing w:line="360" w:lineRule="auto"/>
        <w:ind w:left="210" w:leftChars="100" w:firstLine="480" w:firstLineChars="200"/>
        <w:rPr>
          <w:rFonts w:hint="eastAsia" w:hAnsi="宋体" w:cs="宋体"/>
          <w:color w:val="auto"/>
          <w:sz w:val="24"/>
          <w:highlight w:val="none"/>
        </w:rPr>
      </w:pPr>
      <w:r>
        <w:rPr>
          <w:rFonts w:hint="eastAsia" w:hAnsi="宋体" w:cs="宋体"/>
          <w:color w:val="auto"/>
          <w:sz w:val="24"/>
          <w:highlight w:val="none"/>
        </w:rPr>
        <w:t>1.3根据合同约定收取相应的服务费。</w:t>
      </w:r>
    </w:p>
    <w:p>
      <w:pPr>
        <w:pStyle w:val="10"/>
        <w:snapToGrid w:val="0"/>
        <w:spacing w:line="360" w:lineRule="auto"/>
        <w:ind w:left="210" w:leftChars="100" w:firstLine="480" w:firstLineChars="200"/>
        <w:outlineLvl w:val="2"/>
        <w:rPr>
          <w:rFonts w:hint="eastAsia" w:hAnsi="宋体" w:cs="宋体"/>
          <w:color w:val="auto"/>
          <w:sz w:val="24"/>
          <w:highlight w:val="none"/>
        </w:rPr>
      </w:pPr>
      <w:r>
        <w:rPr>
          <w:rFonts w:hint="eastAsia" w:hAnsi="宋体" w:cs="宋体"/>
          <w:color w:val="auto"/>
          <w:sz w:val="24"/>
          <w:highlight w:val="none"/>
        </w:rPr>
        <w:t>2.乙方的义务</w:t>
      </w:r>
    </w:p>
    <w:p>
      <w:pPr>
        <w:pStyle w:val="10"/>
        <w:snapToGrid w:val="0"/>
        <w:spacing w:line="360" w:lineRule="auto"/>
        <w:ind w:left="210" w:leftChars="100" w:firstLine="480" w:firstLineChars="200"/>
        <w:rPr>
          <w:rFonts w:hint="eastAsia" w:hAnsi="宋体" w:cs="宋体"/>
          <w:color w:val="auto"/>
          <w:sz w:val="24"/>
          <w:highlight w:val="none"/>
        </w:rPr>
      </w:pPr>
      <w:r>
        <w:rPr>
          <w:rFonts w:hint="eastAsia" w:hAnsi="宋体" w:cs="宋体"/>
          <w:color w:val="auto"/>
          <w:sz w:val="24"/>
          <w:highlight w:val="none"/>
        </w:rPr>
        <w:t>2.1乙方应按国家及深圳的有关法律法规、设计标准、技术规范以及本合同约定的工作内容、工作进度等要求提供项目服务，并对其提交的研究意见负责。对于与本项目工作内容相关的其他相关项目，乙方应进行充分了解并做好协调与衔接工作。</w:t>
      </w:r>
    </w:p>
    <w:p>
      <w:pPr>
        <w:pStyle w:val="10"/>
        <w:snapToGrid w:val="0"/>
        <w:spacing w:line="360" w:lineRule="auto"/>
        <w:ind w:left="210" w:leftChars="100" w:firstLine="480" w:firstLineChars="200"/>
        <w:rPr>
          <w:rFonts w:hint="eastAsia" w:hAnsi="宋体" w:cs="宋体"/>
          <w:color w:val="auto"/>
          <w:sz w:val="24"/>
          <w:highlight w:val="none"/>
        </w:rPr>
      </w:pPr>
      <w:r>
        <w:rPr>
          <w:rFonts w:hint="eastAsia" w:hAnsi="宋体" w:cs="宋体"/>
          <w:color w:val="auto"/>
          <w:sz w:val="24"/>
          <w:highlight w:val="none"/>
        </w:rPr>
        <w:t>2.2对甲方提出的合理的额外服务，不应予以拒绝。</w:t>
      </w:r>
    </w:p>
    <w:p>
      <w:pPr>
        <w:pStyle w:val="10"/>
        <w:snapToGrid w:val="0"/>
        <w:spacing w:line="360" w:lineRule="auto"/>
        <w:ind w:left="210" w:leftChars="100" w:firstLine="480" w:firstLineChars="200"/>
        <w:rPr>
          <w:rFonts w:hint="eastAsia" w:hAnsi="宋体" w:cs="宋体"/>
          <w:color w:val="auto"/>
          <w:sz w:val="24"/>
          <w:highlight w:val="none"/>
        </w:rPr>
      </w:pPr>
      <w:r>
        <w:rPr>
          <w:rFonts w:hint="eastAsia" w:hAnsi="宋体" w:cs="宋体"/>
          <w:color w:val="auto"/>
          <w:sz w:val="24"/>
          <w:highlight w:val="none"/>
        </w:rPr>
        <w:t>2.3如乙方提供的项目意见等成果文件不符合本合同要求，必须在甲方提出要求七个日历日内无条件修改，其费用由乙方自行承担。修改期间，甲方付款时间相应顺延。</w:t>
      </w:r>
    </w:p>
    <w:p>
      <w:pPr>
        <w:pStyle w:val="10"/>
        <w:snapToGrid w:val="0"/>
        <w:spacing w:line="360" w:lineRule="auto"/>
        <w:ind w:left="210" w:leftChars="100" w:firstLine="480" w:firstLineChars="200"/>
        <w:rPr>
          <w:rFonts w:hint="eastAsia" w:hAnsi="宋体" w:cs="宋体"/>
          <w:color w:val="auto"/>
          <w:sz w:val="24"/>
          <w:highlight w:val="none"/>
        </w:rPr>
      </w:pPr>
      <w:r>
        <w:rPr>
          <w:rFonts w:hint="eastAsia" w:hAnsi="宋体" w:cs="宋体"/>
          <w:color w:val="auto"/>
          <w:sz w:val="24"/>
          <w:highlight w:val="none"/>
        </w:rPr>
        <w:t>2.4乙方不得将本合同项下权利义务</w:t>
      </w:r>
      <w:r>
        <w:rPr>
          <w:rFonts w:hint="eastAsia" w:hAnsi="宋体" w:cs="宋体"/>
          <w:color w:val="auto"/>
          <w:sz w:val="24"/>
          <w:highlight w:val="none"/>
          <w:lang w:eastAsia="zh-Hans"/>
        </w:rPr>
        <w:t>部分或全部</w:t>
      </w:r>
      <w:r>
        <w:rPr>
          <w:rFonts w:hint="eastAsia" w:hAnsi="宋体" w:cs="宋体"/>
          <w:color w:val="auto"/>
          <w:sz w:val="24"/>
          <w:highlight w:val="none"/>
        </w:rPr>
        <w:t>转让给任何第三方。</w:t>
      </w:r>
    </w:p>
    <w:p>
      <w:pPr>
        <w:pStyle w:val="10"/>
        <w:snapToGrid w:val="0"/>
        <w:spacing w:line="360" w:lineRule="auto"/>
        <w:ind w:left="210" w:leftChars="100" w:firstLine="480" w:firstLineChars="200"/>
        <w:rPr>
          <w:rFonts w:hint="eastAsia" w:hAnsi="宋体" w:cs="宋体"/>
          <w:color w:val="auto"/>
          <w:sz w:val="24"/>
          <w:highlight w:val="none"/>
        </w:rPr>
      </w:pPr>
      <w:r>
        <w:rPr>
          <w:rFonts w:hint="eastAsia" w:hAnsi="宋体" w:cs="宋体"/>
          <w:color w:val="auto"/>
          <w:sz w:val="24"/>
          <w:highlight w:val="none"/>
        </w:rPr>
        <w:t>2.5乙方对其工作人员在合同履行期间的一切行为负责，期间发生的一切安全事故责任、其他人身损害以外及因此发生的人身损害赔偿和其他费用由乙方自行承担，概与甲方无关。若因此导致甲方支付赔偿及其他费用，乙方应全部偿还给甲方。</w:t>
      </w:r>
    </w:p>
    <w:p>
      <w:pPr>
        <w:spacing w:line="360" w:lineRule="auto"/>
        <w:ind w:left="11" w:firstLine="720" w:firstLineChars="300"/>
        <w:rPr>
          <w:rFonts w:hint="eastAsia" w:ascii="宋体" w:hAnsi="宋体" w:cs="宋体"/>
          <w:color w:val="auto"/>
          <w:kern w:val="0"/>
          <w:sz w:val="24"/>
          <w:highlight w:val="none"/>
        </w:rPr>
      </w:pPr>
      <w:r>
        <w:rPr>
          <w:rFonts w:hint="eastAsia" w:ascii="宋体" w:hAnsi="宋体" w:cs="宋体"/>
          <w:color w:val="auto"/>
          <w:kern w:val="0"/>
          <w:sz w:val="24"/>
          <w:highlight w:val="none"/>
        </w:rPr>
        <w:t>2.6为保证项目成果的质量，乙方在合同履行期间，应按照要求成立专门的项目小组，并保障项目团队成员（含项目负责人）到位。项目负责人负责对项目实施全过程进行组织和指导，并承担项目的实质性工作。乙方应保证本合同的主要核心成员在项目实施期间全程参与项目实质性工作。如确需更换项目团队成员（含项目负责人），乙方应事先征得甲方的同意，且接替人员的职位、资历应与原定成员相当，否则，每擅自更换一个项目团队成员（含项目负责人），乙方应向甲方支付本合同总价款5%的违约金。</w:t>
      </w:r>
    </w:p>
    <w:p>
      <w:pPr>
        <w:spacing w:line="360" w:lineRule="auto"/>
        <w:ind w:left="11" w:firstLine="720" w:firstLineChars="300"/>
        <w:rPr>
          <w:rFonts w:hint="eastAsia" w:ascii="宋体" w:hAnsi="宋体" w:cs="宋体"/>
          <w:color w:val="auto"/>
          <w:kern w:val="0"/>
          <w:sz w:val="24"/>
          <w:highlight w:val="none"/>
        </w:rPr>
      </w:pPr>
      <w:r>
        <w:rPr>
          <w:rFonts w:hint="eastAsia" w:ascii="宋体" w:hAnsi="宋体" w:cs="宋体"/>
          <w:color w:val="auto"/>
          <w:kern w:val="0"/>
          <w:sz w:val="24"/>
          <w:highlight w:val="none"/>
        </w:rPr>
        <w:t>2.7合同履行期间，乙方应按甲方的要求进行现场调研、阶段成果汇报和沟通讨论、审查修改的全部工作和会议。乙方必须按本合同约定的内容、标准和期限完成项目工作，并按照甲方要求将完成委托事项的相关资料交给甲方。如甲方需对工作进度进行调整，甲方、乙方应共同协商解决。</w:t>
      </w:r>
    </w:p>
    <w:p>
      <w:pPr>
        <w:spacing w:line="360" w:lineRule="auto"/>
        <w:ind w:left="11" w:firstLine="720" w:firstLineChars="300"/>
        <w:rPr>
          <w:rFonts w:hint="eastAsia" w:ascii="宋体" w:hAnsi="宋体" w:cs="宋体"/>
          <w:color w:val="auto"/>
          <w:kern w:val="0"/>
          <w:sz w:val="24"/>
          <w:highlight w:val="none"/>
        </w:rPr>
      </w:pPr>
      <w:r>
        <w:rPr>
          <w:rFonts w:hint="eastAsia" w:ascii="宋体" w:hAnsi="宋体" w:cs="宋体"/>
          <w:color w:val="auto"/>
          <w:kern w:val="0"/>
          <w:sz w:val="24"/>
          <w:highlight w:val="none"/>
        </w:rPr>
        <w:t>2.8乙方有维护甲方声誉的义务，乙方不能以甲方名义从事与本项目无关的任何事务。</w:t>
      </w:r>
    </w:p>
    <w:p>
      <w:pPr>
        <w:spacing w:line="360" w:lineRule="auto"/>
        <w:ind w:left="11" w:firstLine="720" w:firstLineChars="300"/>
        <w:rPr>
          <w:rFonts w:hint="eastAsia" w:ascii="宋体" w:hAnsi="宋体" w:cs="宋体"/>
          <w:color w:val="auto"/>
          <w:kern w:val="0"/>
          <w:sz w:val="24"/>
          <w:highlight w:val="none"/>
        </w:rPr>
      </w:pPr>
      <w:r>
        <w:rPr>
          <w:rFonts w:hint="eastAsia" w:ascii="宋体" w:hAnsi="宋体" w:cs="宋体"/>
          <w:color w:val="auto"/>
          <w:kern w:val="0"/>
          <w:sz w:val="24"/>
          <w:highlight w:val="none"/>
        </w:rPr>
        <w:t>2.9本合同期满或提前解除、终止后，乙方应将甲方的档案资料、信息数据等交还甲方，并应销毁或删除所有备份。</w:t>
      </w:r>
    </w:p>
    <w:p>
      <w:pPr>
        <w:spacing w:line="360" w:lineRule="auto"/>
        <w:ind w:left="11" w:firstLine="720" w:firstLineChars="300"/>
        <w:rPr>
          <w:rFonts w:hint="eastAsia" w:ascii="宋体" w:hAnsi="宋体" w:cs="宋体"/>
          <w:color w:val="auto"/>
          <w:kern w:val="0"/>
          <w:sz w:val="24"/>
          <w:highlight w:val="none"/>
        </w:rPr>
      </w:pPr>
      <w:r>
        <w:rPr>
          <w:rFonts w:hint="eastAsia" w:ascii="宋体" w:hAnsi="宋体" w:cs="宋体"/>
          <w:color w:val="auto"/>
          <w:kern w:val="0"/>
          <w:sz w:val="24"/>
          <w:highlight w:val="none"/>
        </w:rPr>
        <w:t>2.10乙方在完成本项目过程中，不得损害其他任何第三方的知识产权等合法权益，否则由此造成的相关责任应当由乙方自行承担，与甲方无关。</w:t>
      </w:r>
    </w:p>
    <w:p>
      <w:pPr>
        <w:spacing w:line="360" w:lineRule="auto"/>
        <w:ind w:left="11" w:firstLine="720" w:firstLineChars="300"/>
        <w:rPr>
          <w:rFonts w:hint="eastAsia" w:ascii="宋体" w:hAnsi="宋体" w:cs="宋体"/>
          <w:color w:val="auto"/>
          <w:kern w:val="0"/>
          <w:sz w:val="24"/>
          <w:highlight w:val="none"/>
        </w:rPr>
      </w:pPr>
      <w:r>
        <w:rPr>
          <w:rFonts w:hint="eastAsia" w:ascii="宋体" w:hAnsi="宋体" w:cs="宋体"/>
          <w:color w:val="auto"/>
          <w:kern w:val="0"/>
          <w:sz w:val="24"/>
          <w:highlight w:val="none"/>
        </w:rPr>
        <w:t>2.11乙方应采取必要措施配合甲方验收人员的工作</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对于验收过程中发现的问题，乙方应在发现问题之日起3天内进行改正，以符合甲方的需要。</w:t>
      </w:r>
    </w:p>
    <w:p>
      <w:pPr>
        <w:spacing w:line="360" w:lineRule="auto"/>
        <w:ind w:left="11" w:firstLine="720" w:firstLineChars="300"/>
        <w:rPr>
          <w:rFonts w:hint="eastAsia" w:ascii="宋体" w:hAnsi="宋体" w:cs="宋体"/>
          <w:color w:val="auto"/>
          <w:kern w:val="0"/>
          <w:sz w:val="24"/>
          <w:highlight w:val="none"/>
        </w:rPr>
      </w:pPr>
      <w:r>
        <w:rPr>
          <w:rFonts w:hint="eastAsia" w:ascii="宋体" w:hAnsi="宋体" w:cs="宋体"/>
          <w:color w:val="auto"/>
          <w:kern w:val="0"/>
          <w:sz w:val="24"/>
          <w:highlight w:val="none"/>
        </w:rPr>
        <w:t>2.12乙方指定项目联系人：</w:t>
      </w:r>
    </w:p>
    <w:p>
      <w:pPr>
        <w:spacing w:line="360" w:lineRule="auto"/>
        <w:ind w:left="11" w:firstLine="720" w:firstLineChars="3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姓名： </w:t>
      </w:r>
    </w:p>
    <w:p>
      <w:pPr>
        <w:spacing w:line="360" w:lineRule="auto"/>
        <w:ind w:left="11" w:firstLine="720" w:firstLineChars="300"/>
        <w:rPr>
          <w:rFonts w:hint="eastAsia" w:ascii="宋体" w:hAnsi="宋体" w:cs="宋体"/>
          <w:color w:val="auto"/>
          <w:kern w:val="0"/>
          <w:sz w:val="24"/>
          <w:highlight w:val="none"/>
        </w:rPr>
      </w:pPr>
      <w:r>
        <w:rPr>
          <w:rFonts w:hint="eastAsia" w:ascii="宋体" w:hAnsi="宋体" w:cs="宋体"/>
          <w:color w:val="auto"/>
          <w:kern w:val="0"/>
          <w:sz w:val="24"/>
          <w:highlight w:val="none"/>
        </w:rPr>
        <w:t>联系方式：</w:t>
      </w:r>
    </w:p>
    <w:p>
      <w:pPr>
        <w:spacing w:line="360" w:lineRule="auto"/>
        <w:ind w:left="11" w:firstLine="420"/>
        <w:outlineLvl w:val="1"/>
        <w:rPr>
          <w:rFonts w:hint="eastAsia" w:ascii="宋体" w:hAnsi="宋体" w:cs="宋体"/>
          <w:b/>
          <w:bCs/>
          <w:color w:val="auto"/>
          <w:sz w:val="24"/>
          <w:highlight w:val="none"/>
        </w:rPr>
      </w:pPr>
      <w:bookmarkStart w:id="36" w:name="_Toc24089"/>
      <w:r>
        <w:rPr>
          <w:rFonts w:hint="eastAsia" w:ascii="宋体" w:hAnsi="宋体" w:cs="宋体"/>
          <w:b/>
          <w:bCs/>
          <w:color w:val="auto"/>
          <w:sz w:val="24"/>
          <w:highlight w:val="none"/>
        </w:rPr>
        <w:t>八、合同履行时间及履行地点</w:t>
      </w:r>
      <w:bookmarkEnd w:id="36"/>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1.履行时间：项目中标合同</w:t>
      </w:r>
      <w:r>
        <w:rPr>
          <w:rFonts w:hint="eastAsia" w:ascii="宋体" w:hAnsi="宋体" w:cs="宋体"/>
          <w:color w:val="auto"/>
          <w:sz w:val="24"/>
          <w:highlight w:val="none"/>
          <w:lang w:eastAsia="zh-CN"/>
        </w:rPr>
        <w:t>签订</w:t>
      </w:r>
      <w:r>
        <w:rPr>
          <w:rFonts w:hint="eastAsia" w:ascii="宋体" w:hAnsi="宋体" w:cs="宋体"/>
          <w:color w:val="auto"/>
          <w:sz w:val="24"/>
          <w:highlight w:val="none"/>
        </w:rPr>
        <w:t>之日起至本项目对应实施项目取得竣工决算批复为止。</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2.履行地点：深圳市前海深港现代服务业合作区</w:t>
      </w:r>
    </w:p>
    <w:p>
      <w:pPr>
        <w:pStyle w:val="9"/>
        <w:ind w:firstLine="480" w:firstLineChars="200"/>
        <w:rPr>
          <w:rFonts w:hint="eastAsia" w:ascii="宋体" w:hAnsi="宋体" w:cs="宋体"/>
          <w:color w:val="auto"/>
          <w:highlight w:val="none"/>
        </w:rPr>
      </w:pPr>
      <w:r>
        <w:rPr>
          <w:rFonts w:hint="eastAsia" w:ascii="宋体" w:hAnsi="宋体" w:cs="宋体"/>
          <w:color w:val="auto"/>
          <w:highlight w:val="none"/>
        </w:rPr>
        <w:t>3.进度要求：乙方需在合同签订后2个月内完成项目可行性研究报告（代项目建议书）的编制工作。</w:t>
      </w:r>
    </w:p>
    <w:p>
      <w:pPr>
        <w:snapToGrid w:val="0"/>
        <w:spacing w:line="360" w:lineRule="auto"/>
        <w:ind w:left="11" w:firstLine="420"/>
        <w:outlineLvl w:val="1"/>
        <w:rPr>
          <w:rFonts w:hint="eastAsia" w:ascii="宋体" w:hAnsi="宋体" w:cs="宋体"/>
          <w:b/>
          <w:bCs/>
          <w:color w:val="auto"/>
          <w:sz w:val="24"/>
          <w:highlight w:val="none"/>
        </w:rPr>
      </w:pPr>
      <w:bookmarkStart w:id="37" w:name="_Toc22413"/>
      <w:r>
        <w:rPr>
          <w:rFonts w:hint="eastAsia" w:ascii="宋体" w:hAnsi="宋体" w:cs="宋体"/>
          <w:b/>
          <w:bCs/>
          <w:color w:val="auto"/>
          <w:sz w:val="24"/>
          <w:highlight w:val="none"/>
        </w:rPr>
        <w:t>九、</w:t>
      </w:r>
      <w:bookmarkEnd w:id="37"/>
      <w:r>
        <w:rPr>
          <w:rFonts w:hint="eastAsia" w:ascii="宋体" w:hAnsi="宋体" w:cs="宋体"/>
          <w:b/>
          <w:bCs/>
          <w:color w:val="auto"/>
          <w:sz w:val="24"/>
          <w:highlight w:val="none"/>
        </w:rPr>
        <w:t>人员要求</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应根据项目工作的需要，配置具有相关丰富经验的项目管理人员和咨询顾问，要求项目团队成员充足、专业能力突出，参与的同类项目案例丰富。团队组成方案能有力支撑本项目设计工作效率，保障设计成果质量。项目团队应提供团队设计分工方案、团队组织管理办法等团队工作的计划性和管理性文件。</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1.项目负责人须具有良好的专业素质，主持过类似项目，具有该领域丰富的项目全局把控和资源管理经验，负责总体设计的管理和协调，并作为本项目的实际主持者担负实质性工作。</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2．至少安排3人咨询团队参与项目咨询服务工作，能够服从甲方的工作安排，具备较强的专业素质，有优秀的方案能力、书面表达能力、组织能力和沟通能力。</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3．乙方为本项目的实施提供后台支撑团队，包括相关领域专家，指导各项工作开展。并根据项目进展情况动态调整人员力量，以应对突发任务或关键节点的繁杂工作。</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4.项目组实行项目负责人全权负责制，项目负责人代表公司负责项目。其中项目团队核心成员需具有相关工作经验。</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5.参加本项目编制的人员必须具有国家和有关部门规定的相应资质。</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6.乙方项目成员若需调整，需经甲方书面同意后方可变更。</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7.必须以乙方直属人员（直属人员指劳动合同、社会保险等劳动关系在乙方的人员）参与本项目服务，不得使用挂靠队伍。</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以下为本项目核心团队。</w:t>
      </w:r>
    </w:p>
    <w:tbl>
      <w:tblPr>
        <w:tblStyle w:val="19"/>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拟任</w:t>
            </w:r>
            <w:r>
              <w:rPr>
                <w:rFonts w:ascii="宋体" w:hAnsi="宋体" w:cs="宋体"/>
                <w:color w:val="auto"/>
                <w:sz w:val="24"/>
                <w:highlight w:val="none"/>
              </w:rPr>
              <w:t>团队</w:t>
            </w:r>
            <w:r>
              <w:rPr>
                <w:rFonts w:hint="eastAsia" w:ascii="宋体" w:hAnsi="宋体" w:cs="宋体"/>
                <w:color w:val="auto"/>
                <w:sz w:val="24"/>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p>
        </w:tc>
      </w:tr>
    </w:tbl>
    <w:p>
      <w:pPr>
        <w:snapToGrid w:val="0"/>
        <w:spacing w:line="360" w:lineRule="auto"/>
        <w:ind w:left="11" w:firstLine="420"/>
        <w:outlineLvl w:val="1"/>
        <w:rPr>
          <w:rFonts w:hint="eastAsia" w:ascii="宋体" w:hAnsi="宋体" w:cs="宋体"/>
          <w:color w:val="auto"/>
          <w:sz w:val="24"/>
          <w:highlight w:val="none"/>
        </w:rPr>
      </w:pPr>
      <w:r>
        <w:rPr>
          <w:rFonts w:hint="eastAsia" w:ascii="宋体" w:hAnsi="宋体" w:cs="宋体"/>
          <w:b/>
          <w:bCs/>
          <w:color w:val="auto"/>
          <w:sz w:val="24"/>
          <w:highlight w:val="none"/>
        </w:rPr>
        <w:t>十、成果内容及验收方式</w:t>
      </w:r>
    </w:p>
    <w:p>
      <w:pPr>
        <w:snapToGrid w:val="0"/>
        <w:spacing w:line="360" w:lineRule="auto"/>
        <w:ind w:left="11" w:firstLine="480" w:firstLineChars="200"/>
        <w:outlineLvl w:val="2"/>
        <w:rPr>
          <w:rFonts w:hint="eastAsia" w:ascii="宋体" w:hAnsi="宋体" w:cs="宋体"/>
          <w:bCs/>
          <w:color w:val="auto"/>
          <w:sz w:val="24"/>
          <w:highlight w:val="none"/>
        </w:rPr>
      </w:pPr>
      <w:bookmarkStart w:id="38" w:name="_Toc11509"/>
      <w:r>
        <w:rPr>
          <w:rFonts w:hint="eastAsia" w:ascii="宋体" w:hAnsi="宋体" w:cs="宋体"/>
          <w:color w:val="auto"/>
          <w:sz w:val="24"/>
          <w:highlight w:val="none"/>
        </w:rPr>
        <w:t>1.成果内容</w:t>
      </w:r>
      <w:r>
        <w:rPr>
          <w:rFonts w:hint="eastAsia" w:ascii="宋体" w:hAnsi="宋体" w:cs="宋体"/>
          <w:bCs/>
          <w:color w:val="auto"/>
          <w:sz w:val="24"/>
          <w:highlight w:val="none"/>
        </w:rPr>
        <w:t>：乙方负责可行性研究报告编制，乙方向甲方提交项目可行性研究报告（代项目建议书）的电子文件和纸质文档，纸质文档不少于3份，最终所需文档数量根据甲方实际情况而定。</w:t>
      </w:r>
    </w:p>
    <w:p>
      <w:pPr>
        <w:spacing w:line="360" w:lineRule="auto"/>
        <w:ind w:left="11" w:firstLine="420"/>
        <w:outlineLvl w:val="1"/>
        <w:rPr>
          <w:rFonts w:hint="eastAsia" w:ascii="宋体" w:hAnsi="宋体" w:cs="宋体"/>
          <w:bCs/>
          <w:color w:val="auto"/>
          <w:sz w:val="24"/>
          <w:highlight w:val="none"/>
        </w:rPr>
      </w:pPr>
      <w:r>
        <w:rPr>
          <w:rFonts w:hint="eastAsia" w:ascii="宋体" w:hAnsi="宋体" w:cs="宋体"/>
          <w:color w:val="auto"/>
          <w:sz w:val="24"/>
          <w:highlight w:val="none"/>
        </w:rPr>
        <w:t>2.验收方式：</w:t>
      </w:r>
      <w:r>
        <w:rPr>
          <w:rFonts w:hint="eastAsia" w:ascii="宋体" w:hAnsi="宋体" w:cs="宋体"/>
          <w:bCs/>
          <w:color w:val="auto"/>
          <w:sz w:val="24"/>
          <w:highlight w:val="none"/>
        </w:rPr>
        <w:t>甲方组织专家评审会根据国家、省、市和行业有关规范、规程、标准及本合同约定对乙方交付的最终成果进行评审，并取得甲方发展改革部门的批复。</w:t>
      </w:r>
    </w:p>
    <w:p>
      <w:pPr>
        <w:spacing w:line="360" w:lineRule="auto"/>
        <w:ind w:left="11" w:firstLine="420"/>
        <w:outlineLvl w:val="1"/>
        <w:rPr>
          <w:rFonts w:hint="eastAsia" w:ascii="宋体" w:hAnsi="宋体" w:cs="宋体"/>
          <w:b/>
          <w:bCs/>
          <w:color w:val="auto"/>
          <w:sz w:val="24"/>
          <w:highlight w:val="none"/>
        </w:rPr>
      </w:pPr>
      <w:r>
        <w:rPr>
          <w:rFonts w:hint="eastAsia" w:ascii="宋体" w:hAnsi="宋体" w:cs="宋体"/>
          <w:b/>
          <w:bCs/>
          <w:color w:val="auto"/>
          <w:sz w:val="24"/>
          <w:highlight w:val="none"/>
        </w:rPr>
        <w:t>十一、费用支付</w:t>
      </w:r>
      <w:bookmarkEnd w:id="38"/>
    </w:p>
    <w:p>
      <w:pPr>
        <w:widowControl/>
        <w:spacing w:line="360" w:lineRule="auto"/>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1.合同金额由甲方分3期支付至乙方指定银行账户：</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第一期：自双方签订合同之日起10个工作日内，根据乙方提出的付款申请，甲方支付合同总金额的30%，即人民币  整（¥  元）；</w:t>
      </w:r>
    </w:p>
    <w:p>
      <w:pPr>
        <w:spacing w:line="360" w:lineRule="auto"/>
        <w:ind w:left="11" w:firstLine="420"/>
        <w:outlineLvl w:val="1"/>
        <w:rPr>
          <w:rFonts w:hint="eastAsia" w:ascii="宋体" w:hAnsi="宋体" w:cs="宋体"/>
          <w:color w:val="auto"/>
          <w:sz w:val="24"/>
          <w:highlight w:val="none"/>
        </w:rPr>
      </w:pPr>
      <w:r>
        <w:rPr>
          <w:rFonts w:hint="eastAsia" w:ascii="宋体" w:hAnsi="宋体" w:cs="宋体"/>
          <w:color w:val="auto"/>
          <w:sz w:val="24"/>
          <w:highlight w:val="none"/>
        </w:rPr>
        <w:t>第二期：乙方将最终项目成果交付给甲方，按照前述验收方法通过最终验收合格的，根据本合同第三款计算合同总价，乙方提出付款申请后甲方支付合同款至90%，即人民币  整（¥  元）；</w:t>
      </w:r>
    </w:p>
    <w:p>
      <w:pPr>
        <w:spacing w:line="360" w:lineRule="auto"/>
        <w:ind w:left="11" w:firstLine="420"/>
        <w:outlineLvl w:val="1"/>
        <w:rPr>
          <w:rFonts w:hint="eastAsia" w:ascii="宋体" w:hAnsi="宋体" w:cs="宋体"/>
          <w:color w:val="auto"/>
          <w:sz w:val="24"/>
          <w:highlight w:val="none"/>
        </w:rPr>
      </w:pPr>
      <w:r>
        <w:rPr>
          <w:rFonts w:hint="eastAsia" w:ascii="宋体" w:hAnsi="宋体" w:cs="宋体"/>
          <w:color w:val="auto"/>
          <w:sz w:val="24"/>
          <w:highlight w:val="none"/>
        </w:rPr>
        <w:t>第三期：本项目对应实施项目完成竣工决算后，根据决算批复可行性研究报告编制金额，乙方提出付款申请后甲方支付合同尾款。</w:t>
      </w:r>
    </w:p>
    <w:p>
      <w:pPr>
        <w:spacing w:line="360" w:lineRule="auto"/>
        <w:ind w:left="11" w:firstLine="420"/>
        <w:outlineLvl w:val="1"/>
        <w:rPr>
          <w:rFonts w:hint="eastAsia" w:ascii="宋体" w:hAnsi="宋体" w:cs="宋体"/>
          <w:color w:val="auto"/>
          <w:sz w:val="24"/>
          <w:highlight w:val="none"/>
        </w:rPr>
      </w:pPr>
      <w:r>
        <w:rPr>
          <w:rFonts w:hint="eastAsia" w:ascii="宋体" w:hAnsi="宋体" w:cs="宋体"/>
          <w:color w:val="auto"/>
          <w:sz w:val="24"/>
          <w:highlight w:val="none"/>
        </w:rPr>
        <w:t>2.上述每期款项均在满足付款条件，且甲方收到乙方开具的载明相应金额的合格发票后15个工作日内付至乙方指定银行账户。如未及时收到发票，则甲方相应付款时间顺延。因甲方付款审批影响支付进度，请乙方予以谅解，并不得就此向甲方索赔。</w:t>
      </w:r>
    </w:p>
    <w:p>
      <w:pPr>
        <w:spacing w:line="360" w:lineRule="auto"/>
        <w:ind w:left="11" w:firstLine="480" w:firstLineChars="200"/>
        <w:outlineLvl w:val="2"/>
        <w:rPr>
          <w:rFonts w:hint="eastAsia" w:ascii="宋体" w:hAnsi="宋体" w:cs="宋体"/>
          <w:color w:val="auto"/>
          <w:sz w:val="24"/>
          <w:highlight w:val="none"/>
          <w:lang w:val="zh-CN"/>
        </w:rPr>
      </w:pPr>
      <w:r>
        <w:rPr>
          <w:rFonts w:hint="eastAsia" w:ascii="宋体" w:hAnsi="宋体" w:cs="宋体"/>
          <w:color w:val="auto"/>
          <w:sz w:val="24"/>
          <w:highlight w:val="none"/>
        </w:rPr>
        <w:t>3.</w:t>
      </w:r>
      <w:r>
        <w:rPr>
          <w:rFonts w:hint="eastAsia" w:ascii="宋体" w:hAnsi="宋体" w:cs="宋体"/>
          <w:color w:val="auto"/>
          <w:sz w:val="24"/>
          <w:highlight w:val="none"/>
          <w:lang w:val="zh-CN"/>
        </w:rPr>
        <w:t>本合同执行中相关的一切税费均由乙方负担。</w:t>
      </w:r>
    </w:p>
    <w:p>
      <w:pPr>
        <w:spacing w:line="360" w:lineRule="auto"/>
        <w:ind w:left="11"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4.合同价款由甲方分期付至乙方指定银行账户</w:t>
      </w:r>
    </w:p>
    <w:p>
      <w:pPr>
        <w:spacing w:line="360" w:lineRule="auto"/>
        <w:ind w:left="11"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乙方银行账户信息：</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开户银行：       </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户名：       </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账号： </w:t>
      </w:r>
    </w:p>
    <w:p>
      <w:pPr>
        <w:pStyle w:val="16"/>
        <w:spacing w:before="0" w:beforeAutospacing="0" w:after="0" w:afterAutospacing="0" w:line="360" w:lineRule="auto"/>
        <w:ind w:left="11" w:firstLine="480" w:firstLineChars="200"/>
        <w:rPr>
          <w:rFonts w:hint="eastAsia"/>
          <w:color w:val="auto"/>
          <w:kern w:val="2"/>
          <w:highlight w:val="none"/>
        </w:rPr>
      </w:pPr>
      <w:r>
        <w:rPr>
          <w:rFonts w:hint="eastAsia"/>
          <w:color w:val="auto"/>
          <w:kern w:val="2"/>
          <w:highlight w:val="none"/>
        </w:rPr>
        <w:t>若上述账户信息有任何变动，乙方应当提前10个工作日书面通知甲方；若乙方未按本条约定将账户信息变动情况书面通知甲方，由此导致甲方付款时间延迟或出现其他无法付款的情形，甲方不承担逾期付款的违约责任。</w:t>
      </w:r>
    </w:p>
    <w:p>
      <w:pPr>
        <w:spacing w:line="360" w:lineRule="auto"/>
        <w:ind w:left="11" w:firstLine="420"/>
        <w:outlineLvl w:val="1"/>
        <w:rPr>
          <w:rFonts w:hint="eastAsia" w:ascii="宋体" w:hAnsi="宋体" w:cs="宋体"/>
          <w:b/>
          <w:bCs/>
          <w:color w:val="auto"/>
          <w:sz w:val="24"/>
          <w:highlight w:val="none"/>
        </w:rPr>
      </w:pPr>
      <w:r>
        <w:rPr>
          <w:rFonts w:hint="eastAsia" w:ascii="宋体" w:hAnsi="宋体" w:cs="宋体"/>
          <w:b/>
          <w:bCs/>
          <w:color w:val="auto"/>
          <w:sz w:val="24"/>
          <w:highlight w:val="none"/>
        </w:rPr>
        <w:t>十二、合同提前终止</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不得擅自变更、中止或者终止本合同。如本合同继续履行将损害国家利益和社会公共利益的，双方当事人应当变更、中止或者终止本合同。有过错的一方应当承担赔偿责任，双方都有过错的，各自承担相应的责任。</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3.有下列情形之一的，本合同自甲方向乙方发出书面通知之日起终止：</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（1）甲方的职能发生转变，不再具有委托职能。</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（2）本合同签订时适用的法律法规或政策发生变化，且对本合同的继续履行造成重大影响。</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发生以上情形，甲方已向乙方支付的款项不退还，尚未支付的款项不再支付，同时乙方应向甲方提交在合同终止日前完成的所有项目文件和相关资料。</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4.如发生不可抗力或其他超出合同双方控制的事件，致使一方无法履行合同，本合同解除。</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（2）发生不可抗力，甲乙双方承担各自的损失。由于其中一方迟延履行合同义务后发生不可抗力的，其违约责任不能免除。</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不可抗力事件导致一方无法履行合同义务或继续履行已无意义，由双方协商终止本合同并进行清算，甲方应按照乙方已完成的工作量支付款项，同时乙方应向甲方提交在合同终止日前完成的所有项目文件和相关资料 </w:t>
      </w:r>
    </w:p>
    <w:p>
      <w:pPr>
        <w:spacing w:line="360" w:lineRule="auto"/>
        <w:ind w:left="11" w:firstLine="420"/>
        <w:outlineLvl w:val="1"/>
        <w:rPr>
          <w:rFonts w:hint="eastAsia" w:ascii="宋体" w:hAnsi="宋体" w:cs="宋体"/>
          <w:b/>
          <w:bCs/>
          <w:color w:val="auto"/>
          <w:sz w:val="24"/>
          <w:highlight w:val="none"/>
        </w:rPr>
      </w:pPr>
      <w:bookmarkStart w:id="39" w:name="_Toc10529"/>
      <w:r>
        <w:rPr>
          <w:rFonts w:hint="eastAsia" w:ascii="宋体" w:hAnsi="宋体" w:cs="宋体"/>
          <w:b/>
          <w:bCs/>
          <w:color w:val="auto"/>
          <w:sz w:val="24"/>
          <w:highlight w:val="none"/>
        </w:rPr>
        <w:t>十三、争议解决</w:t>
      </w:r>
      <w:bookmarkEnd w:id="39"/>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因本合同的履行发生的或与本合同有关的争议或纠纷，由双方协商解决，协商不成的，任意一方有权向深圳前海合作区人民法院提起诉讼。</w:t>
      </w:r>
    </w:p>
    <w:p>
      <w:pPr>
        <w:spacing w:line="360" w:lineRule="auto"/>
        <w:ind w:left="11" w:firstLine="420"/>
        <w:outlineLvl w:val="1"/>
        <w:rPr>
          <w:rFonts w:hint="eastAsia" w:ascii="宋体" w:hAnsi="宋体" w:cs="宋体"/>
          <w:b/>
          <w:bCs/>
          <w:color w:val="auto"/>
          <w:sz w:val="24"/>
          <w:highlight w:val="none"/>
        </w:rPr>
      </w:pPr>
      <w:bookmarkStart w:id="40" w:name="_Toc14951"/>
      <w:r>
        <w:rPr>
          <w:rFonts w:hint="eastAsia" w:ascii="宋体" w:hAnsi="宋体" w:cs="宋体"/>
          <w:b/>
          <w:bCs/>
          <w:color w:val="auto"/>
          <w:sz w:val="24"/>
          <w:highlight w:val="none"/>
        </w:rPr>
        <w:t>十四、违约责任</w:t>
      </w:r>
      <w:bookmarkEnd w:id="40"/>
    </w:p>
    <w:p>
      <w:pPr>
        <w:pStyle w:val="10"/>
        <w:snapToGrid w:val="0"/>
        <w:spacing w:line="360" w:lineRule="auto"/>
        <w:ind w:left="11" w:firstLine="480" w:firstLineChars="200"/>
        <w:rPr>
          <w:rFonts w:hint="eastAsia" w:hAnsi="宋体" w:cs="宋体"/>
          <w:color w:val="auto"/>
          <w:sz w:val="24"/>
          <w:highlight w:val="none"/>
        </w:rPr>
      </w:pPr>
      <w:r>
        <w:rPr>
          <w:rFonts w:hint="eastAsia" w:hAnsi="宋体" w:cs="宋体"/>
          <w:color w:val="auto"/>
          <w:sz w:val="24"/>
          <w:highlight w:val="none"/>
        </w:rPr>
        <w:t>1.因乙方原因，未能按规定时间完成有关工作的，每延误一天，甲方有权自尚未支付的合同款项中扣除合同服务总金额的5‰的逾期违约金。</w:t>
      </w:r>
    </w:p>
    <w:p>
      <w:pPr>
        <w:pStyle w:val="10"/>
        <w:snapToGrid w:val="0"/>
        <w:spacing w:line="360" w:lineRule="auto"/>
        <w:ind w:left="11" w:firstLine="480" w:firstLineChars="200"/>
        <w:rPr>
          <w:rFonts w:hint="eastAsia" w:hAnsi="宋体" w:cs="宋体"/>
          <w:color w:val="auto"/>
          <w:sz w:val="24"/>
          <w:highlight w:val="none"/>
        </w:rPr>
      </w:pPr>
      <w:r>
        <w:rPr>
          <w:rFonts w:hint="eastAsia" w:hAnsi="宋体" w:cs="宋体"/>
          <w:color w:val="auto"/>
          <w:sz w:val="24"/>
          <w:highlight w:val="none"/>
        </w:rPr>
        <w:t>2.如乙方提供的服务或成果不符合质量要求，必须在甲方提出要求后7个日历日无条件修改，其费用由乙方承担。</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3.本合同履行期间，发生下述情形时，甲方有权解除本合同，乙方除应退还甲方已支付的全部款项外</w:t>
      </w:r>
      <w:r>
        <w:rPr>
          <w:rFonts w:hint="eastAsia" w:ascii="宋体" w:hAnsi="宋体" w:cs="宋体"/>
          <w:color w:val="auto"/>
          <w:sz w:val="24"/>
          <w:highlight w:val="none"/>
          <w:lang w:eastAsia="zh-CN"/>
        </w:rPr>
        <w:t>，</w:t>
      </w:r>
      <w:r>
        <w:rPr>
          <w:rFonts w:hint="eastAsia" w:ascii="宋体" w:hAnsi="宋体" w:cs="宋体"/>
          <w:color w:val="auto"/>
          <w:sz w:val="24"/>
          <w:highlight w:val="none"/>
        </w:rPr>
        <w:t>还应在合同解除通知发出之日起10日内向甲方支付合同总价款20%的违约金。乙方应同时将已完成的项目成果移交给甲方，并将全部有关资料退还甲方：</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3.1因乙方工作的错误或遗漏造成成果质量不符合本合同要求，且乙方未按甲方要求采取及时有效的补救措施的；</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3.2乙方未能按合同约定的日期(含协商延缓的日期)提交工作成果，延误时间超过30个工作日；或乙方虽如期提交阶段性成果和最终成果，但最终成果连续二次未能通过验收的；</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3.3发现乙方或乙方工作人员出现全部或部分丧失履行委托服务能力的情况，甲方有权通知乙方限期整改或更换工作人员，期限届满乙方并未进行改善的；</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color w:val="auto"/>
          <w:sz w:val="24"/>
          <w:highlight w:val="none"/>
          <w:lang w:bidi="ar"/>
        </w:rPr>
        <w:t>未经甲方书面在先同意，乙方擅自将本合同项目与任何第三方合作，或将本合同标的全部或部分擅自转包给任何第三方，且未按甲方的要求终止与第三方的合同的</w:t>
      </w:r>
      <w:r>
        <w:rPr>
          <w:rFonts w:hint="eastAsia" w:ascii="宋体" w:hAnsi="宋体" w:cs="宋体"/>
          <w:color w:val="auto"/>
          <w:sz w:val="24"/>
          <w:highlight w:val="none"/>
          <w:lang w:eastAsia="zh-Hans" w:bidi="ar"/>
        </w:rPr>
        <w:t>；</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3.5乙方明确表示或者以自己的行为表明不履行本合同的。</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4.除因审批流程及财政部门预算下达延误影响甲方支出进度外，如甲方未按照本合同约定的时间支付服务费，乙方书面催告甲方并给予不少于15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5.上述违约责任各自独立且可累加。如本合同所约定的违约金无法弥补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left="11" w:firstLine="420"/>
        <w:outlineLvl w:val="1"/>
        <w:rPr>
          <w:rFonts w:hint="eastAsia" w:ascii="宋体" w:hAnsi="宋体" w:cs="宋体"/>
          <w:b/>
          <w:bCs/>
          <w:color w:val="auto"/>
          <w:sz w:val="24"/>
          <w:highlight w:val="none"/>
        </w:rPr>
      </w:pPr>
      <w:bookmarkStart w:id="41" w:name="_Toc17510"/>
      <w:r>
        <w:rPr>
          <w:rFonts w:hint="eastAsia" w:ascii="宋体" w:hAnsi="宋体" w:cs="宋体"/>
          <w:b/>
          <w:bCs/>
          <w:color w:val="auto"/>
          <w:sz w:val="24"/>
          <w:highlight w:val="none"/>
        </w:rPr>
        <w:t>十五、项目变更</w:t>
      </w:r>
    </w:p>
    <w:p>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乙方遇到不能按期完成工作的情况，应及时以书面形式将不能按期完成工作的理由、延误时间通知甲方。甲方在收到乙方通知后，根据情况决定是否延长完成时间。如同意延长，则乙方责任期也相应延长。由此产生的全部费用由乙方自行承担。</w:t>
      </w:r>
    </w:p>
    <w:p>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因非乙方责任造成项目进度推迟或延误，无法按照本合同约定的日期完成相应工作，双方经过协商可以进一步约定完成的日期，乙方的责任期也随之顺延。</w:t>
      </w:r>
    </w:p>
    <w:p>
      <w:pPr>
        <w:spacing w:line="360" w:lineRule="auto"/>
        <w:ind w:left="11" w:firstLine="420"/>
        <w:rPr>
          <w:rFonts w:hint="eastAsia" w:ascii="宋体" w:hAnsi="宋体" w:cs="宋体"/>
          <w:b/>
          <w:bCs/>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在本项目进展过程中，经双方同意的编制内容等方面的增减，如所涉增加费用的金额不超过本合同项下服务费总金额的10%，由双方商定变更内容及具体价格后签订书面补充协议予以确认。</w:t>
      </w:r>
    </w:p>
    <w:p>
      <w:pPr>
        <w:spacing w:line="360" w:lineRule="auto"/>
        <w:ind w:left="11" w:firstLine="420"/>
        <w:outlineLvl w:val="1"/>
        <w:rPr>
          <w:rFonts w:hint="eastAsia" w:ascii="宋体" w:hAnsi="宋体" w:cs="宋体"/>
          <w:b/>
          <w:bCs/>
          <w:color w:val="auto"/>
          <w:sz w:val="24"/>
          <w:highlight w:val="none"/>
        </w:rPr>
      </w:pPr>
      <w:r>
        <w:rPr>
          <w:rFonts w:hint="eastAsia" w:ascii="宋体" w:hAnsi="宋体" w:cs="宋体"/>
          <w:b/>
          <w:bCs/>
          <w:color w:val="auto"/>
          <w:sz w:val="24"/>
          <w:highlight w:val="none"/>
        </w:rPr>
        <w:t>十六、保密条款</w:t>
      </w:r>
      <w:bookmarkEnd w:id="41"/>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应以保密方式处理在编制本项目成果文件过程中自甲方、甲方工作人员或甲方关联机构获得的相关信息、资料、图纸、数据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3.乙方实施项目的程序应符合国家安全、保密的有关规定和标准。</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4.上述保密义务不适用以下情况：</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(1)获取的信息已被合法公开；</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(2)获得信息拥有方书面许可并在该许可范围内披露；</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(3)国家法律、法规规定的情形。</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5.如乙方违反上述保密条款，甲方有权解除本合同，乙方应在合同解除通知发出之日起10日内向甲方支付本合同服务费总金额20%的违约金，如果违约金无法弥补甲方损失，甲方保留要求乙方赔偿全部损失的权利</w:t>
      </w:r>
      <w:r>
        <w:rPr>
          <w:rFonts w:hint="eastAsia" w:ascii="宋体" w:hAnsi="宋体" w:cs="宋体"/>
          <w:color w:val="auto"/>
          <w:kern w:val="0"/>
          <w:sz w:val="24"/>
          <w:highlight w:val="none"/>
        </w:rPr>
        <w:t>，包括但不限于上述索赔或责任所产生的诉讼费用、合理的律师费用、鉴定评估费用、调查费用、和解金额或生效法律文书中规定的赔偿金额。</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6.无论本合同或本合同其他条款是否有效，本保密条款始终约束双方。国家秘密的保密期限由国家有关部门确定，工作秘密的保密期限由甲方确定。</w:t>
      </w:r>
    </w:p>
    <w:p>
      <w:pPr>
        <w:spacing w:line="360" w:lineRule="auto"/>
        <w:ind w:left="11" w:firstLine="420"/>
        <w:outlineLvl w:val="1"/>
        <w:rPr>
          <w:rFonts w:hint="eastAsia" w:ascii="宋体" w:hAnsi="宋体" w:cs="宋体"/>
          <w:b/>
          <w:bCs/>
          <w:color w:val="auto"/>
          <w:sz w:val="24"/>
          <w:highlight w:val="none"/>
        </w:rPr>
      </w:pPr>
      <w:bookmarkStart w:id="42" w:name="_Toc16227"/>
      <w:r>
        <w:rPr>
          <w:rFonts w:hint="eastAsia" w:ascii="宋体" w:hAnsi="宋体" w:cs="宋体"/>
          <w:b/>
          <w:bCs/>
          <w:color w:val="auto"/>
          <w:sz w:val="24"/>
          <w:highlight w:val="none"/>
        </w:rPr>
        <w:t>十七、其他</w:t>
      </w:r>
      <w:bookmarkEnd w:id="42"/>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（1）合同书及补充协议；</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（2）中标通知书；</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（3）招标文件（编号：    ）及其澄清、补正公告；</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（4）投标书。</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2.本合同替代此前双方所有关于本合同事项的口头或书面的纪要、备忘录、合同、协议。</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3.本合同附件（如有）为合同不可分割的组成部分，与本合同一并加盖骑缝章后具有同等法律效力。若附件与合同正文有任何冲突，以合同正文为准。</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4.本合同各条标题仅为提示之用，应以条文内容确定各方的权利义务。</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5.本合同未尽事宜，由双方协商签订补充协议进行约定。补充协议应以书面形式作成，经双方盖章后与本合同具有同等法律效力。</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6.本合同约定的权利和义务不因合同双方发生收购、兼并、重组、分立而发生变化。如果发生上述情形，则本合同约定的权利和义务随之转移至收购、兼并、重组或分立后成立的单位。</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7.如果本合同的任何条款在任何时候变成不合法、无效或不可强制执行而不从根本上影响本合同的效力时，本合同的其他条款不受影响。</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8.本合同的任何内容不应被视为或解释为双方之间具有合资、合伙、代理关系。</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9.任何一方未经另一方同意不得向任何第三方透露本合同的签订及其内容。甲方向其关联公司透露前述内容的，不受此限。</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11.本合同自双方盖章之日起生效，有效期至本合同全部权利义务履行完毕之日止。</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12.本合同一式六份正本，甲方与乙方各执三份，均具同等法律效力。（以下无正文）</w:t>
      </w:r>
    </w:p>
    <w:p>
      <w:pPr>
        <w:snapToGrid w:val="0"/>
        <w:spacing w:line="360" w:lineRule="auto"/>
        <w:ind w:left="11" w:firstLine="480" w:firstLineChars="200"/>
        <w:rPr>
          <w:rFonts w:hint="eastAsia" w:ascii="宋体" w:hAnsi="宋体" w:cs="宋体"/>
          <w:color w:val="auto"/>
          <w:sz w:val="24"/>
          <w:highlight w:val="none"/>
        </w:rPr>
      </w:pPr>
    </w:p>
    <w:p>
      <w:pPr>
        <w:pStyle w:val="10"/>
        <w:snapToGrid w:val="0"/>
        <w:spacing w:line="360" w:lineRule="auto"/>
        <w:ind w:left="11" w:firstLine="480" w:firstLineChars="200"/>
        <w:rPr>
          <w:rFonts w:hint="eastAsia" w:hAnsi="宋体" w:cs="宋体"/>
          <w:color w:val="auto"/>
          <w:sz w:val="24"/>
          <w:highlight w:val="none"/>
        </w:rPr>
      </w:pPr>
      <w:r>
        <w:rPr>
          <w:rFonts w:hint="eastAsia" w:hAnsi="宋体" w:cs="宋体"/>
          <w:color w:val="auto"/>
          <w:sz w:val="24"/>
          <w:highlight w:val="none"/>
        </w:rPr>
        <w:t>附件：</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1.《中标通知书》；</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2.《招标文件》；</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3.《投标文件》。</w:t>
      </w:r>
    </w:p>
    <w:p>
      <w:pPr>
        <w:snapToGrid w:val="0"/>
        <w:spacing w:line="360" w:lineRule="auto"/>
        <w:ind w:left="11" w:firstLine="422"/>
        <w:rPr>
          <w:rFonts w:hint="eastAsia"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ind w:left="11" w:firstLine="422"/>
        <w:rPr>
          <w:rFonts w:hint="eastAsia" w:ascii="宋体" w:hAnsi="宋体" w:cs="宋体"/>
          <w:color w:val="auto"/>
          <w:sz w:val="24"/>
          <w:highlight w:val="none"/>
        </w:rPr>
      </w:pPr>
      <w:r>
        <w:rPr>
          <w:rFonts w:hint="eastAsia" w:ascii="宋体" w:hAnsi="宋体" w:cs="宋体"/>
          <w:color w:val="auto"/>
          <w:sz w:val="24"/>
          <w:highlight w:val="none"/>
        </w:rPr>
        <w:t xml:space="preserve">   甲方：                                    乙方：</w:t>
      </w:r>
    </w:p>
    <w:p>
      <w:pPr>
        <w:snapToGrid w:val="0"/>
        <w:spacing w:line="360" w:lineRule="auto"/>
        <w:ind w:left="11" w:firstLine="422"/>
        <w:rPr>
          <w:rFonts w:hint="eastAsia" w:ascii="宋体" w:hAnsi="宋体" w:cs="宋体"/>
          <w:color w:val="auto"/>
          <w:sz w:val="24"/>
          <w:highlight w:val="none"/>
        </w:rPr>
      </w:pPr>
      <w:r>
        <w:rPr>
          <w:rFonts w:hint="eastAsia" w:ascii="宋体" w:hAnsi="宋体" w:cs="宋体"/>
          <w:color w:val="auto"/>
          <w:sz w:val="24"/>
          <w:highlight w:val="none"/>
        </w:rPr>
        <w:t xml:space="preserve">   地址：                                    地址：</w:t>
      </w:r>
    </w:p>
    <w:p>
      <w:pPr>
        <w:snapToGrid w:val="0"/>
        <w:spacing w:line="360" w:lineRule="auto"/>
        <w:ind w:left="11" w:firstLine="422"/>
        <w:rPr>
          <w:rFonts w:hint="eastAsia" w:ascii="宋体" w:hAnsi="宋体" w:cs="宋体"/>
          <w:color w:val="auto"/>
          <w:sz w:val="24"/>
          <w:highlight w:val="none"/>
        </w:rPr>
      </w:pPr>
      <w:r>
        <w:rPr>
          <w:rFonts w:hint="eastAsia" w:ascii="宋体" w:hAnsi="宋体" w:cs="宋体"/>
          <w:color w:val="auto"/>
          <w:sz w:val="24"/>
          <w:highlight w:val="none"/>
        </w:rPr>
        <w:t xml:space="preserve">   法定代表人：                              法定代表人：</w:t>
      </w:r>
    </w:p>
    <w:p>
      <w:pPr>
        <w:snapToGrid w:val="0"/>
        <w:spacing w:line="360" w:lineRule="auto"/>
        <w:ind w:left="11" w:firstLine="422"/>
        <w:rPr>
          <w:rFonts w:hint="eastAsia" w:ascii="宋体" w:hAnsi="宋体" w:cs="宋体"/>
          <w:color w:val="auto"/>
          <w:sz w:val="24"/>
          <w:highlight w:val="none"/>
        </w:rPr>
      </w:pPr>
      <w:r>
        <w:rPr>
          <w:rFonts w:hint="eastAsia" w:ascii="宋体" w:hAnsi="宋体" w:cs="宋体"/>
          <w:color w:val="auto"/>
          <w:sz w:val="24"/>
          <w:highlight w:val="none"/>
        </w:rPr>
        <w:t xml:space="preserve">   委托代理人：                              委托代理人：</w:t>
      </w:r>
    </w:p>
    <w:p>
      <w:pPr>
        <w:snapToGrid w:val="0"/>
        <w:spacing w:line="360" w:lineRule="auto"/>
        <w:ind w:left="11" w:firstLine="422"/>
        <w:rPr>
          <w:rFonts w:hint="eastAsia" w:ascii="宋体" w:hAnsi="宋体" w:cs="宋体"/>
          <w:color w:val="auto"/>
          <w:sz w:val="24"/>
          <w:highlight w:val="none"/>
        </w:rPr>
      </w:pPr>
      <w:r>
        <w:rPr>
          <w:rFonts w:hint="eastAsia" w:ascii="宋体" w:hAnsi="宋体" w:cs="宋体"/>
          <w:color w:val="auto"/>
          <w:sz w:val="24"/>
          <w:highlight w:val="none"/>
        </w:rPr>
        <w:t xml:space="preserve">   电话：                                    电话：</w:t>
      </w:r>
    </w:p>
    <w:p>
      <w:pPr>
        <w:snapToGrid w:val="0"/>
        <w:spacing w:line="360" w:lineRule="auto"/>
        <w:ind w:left="11" w:firstLine="422"/>
        <w:rPr>
          <w:rFonts w:hint="eastAsia" w:ascii="宋体" w:hAnsi="宋体" w:cs="宋体"/>
          <w:color w:val="auto"/>
          <w:sz w:val="24"/>
          <w:highlight w:val="none"/>
        </w:rPr>
      </w:pPr>
      <w:r>
        <w:rPr>
          <w:rFonts w:hint="eastAsia" w:ascii="宋体" w:hAnsi="宋体" w:cs="宋体"/>
          <w:color w:val="auto"/>
          <w:sz w:val="24"/>
          <w:highlight w:val="none"/>
        </w:rPr>
        <w:t xml:space="preserve">   开户银行：                                开户银行：</w:t>
      </w:r>
    </w:p>
    <w:p>
      <w:pPr>
        <w:snapToGrid w:val="0"/>
        <w:spacing w:line="360" w:lineRule="auto"/>
        <w:ind w:left="11" w:firstLine="422"/>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w:t>
      </w:r>
      <w:r>
        <w:rPr>
          <w:rFonts w:hint="eastAsia" w:ascii="宋体" w:hAnsi="宋体" w:cs="宋体"/>
          <w:color w:val="auto"/>
          <w:sz w:val="24"/>
          <w:highlight w:val="none"/>
        </w:rPr>
        <w:t xml:space="preserve">号：                                    </w:t>
      </w:r>
      <w:r>
        <w:rPr>
          <w:rFonts w:hint="eastAsia" w:ascii="宋体" w:hAnsi="宋体" w:cs="宋体"/>
          <w:color w:val="auto"/>
          <w:sz w:val="24"/>
          <w:highlight w:val="none"/>
          <w:lang w:eastAsia="zh-CN"/>
        </w:rPr>
        <w:t>账</w:t>
      </w:r>
      <w:r>
        <w:rPr>
          <w:rFonts w:hint="eastAsia" w:ascii="宋体" w:hAnsi="宋体" w:cs="宋体"/>
          <w:color w:val="auto"/>
          <w:sz w:val="24"/>
          <w:highlight w:val="none"/>
        </w:rPr>
        <w:t>号：</w:t>
      </w:r>
    </w:p>
    <w:p>
      <w:pPr>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签约地址：                           签约时间：     年   月   日</w:t>
      </w:r>
    </w:p>
    <w:p>
      <w:pPr>
        <w:rPr>
          <w:rFonts w:hint="eastAsia" w:ascii="仿宋" w:hAnsi="仿宋" w:eastAsia="仿宋" w:cs="仿宋"/>
          <w:color w:val="auto"/>
          <w:szCs w:val="21"/>
          <w:highlight w:val="none"/>
        </w:rPr>
      </w:pPr>
    </w:p>
    <w:p>
      <w:pPr>
        <w:ind w:left="11" w:firstLine="630" w:firstLineChars="300"/>
        <w:rPr>
          <w:rFonts w:hint="eastAsia" w:ascii="仿宋" w:hAnsi="仿宋" w:eastAsia="仿宋" w:cs="仿宋"/>
          <w:color w:val="auto"/>
          <w:szCs w:val="21"/>
          <w:highlight w:val="none"/>
        </w:rPr>
      </w:pPr>
    </w:p>
    <w:p>
      <w:pPr>
        <w:adjustRightInd w:val="0"/>
        <w:snapToGrid w:val="0"/>
        <w:spacing w:line="360" w:lineRule="auto"/>
        <w:rPr>
          <w:rFonts w:hint="eastAsia" w:ascii="宋体" w:hAnsi="宋体" w:cs="宋体"/>
          <w:color w:val="auto"/>
          <w:sz w:val="24"/>
          <w:highlight w:val="none"/>
        </w:rPr>
      </w:pPr>
      <w:r>
        <w:rPr>
          <w:rFonts w:hint="eastAsia" w:ascii="宋体" w:hAnsi="宋体"/>
          <w:b/>
          <w:bCs/>
          <w:color w:val="auto"/>
          <w:szCs w:val="21"/>
          <w:highlight w:val="none"/>
        </w:rPr>
        <w:t>注：本合同样本仅供参考，具体条款内容采购人和中标人按前海管理局合同样本签订。实际合同样本不改变本招标文件的实质条件</w:t>
      </w:r>
      <w:r>
        <w:rPr>
          <w:rFonts w:hint="eastAsia" w:ascii="宋体" w:hAnsi="宋体" w:cs="宋体"/>
          <w:b/>
          <w:bCs/>
          <w:color w:val="auto"/>
          <w:sz w:val="24"/>
          <w:highlight w:val="none"/>
        </w:rPr>
        <w:t>。</w:t>
      </w:r>
    </w:p>
    <w:p>
      <w:pPr>
        <w:snapToGrid w:val="0"/>
        <w:spacing w:line="360" w:lineRule="auto"/>
        <w:rPr>
          <w:rFonts w:hint="eastAsia" w:ascii="宋体" w:hAnsi="宋体" w:cs="宋体"/>
          <w:color w:val="auto"/>
          <w:sz w:val="24"/>
          <w:highlight w:val="none"/>
        </w:rPr>
      </w:pP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 </w:t>
      </w:r>
      <w:bookmarkStart w:id="43" w:name="_Toc11333"/>
      <w:bookmarkStart w:id="44" w:name="_Toc25518"/>
      <w:r>
        <w:rPr>
          <w:rFonts w:hint="eastAsia" w:ascii="宋体" w:hAnsi="宋体" w:cs="宋体"/>
          <w:b/>
          <w:bCs/>
          <w:color w:val="auto"/>
          <w:sz w:val="24"/>
          <w:highlight w:val="none"/>
        </w:rPr>
        <w:t>用户需求书</w:t>
      </w:r>
      <w:bookmarkEnd w:id="43"/>
      <w:bookmarkEnd w:id="44"/>
    </w:p>
    <w:p>
      <w:pPr>
        <w:pStyle w:val="34"/>
        <w:tabs>
          <w:tab w:val="left" w:pos="720"/>
        </w:tabs>
        <w:autoSpaceDE w:val="0"/>
        <w:autoSpaceDN w:val="0"/>
        <w:adjustRightInd w:val="0"/>
        <w:spacing w:line="360" w:lineRule="auto"/>
        <w:ind w:right="17" w:firstLine="482"/>
        <w:jc w:val="left"/>
        <w:rPr>
          <w:rFonts w:hint="eastAsia" w:ascii="宋体" w:hAnsi="宋体" w:cs="宋体"/>
          <w:b/>
          <w:color w:val="auto"/>
          <w:sz w:val="24"/>
          <w:highlight w:val="none"/>
        </w:rPr>
      </w:pPr>
      <w:bookmarkStart w:id="45" w:name="_Toc23726"/>
      <w:bookmarkStart w:id="46" w:name="_Toc11045"/>
      <w:r>
        <w:rPr>
          <w:rFonts w:hint="eastAsia" w:ascii="宋体" w:hAnsi="宋体" w:cs="宋体"/>
          <w:b/>
          <w:color w:val="auto"/>
          <w:sz w:val="24"/>
          <w:highlight w:val="none"/>
        </w:rPr>
        <w:t>说明：本章“用户需求书”的全部内容为本项目正常开展的基本要求，投标人必须完全响应，否则将导致投标无效。</w:t>
      </w:r>
    </w:p>
    <w:bookmarkEnd w:id="45"/>
    <w:bookmarkEnd w:id="46"/>
    <w:p>
      <w:pPr>
        <w:pStyle w:val="34"/>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rPr>
        <w:t>一、</w:t>
      </w:r>
      <w:bookmarkStart w:id="47" w:name="_Toc51746099"/>
      <w:r>
        <w:rPr>
          <w:rFonts w:hint="eastAsia" w:ascii="宋体" w:hAnsi="宋体" w:cs="宋体"/>
          <w:b/>
          <w:color w:val="auto"/>
          <w:sz w:val="24"/>
          <w:highlight w:val="none"/>
          <w:lang w:val="zh-CN"/>
        </w:rPr>
        <w:t>项目概况</w:t>
      </w:r>
    </w:p>
    <w:bookmarkEnd w:id="47"/>
    <w:p>
      <w:pPr>
        <w:pStyle w:val="9"/>
        <w:spacing w:after="0" w:line="360" w:lineRule="auto"/>
        <w:ind w:firstLine="480" w:firstLineChars="200"/>
        <w:outlineLvl w:val="2"/>
        <w:rPr>
          <w:rFonts w:hint="eastAsia" w:ascii="宋体" w:hAnsi="宋体" w:cs="宋体"/>
          <w:color w:val="auto"/>
          <w:highlight w:val="none"/>
        </w:rPr>
      </w:pPr>
      <w:r>
        <w:rPr>
          <w:rFonts w:hint="eastAsia" w:ascii="宋体" w:hAnsi="宋体" w:cs="宋体"/>
          <w:color w:val="auto"/>
          <w:highlight w:val="none"/>
        </w:rPr>
        <w:t>（一）项目背景</w:t>
      </w:r>
    </w:p>
    <w:p>
      <w:pPr>
        <w:pStyle w:val="9"/>
        <w:spacing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二十届中央纪委四次全会明确要求紧盯基建工程领域，深化整治新型腐败和隐性腐败。前海作为深港现代服务业合作区、自贸试验区、粤港澳大湾区核心引擎及先行示范区重点片区，建设项目密集、投资规模大、涉及主体多元，传统管理模式存在程序不规范、投资管控薄弱、招投标乱象、跨部门监督协同不足等突出问题，既影响工程质效，更易滋生廉政风险，成为高质量发展的短板。</w:t>
      </w:r>
    </w:p>
    <w:p>
      <w:pPr>
        <w:pStyle w:val="9"/>
        <w:spacing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当前工程建设领域“重审批轻监管、重结果轻过程”的传统模式，难以实现全链条穿透式监督，隐蔽性违规行为导致监督盲区依然存在。为落实中央、省、市全面从严治党和数字化改革部署，响应智慧监督要求，探索“科技+工程管理”融合新模式:特启动前海建设工程全生命周期监督管理平台建设，通过数据整合与智能研判，实现“循数监督”常态化，筑牢工程建设纪律保障。</w:t>
      </w:r>
    </w:p>
    <w:p>
      <w:pPr>
        <w:pStyle w:val="9"/>
        <w:spacing w:after="0" w:line="360" w:lineRule="auto"/>
        <w:ind w:firstLine="480" w:firstLineChars="200"/>
        <w:outlineLvl w:val="2"/>
        <w:rPr>
          <w:rFonts w:hint="eastAsia" w:ascii="宋体" w:hAnsi="宋体" w:cs="宋体"/>
          <w:color w:val="auto"/>
          <w:highlight w:val="none"/>
        </w:rPr>
      </w:pPr>
      <w:r>
        <w:rPr>
          <w:rFonts w:hint="eastAsia" w:ascii="宋体" w:hAnsi="宋体" w:cs="宋体"/>
          <w:color w:val="auto"/>
          <w:highlight w:val="none"/>
        </w:rPr>
        <w:t>（二）建设目标</w:t>
      </w:r>
    </w:p>
    <w:p>
      <w:pPr>
        <w:pStyle w:val="9"/>
        <w:spacing w:after="0" w:line="360" w:lineRule="auto"/>
        <w:ind w:firstLine="480" w:firstLineChars="200"/>
        <w:outlineLvl w:val="2"/>
        <w:rPr>
          <w:rFonts w:hint="eastAsia" w:ascii="宋体" w:hAnsi="宋体" w:cs="宋体"/>
          <w:color w:val="auto"/>
          <w:highlight w:val="none"/>
        </w:rPr>
      </w:pPr>
      <w:r>
        <w:rPr>
          <w:rFonts w:hint="eastAsia" w:ascii="宋体" w:hAnsi="宋体" w:cs="宋体"/>
          <w:color w:val="auto"/>
          <w:highlight w:val="none"/>
        </w:rPr>
        <w:t>本项目打造事前预防-始终预警提醒-事后快速处置的全链条风险管控体系，通过数据上链存证、多维指标设置、智能模型研判、闭环处置落地，实现建设工程领域立体化监督、规范化管理。</w:t>
      </w:r>
    </w:p>
    <w:p>
      <w:pPr>
        <w:pStyle w:val="9"/>
        <w:spacing w:after="0" w:line="360" w:lineRule="auto"/>
        <w:ind w:firstLine="480" w:firstLineChars="200"/>
        <w:outlineLvl w:val="2"/>
        <w:rPr>
          <w:rFonts w:hint="eastAsia" w:ascii="宋体" w:hAnsi="宋体" w:cs="宋体"/>
          <w:color w:val="auto"/>
          <w:highlight w:val="none"/>
        </w:rPr>
      </w:pPr>
      <w:r>
        <w:rPr>
          <w:rFonts w:hint="eastAsia" w:ascii="宋体" w:hAnsi="宋体" w:cs="宋体"/>
          <w:color w:val="auto"/>
          <w:highlight w:val="none"/>
        </w:rPr>
        <w:t>（三）主要建设内容</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本项目以破解前海建设工程跨部门协同不足、数据壁垒突出、监管模式</w:t>
      </w:r>
      <w:r>
        <w:rPr>
          <w:rFonts w:hint="eastAsia" w:ascii="宋体" w:hAnsi="宋体" w:cs="宋体"/>
          <w:color w:val="auto"/>
          <w:kern w:val="0"/>
          <w:sz w:val="24"/>
          <w:highlight w:val="none"/>
          <w:lang w:eastAsia="zh-CN"/>
        </w:rPr>
        <w:t>滞后</w:t>
      </w:r>
      <w:r>
        <w:rPr>
          <w:rFonts w:hint="eastAsia" w:ascii="宋体" w:hAnsi="宋体" w:cs="宋体"/>
          <w:color w:val="auto"/>
          <w:kern w:val="0"/>
          <w:sz w:val="24"/>
          <w:highlight w:val="none"/>
        </w:rPr>
        <w:t>等痛点为出发点，通过充分发挥前海廉洁治理创新平台作用，按照建设“三套数字系统”、强化“两个保障支撑”、打造“一个场景空间”的总体思路，实现“公司穿透、人员穿透、资金穿透”三维穿透监管效果，做到业务流程高效运转、权力运行全程留痕、廉政风险实时预警，努力在运用区块链、大数据、人工智能技术源头治理腐败上走前列、作示范。</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建设“三套数字系统”。一是工程建设行权数字化系统。建设覆盖项目谋划储备、政府投资计划、前期工作、建设实施、竣工移交等全过程的数字化业务系统，横向贯通各业务环节，纵向打通省、市、区三级系统数据通道，实现数据实时回流与统一管理，形成项目数字资源“总账本”，推动“权在线上走、事在网上办”。二是工程建设存证数字化系统。建立可信共享存证的区块链数字化系统，发挥区块链数据不可篡改、全流程可追溯、分布式存证等技术优势，部署一套高性能区块链底层平台，构建独立的区块链网络，将业务数据实时写入区块链，形成不可篡改的“数字证据链”，为廉政监督提供即时可信的链上取证通道。三是工程建设监督数字化系统。建设工程建设全生命周期监督预警系统，打造“事前预防-事中预警提醒-事后快速处置”的风险管控体系，通过数据上链存证、多维指标设置、智能模型研判、闭环处置落地，实现建设工程领域立体化监督、规范化管理。</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2.强化“两个保障”支撑。一是建设一个数据共享库。以数据互通共享为核心，统筹归集省级、市级、本级多层级业务系统数据，通过标准化治理与专题数据库建设，构建起可信可靠、高效可用的数据支撑体系。二是制定一套制度规范。形成一套包括技术方案、数据安全、操作规程、预警处置等操作规程，实现业务升级、流程优化再造，进一步提高建设工程的审批效率和建设质效。  </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打造“一个场景空间”。即：“区块链+大数据智慧监督”场景应用体验空间，整合人工智能、区块链、大数据等技术在前海工程建设领域等廉政风险防控方面的应用，探索打造廉洁治理应用场景体验中心，彰显廉洁前海、阳光前海、效率前海建设的成果。</w:t>
      </w:r>
    </w:p>
    <w:p>
      <w:pPr>
        <w:pStyle w:val="34"/>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lang w:val="zh-CN"/>
        </w:rPr>
        <w:t>二、工作目标</w:t>
      </w:r>
    </w:p>
    <w:p>
      <w:pPr>
        <w:pStyle w:val="9"/>
        <w:spacing w:after="0" w:line="360" w:lineRule="auto"/>
        <w:ind w:firstLine="480" w:firstLineChars="200"/>
        <w:rPr>
          <w:color w:val="auto"/>
          <w:highlight w:val="none"/>
        </w:rPr>
      </w:pPr>
      <w:bookmarkStart w:id="48" w:name="OLE_LINK20"/>
      <w:bookmarkStart w:id="49" w:name="_Toc30370"/>
      <w:bookmarkStart w:id="50" w:name="_Toc3457"/>
      <w:bookmarkStart w:id="51" w:name="_Toc226187701"/>
      <w:r>
        <w:rPr>
          <w:rFonts w:hint="eastAsia" w:ascii="宋体" w:hAnsi="宋体" w:cs="宋体"/>
          <w:color w:val="auto"/>
          <w:highlight w:val="none"/>
        </w:rPr>
        <w:t>按照《深圳经济特区政府投资项目管理条例》《深圳市前海管理局政府投资项目管理工作规程》《前海管理局政务信息化项目管理办法》，开展“前海建设工程全生命周期监督管理平台项目”可行性研究咨询服务工作，服务内容为可行性研究报告编制</w:t>
      </w:r>
      <w:bookmarkEnd w:id="48"/>
      <w:r>
        <w:rPr>
          <w:rFonts w:hint="eastAsia" w:ascii="宋体" w:hAnsi="宋体" w:cs="宋体"/>
          <w:color w:val="auto"/>
          <w:highlight w:val="none"/>
        </w:rPr>
        <w:t>。</w:t>
      </w:r>
      <w:bookmarkEnd w:id="49"/>
      <w:bookmarkEnd w:id="50"/>
      <w:bookmarkEnd w:id="51"/>
    </w:p>
    <w:p>
      <w:pPr>
        <w:pStyle w:val="34"/>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bookmarkStart w:id="52" w:name="OLE_LINK16"/>
      <w:r>
        <w:rPr>
          <w:rFonts w:hint="eastAsia" w:ascii="宋体" w:hAnsi="宋体" w:cs="宋体"/>
          <w:b/>
          <w:color w:val="auto"/>
          <w:sz w:val="24"/>
          <w:highlight w:val="none"/>
        </w:rPr>
        <w:t>三、工作内容</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按照《深圳经济特区政府投资项目管理条例》《深圳市前海管理局政府投资项目管理工作规程》《前海管理局政务信息化项目管理办法》等相关规定，开展“前海建设工程全生命周期监督管理平台”可行性研究报告编制服务。具体内容：</w:t>
      </w:r>
    </w:p>
    <w:p>
      <w:pPr>
        <w:pStyle w:val="34"/>
        <w:tabs>
          <w:tab w:val="left" w:pos="720"/>
        </w:tabs>
        <w:autoSpaceDE w:val="0"/>
        <w:autoSpaceDN w:val="0"/>
        <w:adjustRightInd w:val="0"/>
        <w:spacing w:line="360" w:lineRule="auto"/>
        <w:ind w:right="17" w:firstLine="480"/>
        <w:jc w:val="left"/>
        <w:rPr>
          <w:rFonts w:hint="eastAsia" w:ascii="宋体" w:hAnsi="宋体" w:cs="宋体"/>
          <w:color w:val="auto"/>
          <w:sz w:val="24"/>
          <w:highlight w:val="none"/>
        </w:rPr>
      </w:pPr>
      <w:r>
        <w:rPr>
          <w:rFonts w:hint="eastAsia" w:ascii="宋体" w:hAnsi="宋体" w:cs="宋体"/>
          <w:color w:val="auto"/>
          <w:sz w:val="24"/>
          <w:highlight w:val="none"/>
        </w:rPr>
        <w:t>1．从需求分析、场景设计、架构设计、数据设计、流程设计、标准规范、性能参数、功能指标、建设实施、测试方案、运行维护等方面进行总体设计，形成可行性研究报告。</w:t>
      </w:r>
    </w:p>
    <w:p>
      <w:pPr>
        <w:pStyle w:val="34"/>
        <w:tabs>
          <w:tab w:val="left" w:pos="720"/>
        </w:tabs>
        <w:autoSpaceDE w:val="0"/>
        <w:autoSpaceDN w:val="0"/>
        <w:adjustRightInd w:val="0"/>
        <w:spacing w:line="360" w:lineRule="auto"/>
        <w:ind w:right="17" w:firstLine="480"/>
        <w:jc w:val="left"/>
        <w:rPr>
          <w:rFonts w:hint="eastAsia" w:ascii="宋体" w:hAnsi="宋体" w:cs="宋体"/>
          <w:color w:val="auto"/>
          <w:sz w:val="24"/>
          <w:highlight w:val="none"/>
        </w:rPr>
      </w:pPr>
      <w:r>
        <w:rPr>
          <w:rFonts w:hint="eastAsia" w:ascii="宋体" w:hAnsi="宋体" w:cs="宋体"/>
          <w:color w:val="auto"/>
          <w:sz w:val="24"/>
          <w:highlight w:val="none"/>
        </w:rPr>
        <w:t>2．可行性研究报告内容应按照项目需求单位业务实际需要，符合《深圳市政府投资信息化工程建设项目可行性研究报告编制指南》和发改部门有关要求。</w:t>
      </w:r>
    </w:p>
    <w:p>
      <w:pPr>
        <w:pStyle w:val="34"/>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rPr>
        <w:t>四、</w:t>
      </w:r>
      <w:r>
        <w:rPr>
          <w:rFonts w:hint="eastAsia" w:ascii="宋体" w:hAnsi="宋体" w:cs="宋体"/>
          <w:b/>
          <w:bCs/>
          <w:color w:val="auto"/>
          <w:sz w:val="24"/>
          <w:highlight w:val="none"/>
        </w:rPr>
        <w:t>成果内容及验收方式</w:t>
      </w:r>
    </w:p>
    <w:p>
      <w:pPr>
        <w:snapToGrid w:val="0"/>
        <w:spacing w:line="360" w:lineRule="auto"/>
        <w:ind w:left="11" w:firstLine="480" w:firstLineChars="200"/>
        <w:outlineLvl w:val="2"/>
        <w:rPr>
          <w:rFonts w:hint="eastAsia" w:ascii="宋体" w:hAnsi="宋体" w:cs="宋体"/>
          <w:bCs/>
          <w:color w:val="auto"/>
          <w:sz w:val="24"/>
          <w:highlight w:val="none"/>
        </w:rPr>
      </w:pPr>
      <w:bookmarkStart w:id="53" w:name="OLE_LINK5"/>
      <w:r>
        <w:rPr>
          <w:rFonts w:hint="eastAsia" w:ascii="宋体" w:hAnsi="宋体" w:cs="宋体"/>
          <w:color w:val="auto"/>
          <w:sz w:val="24"/>
          <w:highlight w:val="none"/>
        </w:rPr>
        <w:t>1.成果内容</w:t>
      </w:r>
      <w:r>
        <w:rPr>
          <w:rFonts w:hint="eastAsia" w:ascii="宋体" w:hAnsi="宋体" w:cs="宋体"/>
          <w:bCs/>
          <w:color w:val="auto"/>
          <w:sz w:val="24"/>
          <w:highlight w:val="none"/>
        </w:rPr>
        <w:t>：中标单位负责可行性研究报告编制，中标单位向采购人提交项目可行性研究报告（代项目建议书）的电子文件和纸质文档，纸质文档不少于3份，最终所需文档数量根据采购人实际情况而定。</w:t>
      </w:r>
    </w:p>
    <w:p>
      <w:pPr>
        <w:spacing w:line="360" w:lineRule="auto"/>
        <w:ind w:left="11" w:firstLine="420"/>
        <w:outlineLvl w:val="1"/>
        <w:rPr>
          <w:rFonts w:hint="eastAsia" w:ascii="宋体" w:hAnsi="宋体" w:cs="宋体"/>
          <w:bCs/>
          <w:color w:val="auto"/>
          <w:sz w:val="24"/>
          <w:highlight w:val="none"/>
        </w:rPr>
      </w:pPr>
      <w:r>
        <w:rPr>
          <w:rFonts w:hint="eastAsia" w:ascii="宋体" w:hAnsi="宋体" w:cs="宋体"/>
          <w:color w:val="auto"/>
          <w:sz w:val="24"/>
          <w:highlight w:val="none"/>
        </w:rPr>
        <w:t>2.验收方式：</w:t>
      </w:r>
      <w:r>
        <w:rPr>
          <w:rFonts w:hint="eastAsia" w:ascii="宋体" w:hAnsi="宋体" w:cs="宋体"/>
          <w:bCs/>
          <w:color w:val="auto"/>
          <w:sz w:val="24"/>
          <w:highlight w:val="none"/>
        </w:rPr>
        <w:t>采购人组织专家评审会根据国家、省、市和行业有关规范、规程、标准及本合同约定对中标单位交付的最终成果进行评审，并取得采购人发展改革部门的批复。</w:t>
      </w:r>
    </w:p>
    <w:bookmarkEnd w:id="53"/>
    <w:p>
      <w:pPr>
        <w:pStyle w:val="34"/>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rPr>
        <w:t>五、</w:t>
      </w:r>
      <w:bookmarkStart w:id="54" w:name="OLE_LINK8"/>
      <w:r>
        <w:rPr>
          <w:rFonts w:hint="eastAsia" w:ascii="宋体" w:hAnsi="宋体" w:cs="宋体"/>
          <w:b/>
          <w:color w:val="auto"/>
          <w:sz w:val="24"/>
          <w:highlight w:val="none"/>
        </w:rPr>
        <w:t>进度要求</w:t>
      </w:r>
      <w:bookmarkEnd w:id="54"/>
    </w:p>
    <w:p>
      <w:pPr>
        <w:pStyle w:val="34"/>
        <w:tabs>
          <w:tab w:val="left" w:pos="720"/>
        </w:tabs>
        <w:autoSpaceDE w:val="0"/>
        <w:autoSpaceDN w:val="0"/>
        <w:adjustRightInd w:val="0"/>
        <w:spacing w:line="360" w:lineRule="auto"/>
        <w:ind w:right="17" w:firstLine="480"/>
        <w:jc w:val="left"/>
        <w:rPr>
          <w:rFonts w:hint="eastAsia" w:ascii="宋体" w:hAnsi="宋体" w:cs="宋体"/>
          <w:color w:val="auto"/>
          <w:sz w:val="24"/>
          <w:highlight w:val="none"/>
        </w:rPr>
      </w:pPr>
      <w:r>
        <w:rPr>
          <w:rFonts w:hint="eastAsia" w:ascii="宋体" w:hAnsi="宋体" w:cs="宋体"/>
          <w:color w:val="auto"/>
          <w:sz w:val="24"/>
          <w:highlight w:val="none"/>
        </w:rPr>
        <w:t>中标</w:t>
      </w:r>
      <w:r>
        <w:rPr>
          <w:rFonts w:hint="eastAsia" w:ascii="宋体" w:hAnsi="宋体" w:cs="宋体"/>
          <w:color w:val="auto"/>
          <w:sz w:val="24"/>
          <w:highlight w:val="none"/>
          <w:lang w:eastAsia="zh-CN"/>
        </w:rPr>
        <w:t>签订</w:t>
      </w:r>
      <w:r>
        <w:rPr>
          <w:rFonts w:hint="eastAsia" w:ascii="宋体" w:hAnsi="宋体" w:cs="宋体"/>
          <w:color w:val="auto"/>
          <w:sz w:val="24"/>
          <w:highlight w:val="none"/>
        </w:rPr>
        <w:t>合同后，中标单位需在合同签订后2个月内完成项目可行性研究报告（代项目建议书）的编制工作。</w:t>
      </w:r>
    </w:p>
    <w:p>
      <w:pPr>
        <w:pStyle w:val="34"/>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rPr>
        <w:t>六、项目人员安排要求</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中标单位应根据项目工作的需要，配置具有相关丰富经验的项目管理人员和咨询顾问，要求项目团队成员充足、专业能力突出，参与的同类项目案例丰富。团队组成方案能有力支撑本项目设计工作效率，保障设计成果质量。项目团队应提供团队设计分工方案、团队组织管理办法等团队工作的计划性和管理性文件。</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1.项目负责人须具有良好的专业素质，主持过类似项目，具有该领域丰富的项目全局把控和资源管理经验，负责总体设计的管理和协调，并作为本项目的实际主持者担负实质性工作。</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2．至少安排3人咨询团队参与项目咨询服务工作，能够服从采购人的工作安排，具备较强的专业素质，有优秀的方案能力、书面表达能力、组织能力和沟通能力。</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3．中标单位为本项目的实施提供后台支撑团队，包括相关领域专家，指导各项工作开展。并根据项目进展情况动态调整人员力量，以应对突发任务或关键节点的繁杂工作。</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4.项目组实行项目负责人全权负责制，项目负责人代表公司负责项目。其中项目团队核心成员需具有相关工作经验。</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5.参加本项目编制的人员必须具有国家和有关部门规定的相应资质。</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6.中标单位项目成员若需调整，需经采购人书面同意后方可变更。</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7.必须以中标单位直属人员（直属人员指劳动合同、社会保险等劳动关系在中标单位的人员）参与本项目服务，不得使用挂靠队伍。</w:t>
      </w:r>
    </w:p>
    <w:p>
      <w:pPr>
        <w:pStyle w:val="34"/>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rPr>
        <w:t>七、商务要求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auto"/>
          <w:sz w:val="24"/>
          <w:highlight w:val="none"/>
        </w:rPr>
      </w:pPr>
      <w:r>
        <w:rPr>
          <w:rFonts w:hint="eastAsia" w:ascii="宋体" w:hAnsi="宋体" w:cs="宋体"/>
          <w:b/>
          <w:bCs/>
          <w:color w:val="auto"/>
          <w:kern w:val="0"/>
          <w:sz w:val="24"/>
          <w:highlight w:val="none"/>
        </w:rPr>
        <w:t>（一）服务期限</w:t>
      </w:r>
    </w:p>
    <w:p>
      <w:pPr>
        <w:pStyle w:val="34"/>
        <w:tabs>
          <w:tab w:val="left" w:pos="720"/>
        </w:tabs>
        <w:autoSpaceDE w:val="0"/>
        <w:autoSpaceDN w:val="0"/>
        <w:adjustRightInd w:val="0"/>
        <w:spacing w:line="360" w:lineRule="auto"/>
        <w:ind w:right="17" w:firstLine="480"/>
        <w:jc w:val="left"/>
        <w:rPr>
          <w:rFonts w:hint="eastAsia" w:ascii="宋体" w:hAnsi="宋体" w:cs="宋体"/>
          <w:bCs/>
          <w:color w:val="auto"/>
          <w:sz w:val="24"/>
          <w:highlight w:val="none"/>
        </w:rPr>
      </w:pPr>
      <w:r>
        <w:rPr>
          <w:rFonts w:hint="eastAsia" w:ascii="宋体" w:hAnsi="宋体" w:cs="宋体"/>
          <w:color w:val="auto"/>
          <w:sz w:val="24"/>
          <w:highlight w:val="none"/>
        </w:rPr>
        <w:t>项目中标合同</w:t>
      </w:r>
      <w:r>
        <w:rPr>
          <w:rFonts w:hint="eastAsia" w:ascii="宋体" w:hAnsi="宋体" w:cs="宋体"/>
          <w:color w:val="auto"/>
          <w:sz w:val="24"/>
          <w:highlight w:val="none"/>
          <w:lang w:eastAsia="zh-CN"/>
        </w:rPr>
        <w:t>签订</w:t>
      </w:r>
      <w:r>
        <w:rPr>
          <w:rFonts w:hint="eastAsia" w:ascii="宋体" w:hAnsi="宋体" w:cs="宋体"/>
          <w:color w:val="auto"/>
          <w:sz w:val="24"/>
          <w:highlight w:val="none"/>
        </w:rPr>
        <w:t>之日起至本项目对应实施项目取得竣工决算批复为止。</w:t>
      </w:r>
    </w:p>
    <w:p>
      <w:pPr>
        <w:tabs>
          <w:tab w:val="left" w:pos="720"/>
        </w:tabs>
        <w:autoSpaceDE w:val="0"/>
        <w:autoSpaceDN w:val="0"/>
        <w:adjustRightInd w:val="0"/>
        <w:spacing w:line="360" w:lineRule="auto"/>
        <w:ind w:right="17" w:firstLine="482" w:firstLineChars="200"/>
        <w:outlineLvl w:val="2"/>
        <w:rPr>
          <w:rFonts w:hint="eastAsia" w:ascii="宋体" w:hAnsi="宋体" w:cs="宋体"/>
          <w:bCs/>
          <w:color w:val="auto"/>
          <w:sz w:val="24"/>
          <w:highlight w:val="none"/>
        </w:rPr>
      </w:pPr>
      <w:r>
        <w:rPr>
          <w:rFonts w:hint="eastAsia" w:ascii="宋体" w:hAnsi="宋体" w:cs="宋体"/>
          <w:b/>
          <w:bCs/>
          <w:color w:val="auto"/>
          <w:kern w:val="0"/>
          <w:sz w:val="24"/>
          <w:highlight w:val="none"/>
        </w:rPr>
        <w:t>（二）服务地点</w:t>
      </w:r>
    </w:p>
    <w:p>
      <w:pPr>
        <w:tabs>
          <w:tab w:val="left" w:pos="720"/>
        </w:tabs>
        <w:autoSpaceDE w:val="0"/>
        <w:autoSpaceDN w:val="0"/>
        <w:adjustRightInd w:val="0"/>
        <w:spacing w:line="360" w:lineRule="auto"/>
        <w:ind w:right="17" w:firstLine="480" w:firstLineChars="200"/>
        <w:rPr>
          <w:rFonts w:hint="eastAsia" w:ascii="宋体" w:hAnsi="宋体" w:cs="宋体"/>
          <w:bCs/>
          <w:color w:val="auto"/>
          <w:sz w:val="24"/>
          <w:highlight w:val="none"/>
        </w:rPr>
      </w:pPr>
      <w:r>
        <w:rPr>
          <w:rFonts w:hint="eastAsia" w:ascii="宋体" w:hAnsi="宋体" w:cs="宋体"/>
          <w:color w:val="auto"/>
          <w:sz w:val="24"/>
          <w:highlight w:val="none"/>
        </w:rPr>
        <w:t>深圳市</w:t>
      </w:r>
      <w:r>
        <w:rPr>
          <w:rFonts w:hint="eastAsia" w:ascii="宋体" w:hAnsi="宋体" w:cs="宋体"/>
          <w:bCs/>
          <w:color w:val="auto"/>
          <w:sz w:val="24"/>
          <w:highlight w:val="none"/>
        </w:rPr>
        <w:t>前海深港现代服务业合作区。</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（三）报价要求</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1．本次投标为总价包干，投标报价总价作为中标人与采购人签订的合同金额。投标人的报价不可高于总预算（限价）</w:t>
      </w:r>
      <w:r>
        <w:rPr>
          <w:rFonts w:hint="eastAsia" w:ascii="宋体" w:hAnsi="宋体" w:cs="宋体"/>
          <w:color w:val="auto"/>
          <w:kern w:val="0"/>
          <w:sz w:val="24"/>
          <w:highlight w:val="none"/>
        </w:rPr>
        <w:t>及各分项预算（限价）</w:t>
      </w:r>
      <w:r>
        <w:rPr>
          <w:rFonts w:hint="eastAsia" w:ascii="宋体" w:hAnsi="宋体" w:cs="宋体"/>
          <w:color w:val="auto"/>
          <w:sz w:val="24"/>
          <w:highlight w:val="none"/>
        </w:rPr>
        <w:t>，否则投标人的投标文件视同无效。投标人的投标总价为完成项目及招标文件或合同条款所规定的工作内容的各项费用，应包括项目研究、成果报告编制、法定税费和企业的利润等为完成本项目服务所发生的全部相关费用。包含但不限于：</w:t>
      </w:r>
      <w:bookmarkStart w:id="55" w:name="OLE_LINK12"/>
      <w:r>
        <w:rPr>
          <w:rFonts w:hint="eastAsia" w:ascii="宋体" w:hAnsi="宋体" w:cs="宋体"/>
          <w:color w:val="auto"/>
          <w:sz w:val="24"/>
          <w:highlight w:val="none"/>
        </w:rPr>
        <w:t>人员费用及成果制作费、专家咨询费/评审费、车辆使用费、办公场所租赁费、差旅费、管理费、税费等</w:t>
      </w:r>
      <w:bookmarkEnd w:id="55"/>
      <w:r>
        <w:rPr>
          <w:rFonts w:hint="eastAsia" w:ascii="宋体" w:hAnsi="宋体" w:cs="宋体"/>
          <w:color w:val="auto"/>
          <w:sz w:val="24"/>
          <w:highlight w:val="none"/>
        </w:rPr>
        <w:t>。一经中标，投标报价总价作为中标单位与采购人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的合同金额，合同期限内不做调整。</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auto"/>
          <w:kern w:val="0"/>
          <w:sz w:val="24"/>
          <w:highlight w:val="none"/>
        </w:rPr>
      </w:pPr>
      <w:r>
        <w:rPr>
          <w:rFonts w:hint="eastAsia" w:ascii="宋体" w:hAnsi="宋体" w:cs="宋体"/>
          <w:color w:val="auto"/>
          <w:sz w:val="24"/>
          <w:highlight w:val="none"/>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（四）付款方式</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1.本项目合同最终支付总金额按照如下方式确定：</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rPr>
        <w:t>项目通过采购人发展改革部门批复后，如批复的可行性研究报告编制费用低于合同价，则以批复金额作为合同价；</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如项目通过深圳市财政预算和投资评审中心的竣工决算评审，可行性研究报告编制合同价以评审结果为准，采购人据此支付尾款；</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（3）</w:t>
      </w:r>
      <w:r>
        <w:rPr>
          <w:rFonts w:hint="eastAsia" w:ascii="宋体" w:hAnsi="宋体" w:cs="宋体"/>
          <w:color w:val="auto"/>
          <w:kern w:val="0"/>
          <w:sz w:val="24"/>
          <w:highlight w:val="none"/>
        </w:rPr>
        <w:t>如项目可行性研究报告未获得采购人发展改革部门的批复，本合同终止，采购人不支付后续费用；</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2．合同金额由采购人分3期支付至中标单位指定银行账户：</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第一期：自双方签订合同之日起10个工作日内，根据中标单位提出的付款申请，采购人支付合同总金额的30%；</w:t>
      </w:r>
    </w:p>
    <w:p>
      <w:pPr>
        <w:spacing w:line="360" w:lineRule="auto"/>
        <w:ind w:left="11" w:firstLine="420"/>
        <w:outlineLvl w:val="1"/>
        <w:rPr>
          <w:rFonts w:hint="eastAsia" w:ascii="宋体" w:hAnsi="宋体" w:cs="宋体"/>
          <w:color w:val="auto"/>
          <w:sz w:val="24"/>
          <w:highlight w:val="none"/>
        </w:rPr>
      </w:pPr>
      <w:r>
        <w:rPr>
          <w:rFonts w:hint="eastAsia" w:ascii="宋体" w:hAnsi="宋体" w:cs="宋体"/>
          <w:color w:val="auto"/>
          <w:sz w:val="24"/>
          <w:highlight w:val="none"/>
        </w:rPr>
        <w:t>第二期：中标单位将最终项目成果交付给采购人，按照前述验收方法通过最终验收合格的，根据</w:t>
      </w:r>
      <w:r>
        <w:rPr>
          <w:rFonts w:hint="eastAsia" w:ascii="宋体" w:hAnsi="宋体" w:cs="宋体"/>
          <w:color w:val="auto"/>
          <w:sz w:val="24"/>
          <w:highlight w:val="none"/>
          <w:lang w:eastAsia="zh-CN"/>
        </w:rPr>
        <w:t>上一条款</w:t>
      </w:r>
      <w:r>
        <w:rPr>
          <w:rFonts w:hint="eastAsia" w:ascii="宋体" w:hAnsi="宋体" w:cs="宋体"/>
          <w:color w:val="auto"/>
          <w:sz w:val="24"/>
          <w:highlight w:val="none"/>
        </w:rPr>
        <w:t>计算合同总价，中标单位提出付款申请后采购人支付合同款至90%；</w:t>
      </w:r>
    </w:p>
    <w:p>
      <w:pPr>
        <w:spacing w:line="360" w:lineRule="auto"/>
        <w:ind w:left="11" w:firstLine="420"/>
        <w:outlineLvl w:val="1"/>
        <w:rPr>
          <w:rFonts w:hint="eastAsia" w:ascii="宋体" w:hAnsi="宋体" w:cs="宋体"/>
          <w:color w:val="auto"/>
          <w:sz w:val="24"/>
          <w:highlight w:val="none"/>
        </w:rPr>
      </w:pPr>
      <w:r>
        <w:rPr>
          <w:rFonts w:hint="eastAsia" w:ascii="宋体" w:hAnsi="宋体" w:cs="宋体"/>
          <w:color w:val="auto"/>
          <w:sz w:val="24"/>
          <w:highlight w:val="none"/>
        </w:rPr>
        <w:t>第三期：本项目对应实施项目完成竣工决算后，根据决算批复可行性研究报告编制金额，中标单位提出付款申请后采购人支付合同尾款。</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3.上述每期款项均在满足付款条件，且采购人收到中标人开具的载明相应金额的合格发票后15个工作日内付至中标人指定银行账户。如未及时收到发票，则采购人相应付款时间顺延。若因</w:t>
      </w:r>
      <w:r>
        <w:rPr>
          <w:rFonts w:ascii="宋体" w:hAnsi="宋体" w:cs="宋体"/>
          <w:color w:val="auto"/>
          <w:sz w:val="24"/>
          <w:highlight w:val="none"/>
        </w:rPr>
        <w:t>采购人</w:t>
      </w:r>
      <w:r>
        <w:rPr>
          <w:rFonts w:hint="eastAsia" w:ascii="宋体" w:hAnsi="宋体" w:cs="宋体"/>
          <w:color w:val="auto"/>
          <w:sz w:val="24"/>
          <w:highlight w:val="none"/>
        </w:rPr>
        <w:t>付款审批影响支付进度，请</w:t>
      </w:r>
      <w:r>
        <w:rPr>
          <w:rFonts w:ascii="宋体" w:hAnsi="宋体" w:cs="宋体"/>
          <w:color w:val="auto"/>
          <w:sz w:val="24"/>
          <w:highlight w:val="none"/>
        </w:rPr>
        <w:t>中标人</w:t>
      </w:r>
      <w:r>
        <w:rPr>
          <w:rFonts w:hint="eastAsia" w:ascii="宋体" w:hAnsi="宋体" w:cs="宋体"/>
          <w:color w:val="auto"/>
          <w:sz w:val="24"/>
          <w:highlight w:val="none"/>
        </w:rPr>
        <w:t>予以谅解，并不得就此向</w:t>
      </w:r>
      <w:r>
        <w:rPr>
          <w:rFonts w:ascii="宋体" w:hAnsi="宋体" w:cs="宋体"/>
          <w:color w:val="auto"/>
          <w:sz w:val="24"/>
          <w:highlight w:val="none"/>
        </w:rPr>
        <w:t>采购人</w:t>
      </w:r>
      <w:r>
        <w:rPr>
          <w:rFonts w:hint="eastAsia" w:ascii="宋体" w:hAnsi="宋体" w:cs="宋体"/>
          <w:color w:val="auto"/>
          <w:sz w:val="24"/>
          <w:highlight w:val="none"/>
        </w:rPr>
        <w:t>索赔。</w:t>
      </w:r>
    </w:p>
    <w:bookmarkEnd w:id="52"/>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（五）知识产权</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1．本项目全部阶段性成果和最终成果的所有权、知识产权以及与之相关的所有权利归采购方所有。</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双方确定，采购方有权利用中标单位按照本合同约定提供的成果，进行后续改进。由此产生的具有实质性或创造性技术进步特征的新的技术成果及其权利归属，全部由采购方享有。具体相关利益的分配办法如下：采购方100%。</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中标单位所提交的全部阶段性成果和最终成果文件及任何数据、资料、软件等不得侵犯任何第三方的知识产权或其他权利，由于该文件、数据、资料、软件侵权所导致的任何索赔或责任均由中标单位承担。同时，采购方有权要求中标单位修改成果至不侵权或解除合同，并保留要求中标单位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未经采购方书面在先同意，中标单位不得将本项目的阶段性成果和/或最终成果文件及任何数据、资料、软件向任何第三方转让、授权任何第三方使用或用于本合同项目外的其他项目。如发生以上情况，中标单位应向采购方支付本合同总价款20%的违约金，如果违约金无法弥补采购方的损失，采购方有权要求中标单位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5．中标单位完成本合同项目的研究开发人员享有在有关成果文件上写明成果完成者的权利和与采购方共同获得有关荣誉证书、奖励的权利。</w:t>
      </w:r>
    </w:p>
    <w:p>
      <w:pPr>
        <w:widowControl/>
        <w:spacing w:line="360" w:lineRule="auto"/>
        <w:ind w:firstLine="482" w:firstLineChars="200"/>
        <w:outlineLvl w:val="2"/>
        <w:rPr>
          <w:rFonts w:hint="eastAsia" w:ascii="宋体" w:hAnsi="宋体" w:cs="宋体"/>
          <w:b/>
          <w:bCs/>
          <w:color w:val="auto"/>
          <w:sz w:val="24"/>
          <w:highlight w:val="none"/>
        </w:rPr>
      </w:pPr>
      <w:r>
        <w:rPr>
          <w:rFonts w:hint="eastAsia" w:ascii="宋体" w:hAnsi="宋体" w:cs="宋体"/>
          <w:b/>
          <w:bCs/>
          <w:color w:val="auto"/>
          <w:kern w:val="0"/>
          <w:sz w:val="24"/>
          <w:highlight w:val="none"/>
        </w:rPr>
        <w:t>（六）</w:t>
      </w:r>
      <w:r>
        <w:rPr>
          <w:rFonts w:hint="eastAsia" w:ascii="宋体" w:hAnsi="宋体" w:cs="宋体"/>
          <w:b/>
          <w:bCs/>
          <w:color w:val="auto"/>
          <w:sz w:val="24"/>
          <w:highlight w:val="none"/>
        </w:rPr>
        <w:t>保密条款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单位应以保密方式处理在编制本项目成果文件过程中自采购方、采购方工作人员或采购方关联机构获得的相关信息、资料、图纸、数据等，或由采购方在履行本合同过程中明确指明为秘密的任何信息，以及中标单位因本项目工作内容所直接或间接取得、处理或接触的任何其他资料。未经采购方书面在先同意，中标单位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3．中标单位实施项目的程序应符合国家安全、保密的有关规定和标准。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4．上述保密义务不适用以下情况：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（1）获取的信息已被合法公开；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（2）获得信息拥有方书面许可并在该许可范围内披露；</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（3）国家法律、法规规定的情形。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如中标单位违反上述保密条款，采购方有权解除本合同，中标单位应在合同解除通知发出之日起10日内向采购方支付本合同服务费总金额20%的违约金，如果违约金无法弥补采购人损失，采购人保留要求中标单位赔偿全部损失的权利，包括但不限于上述索赔或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6．无论本项目其他条款是否有效，本保密条款始终约束双方。国家秘密的保密期限由国家有关部门确定，工作秘密的保密期限由采购人确定。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auto"/>
          <w:sz w:val="24"/>
          <w:highlight w:val="none"/>
        </w:rPr>
      </w:pPr>
      <w:r>
        <w:rPr>
          <w:rFonts w:hint="eastAsia" w:ascii="宋体" w:hAnsi="宋体" w:cs="宋体"/>
          <w:b/>
          <w:bCs/>
          <w:color w:val="auto"/>
          <w:kern w:val="0"/>
          <w:sz w:val="24"/>
          <w:highlight w:val="none"/>
        </w:rPr>
        <w:t>（七）</w:t>
      </w:r>
      <w:r>
        <w:rPr>
          <w:rFonts w:hint="eastAsia" w:ascii="宋体" w:hAnsi="宋体" w:cs="宋体"/>
          <w:b/>
          <w:bCs/>
          <w:color w:val="auto"/>
          <w:sz w:val="24"/>
          <w:highlight w:val="none"/>
        </w:rPr>
        <w:t>违约责任</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1．因中标单位原因，未能按规定时间完成有关工作的，每延误一天，采购方自尚未支付的合同款项中扣除合同服务总金额的5‰的逾期违约金。</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2．如中标单位提供的服务或成果不符合质量要求，必须在采购方提出要求后7个日历日内无条件修改，其费用由中标单位承担。</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3．本合同履行期间，发生下述情形时，采购方有权解除本合同，中标单位除应退还采购方已支付的全部款项外</w:t>
      </w:r>
      <w:r>
        <w:rPr>
          <w:rFonts w:hint="eastAsia" w:ascii="宋体" w:hAnsi="宋体" w:cs="宋体"/>
          <w:color w:val="auto"/>
          <w:sz w:val="24"/>
          <w:highlight w:val="none"/>
          <w:lang w:eastAsia="zh-CN"/>
        </w:rPr>
        <w:t>，</w:t>
      </w:r>
      <w:r>
        <w:rPr>
          <w:rFonts w:hint="eastAsia" w:ascii="宋体" w:hAnsi="宋体" w:cs="宋体"/>
          <w:color w:val="auto"/>
          <w:sz w:val="24"/>
          <w:highlight w:val="none"/>
        </w:rPr>
        <w:t>还应在合同解除通知发出之日起10日内向采购方支付合同总价款20%的违约金。中标单位应同时将已完成的项目成果移交给采购方，并将全部有关资料退还采购方：</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(1)因中标单位工作的错误或遗漏造成成果质量不符合本合同要求，且中标单位未按采购方要求采取及时有效的补救措施的；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(2)中标单位未能按合同约定的日期(含协商延缓的日期)提交工作成果，延误时间超过30个工作日；或中标单位虽如期提交阶段性成果和最终成果，但最终成果连续二次未能通过验收的；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(3)发现中标单位或中标单位工作人员出现全部或部分丧失履行委托服务能力的情况，采购方有权通知中标单位限期整改或更换工作人员，期限届满中标单位并未进行改善的；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(4)未经采购单位书面在先同意，中标单位擅自将本合同项目与任何第三方合作，或将本合同标的全部或部分擅自转包给任何第三方，且未按采购单位的要求终止与第三方的合同的；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（5）中标单位明确表示或者以自己的行为表明不履行本合同的。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除因审批流程及财政部门预算下达延误影响采购方支出进度外，如采购方未按照本合同约定的时间支付服务费，中标单位书面催告采购方并给予不少于15个工作日的履行期限后采购方仍未支付的，中标单位有权自该期限届满之日起要求采购方支付该阶段应付而未付合同价款每日1‰的逾期违约金。如采购方无正当理由拒绝接受服务，到期明确表示拒付服务款项，中标单位有权要求采购方支付本合同项下服务费总金额10%的违约金。 </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上述违约责任各自独立且可累加。如本合同所约定的违约金无法弥补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2" w:firstLineChars="200"/>
        <w:outlineLvl w:val="2"/>
        <w:rPr>
          <w:rFonts w:hint="eastAsia" w:ascii="宋体" w:hAnsi="宋体" w:cs="宋体"/>
          <w:b/>
          <w:bCs/>
          <w:color w:val="auto"/>
          <w:sz w:val="24"/>
          <w:highlight w:val="none"/>
        </w:rPr>
      </w:pPr>
      <w:bookmarkStart w:id="56" w:name="OLE_LINK13"/>
      <w:r>
        <w:rPr>
          <w:rFonts w:hint="eastAsia" w:ascii="宋体" w:hAnsi="宋体" w:cs="宋体"/>
          <w:b/>
          <w:bCs/>
          <w:color w:val="auto"/>
          <w:sz w:val="24"/>
          <w:highlight w:val="none"/>
        </w:rPr>
        <w:t>（八）</w:t>
      </w:r>
      <w:bookmarkEnd w:id="56"/>
      <w:r>
        <w:rPr>
          <w:rFonts w:hint="eastAsia" w:ascii="宋体" w:hAnsi="宋体" w:cs="宋体"/>
          <w:b/>
          <w:bCs/>
          <w:color w:val="auto"/>
          <w:sz w:val="24"/>
          <w:highlight w:val="none"/>
        </w:rPr>
        <w:t>争议解决方式</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因合同的履行发生的或与合同有关的争议或纠纷，由双方协商解决，协商不成的，任意一方有权向深圳前海合作区人民法院提起诉讼。</w:t>
      </w: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color w:val="auto"/>
          <w:sz w:val="24"/>
          <w:highlight w:val="none"/>
        </w:rPr>
        <w:br w:type="page"/>
      </w:r>
      <w:bookmarkStart w:id="57" w:name="_Toc10061"/>
      <w:bookmarkStart w:id="58" w:name="_Toc23822"/>
      <w:r>
        <w:rPr>
          <w:rFonts w:hint="eastAsia" w:ascii="宋体" w:hAnsi="宋体" w:cs="宋体"/>
          <w:b/>
          <w:bCs/>
          <w:color w:val="auto"/>
          <w:sz w:val="24"/>
          <w:highlight w:val="none"/>
        </w:rPr>
        <w:t xml:space="preserve"> 投标文件初审及招标项目评分表</w:t>
      </w:r>
      <w:bookmarkEnd w:id="57"/>
      <w:bookmarkEnd w:id="58"/>
    </w:p>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投标文件初审表（不可偏离条款）</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（凡有下列情形之一的，投标文件无效，投标作废标处理）</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9" w:type="dxa"/>
            <w:gridSpan w:val="2"/>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p>
        </w:tc>
        <w:tc>
          <w:tcPr>
            <w:tcW w:w="7108"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w:t>
            </w:r>
          </w:p>
        </w:tc>
        <w:tc>
          <w:tcPr>
            <w:tcW w:w="7108" w:type="dxa"/>
            <w:vAlign w:val="center"/>
          </w:tcPr>
          <w:p>
            <w:pPr>
              <w:spacing w:line="360" w:lineRule="auto"/>
              <w:rPr>
                <w:rFonts w:hint="eastAsia" w:ascii="宋体" w:hAnsi="宋体" w:cs="宋体"/>
                <w:b/>
                <w:bCs/>
                <w:color w:val="auto"/>
                <w:sz w:val="24"/>
                <w:highlight w:val="none"/>
              </w:rPr>
            </w:pPr>
            <w:r>
              <w:rPr>
                <w:rFonts w:hint="eastAsia" w:ascii="宋体" w:hAnsi="宋体" w:cs="宋体"/>
                <w:color w:val="auto"/>
                <w:sz w:val="24"/>
                <w:highlight w:val="none"/>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6</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7</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8</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9</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未出现“所投货物或工程或服务在质量、技术、方案等方面没有实质性满足招标文件要求”的情形</w:t>
            </w:r>
          </w:p>
          <w:p>
            <w:pPr>
              <w:spacing w:line="360" w:lineRule="auto"/>
              <w:rPr>
                <w:rFonts w:hint="eastAsia" w:ascii="宋体" w:hAnsi="宋体" w:cs="宋体"/>
                <w:b/>
                <w:bCs/>
                <w:color w:val="auto"/>
                <w:sz w:val="24"/>
                <w:highlight w:val="none"/>
              </w:rPr>
            </w:pPr>
            <w:r>
              <w:rPr>
                <w:rFonts w:hint="eastAsia" w:ascii="宋体" w:hAnsi="宋体" w:cs="宋体"/>
                <w:color w:val="auto"/>
                <w:sz w:val="24"/>
                <w:highlight w:val="none"/>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10</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11</w:t>
            </w:r>
          </w:p>
        </w:tc>
        <w:tc>
          <w:tcPr>
            <w:tcW w:w="7108" w:type="dxa"/>
            <w:vAlign w:val="center"/>
          </w:tcPr>
          <w:p>
            <w:pPr>
              <w:pStyle w:val="17"/>
              <w:spacing w:before="0" w:after="0"/>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报价合理性审查</w:t>
            </w:r>
          </w:p>
          <w:p>
            <w:pPr>
              <w:pStyle w:val="17"/>
              <w:spacing w:before="0" w:after="0"/>
              <w:jc w:val="left"/>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pStyle w:val="17"/>
              <w:spacing w:before="0" w:after="0"/>
              <w:jc w:val="left"/>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（一）投标（响应）报价低于全部通过符合性审查供应商投标（响应）报价平均值50%的，即投标（响应）报价&lt;全部通过符合性审查供应商投标（响应）报价平均值×50%；</w:t>
            </w:r>
          </w:p>
          <w:p>
            <w:pPr>
              <w:pStyle w:val="17"/>
              <w:spacing w:before="0" w:after="0"/>
              <w:jc w:val="left"/>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（二）投标（响应）报价低于通过符合性审查且报价次低供应商投标（响应）报价50%的，即投标（响应）报价&lt;通过符合性审查且报价次低供应商投标（响应）报价×50%；</w:t>
            </w:r>
          </w:p>
          <w:p>
            <w:pPr>
              <w:pStyle w:val="17"/>
              <w:spacing w:before="0" w:after="0"/>
              <w:jc w:val="left"/>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（三）投标（响应）报价低于采购项目最高限价45%的，即投标（响应）报价&lt;采购项目最高限价×45%；</w:t>
            </w:r>
          </w:p>
          <w:p>
            <w:pPr>
              <w:pStyle w:val="17"/>
              <w:spacing w:before="0" w:after="0"/>
              <w:jc w:val="left"/>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（四）其他评审委员会认为供应商报价过低，有可能影响产品质量或者不能诚信履约的情形。</w:t>
            </w:r>
          </w:p>
          <w:p>
            <w:pPr>
              <w:rPr>
                <w:rFonts w:hint="eastAsia" w:ascii="宋体" w:hAnsi="宋体" w:cs="宋体"/>
                <w:color w:val="auto"/>
                <w:sz w:val="24"/>
                <w:highlight w:val="none"/>
              </w:rPr>
            </w:pPr>
            <w:r>
              <w:rPr>
                <w:rFonts w:hint="eastAsia" w:ascii="宋体" w:hAnsi="宋体" w:cs="宋体"/>
                <w:color w:val="auto"/>
                <w:sz w:val="24"/>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12</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未出现法律、法规规定的其他情形</w:t>
            </w:r>
          </w:p>
        </w:tc>
      </w:tr>
    </w:tbl>
    <w:p>
      <w:pPr>
        <w:spacing w:line="360" w:lineRule="auto"/>
        <w:jc w:val="center"/>
        <w:rPr>
          <w:rFonts w:hint="eastAsia" w:ascii="宋体" w:hAnsi="宋体" w:cs="宋体"/>
          <w:color w:val="auto"/>
          <w:sz w:val="24"/>
          <w:highlight w:val="none"/>
        </w:rPr>
      </w:pPr>
      <w:r>
        <w:rPr>
          <w:rFonts w:hint="eastAsia" w:ascii="宋体" w:hAnsi="宋体" w:cs="宋体"/>
          <w:b/>
          <w:bCs/>
          <w:color w:val="auto"/>
          <w:sz w:val="24"/>
          <w:highlight w:val="none"/>
        </w:rPr>
        <w:br w:type="page"/>
      </w:r>
      <w:bookmarkStart w:id="59" w:name="_Toc9548"/>
      <w:bookmarkStart w:id="60" w:name="_Hlk28269117"/>
      <w:r>
        <w:rPr>
          <w:rFonts w:hint="eastAsia" w:ascii="宋体" w:hAnsi="宋体" w:cs="宋体"/>
          <w:b/>
          <w:bCs/>
          <w:color w:val="auto"/>
          <w:sz w:val="24"/>
          <w:highlight w:val="none"/>
        </w:rPr>
        <w:t>招标项目评分表</w:t>
      </w:r>
    </w:p>
    <w:tbl>
      <w:tblPr>
        <w:tblStyle w:val="19"/>
        <w:tblW w:w="86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135"/>
        <w:gridCol w:w="750"/>
        <w:gridCol w:w="8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611"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auto"/>
                <w:sz w:val="24"/>
                <w:highlight w:val="none"/>
                <w:lang w:val="zh-CN"/>
              </w:rPr>
            </w:pPr>
            <w:bookmarkStart w:id="61" w:name="OLE_LINK24"/>
            <w:r>
              <w:rPr>
                <w:rFonts w:hint="eastAsia" w:ascii="宋体" w:hAnsi="宋体" w:cs="宋体"/>
                <w:b/>
                <w:color w:val="auto"/>
                <w:sz w:val="24"/>
                <w:highlight w:val="none"/>
                <w:lang w:val="zh-CN"/>
              </w:rPr>
              <w:t>一、价格部分（</w:t>
            </w:r>
            <w:r>
              <w:rPr>
                <w:rFonts w:hint="eastAsia" w:ascii="宋体" w:hAnsi="宋体" w:cs="宋体"/>
                <w:b/>
                <w:color w:val="auto"/>
                <w:sz w:val="24"/>
                <w:highlight w:val="none"/>
              </w:rPr>
              <w:t>10</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序号</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内容</w:t>
            </w:r>
          </w:p>
        </w:tc>
        <w:tc>
          <w:tcPr>
            <w:tcW w:w="5135"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评分规则</w:t>
            </w:r>
          </w:p>
        </w:tc>
        <w:tc>
          <w:tcPr>
            <w:tcW w:w="750"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权重</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1</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b/>
                <w:color w:val="auto"/>
                <w:sz w:val="24"/>
                <w:highlight w:val="none"/>
              </w:rPr>
              <w:t>投标报价</w:t>
            </w:r>
          </w:p>
        </w:tc>
        <w:tc>
          <w:tcPr>
            <w:tcW w:w="5135" w:type="dxa"/>
            <w:vAlign w:val="center"/>
          </w:tcPr>
          <w:p>
            <w:pPr>
              <w:pStyle w:val="8"/>
              <w:spacing w:line="360" w:lineRule="auto"/>
              <w:rPr>
                <w:rFonts w:hint="eastAsia" w:ascii="宋体" w:hAnsi="宋体" w:cs="宋体"/>
                <w:color w:val="auto"/>
                <w:sz w:val="24"/>
                <w:highlight w:val="none"/>
              </w:rPr>
            </w:pPr>
            <w:r>
              <w:rPr>
                <w:rFonts w:hint="eastAsia" w:ascii="宋体" w:hAnsi="宋体" w:cs="宋体"/>
                <w:color w:val="auto"/>
                <w:sz w:val="24"/>
                <w:highlight w:val="none"/>
              </w:rPr>
              <w:t>采用低价优先法计算，即满足招标文件要求且投标价格最低的投标报价为评标基准价，其价格分为满分。其他投标人的价格分统一按照下列公式计算：</w:t>
            </w:r>
          </w:p>
          <w:p>
            <w:pPr>
              <w:pStyle w:val="8"/>
              <w:spacing w:line="360" w:lineRule="auto"/>
              <w:rPr>
                <w:rFonts w:hint="eastAsia" w:ascii="宋体" w:hAnsi="宋体" w:cs="宋体"/>
                <w:color w:val="auto"/>
                <w:sz w:val="24"/>
                <w:highlight w:val="none"/>
              </w:rPr>
            </w:pPr>
            <w:r>
              <w:rPr>
                <w:rFonts w:hint="eastAsia" w:ascii="宋体" w:hAnsi="宋体" w:cs="宋体"/>
                <w:b/>
                <w:bCs/>
                <w:color w:val="auto"/>
                <w:sz w:val="24"/>
                <w:highlight w:val="none"/>
              </w:rPr>
              <w:t>投标报价得分=(评标基准价／投标报价)×10</w:t>
            </w:r>
          </w:p>
          <w:p>
            <w:pPr>
              <w:numPr>
                <w:ilvl w:val="0"/>
                <w:numId w:val="6"/>
              </w:numPr>
              <w:spacing w:line="360" w:lineRule="auto"/>
              <w:ind w:left="250" w:hanging="249" w:hangingChars="104"/>
              <w:jc w:val="left"/>
              <w:rPr>
                <w:rFonts w:hint="eastAsia" w:ascii="宋体" w:hAnsi="宋体" w:cs="宋体"/>
                <w:bCs/>
                <w:color w:val="auto"/>
                <w:sz w:val="24"/>
                <w:highlight w:val="none"/>
              </w:rPr>
            </w:pPr>
            <w:r>
              <w:rPr>
                <w:rFonts w:hint="eastAsia" w:ascii="宋体" w:hAnsi="宋体" w:cs="宋体"/>
                <w:bCs/>
                <w:color w:val="auto"/>
                <w:sz w:val="24"/>
                <w:highlight w:val="none"/>
              </w:rPr>
              <w:t>价格评分仅限于有效投标人，</w:t>
            </w:r>
            <w:r>
              <w:rPr>
                <w:rFonts w:hint="eastAsia" w:ascii="宋体" w:hAnsi="宋体" w:cs="宋体"/>
                <w:color w:val="auto"/>
                <w:sz w:val="24"/>
                <w:highlight w:val="none"/>
              </w:rPr>
              <w:t>当价格分&lt;0时，取0。</w:t>
            </w:r>
          </w:p>
          <w:p>
            <w:pPr>
              <w:numPr>
                <w:ilvl w:val="0"/>
                <w:numId w:val="6"/>
              </w:numPr>
              <w:spacing w:line="360" w:lineRule="auto"/>
              <w:ind w:left="0" w:hanging="9"/>
              <w:jc w:val="left"/>
              <w:rPr>
                <w:rFonts w:hint="eastAsia" w:ascii="宋体" w:hAnsi="宋体" w:cs="宋体"/>
                <w:b/>
                <w:color w:val="auto"/>
                <w:sz w:val="24"/>
                <w:highlight w:val="none"/>
              </w:rPr>
            </w:pPr>
            <w:r>
              <w:rPr>
                <w:rFonts w:hint="eastAsia" w:ascii="宋体" w:hAnsi="宋体" w:cs="宋体"/>
                <w:bCs/>
                <w:color w:val="auto"/>
                <w:sz w:val="24"/>
                <w:highlight w:val="none"/>
              </w:rPr>
              <w:t>根据财库〔2020〕46号、财库〔2014〕68号及财库〔2017〕141号及（深财购〔2022〕31号）文件规定：</w:t>
            </w:r>
            <w:r>
              <w:rPr>
                <w:rFonts w:hint="eastAsia" w:ascii="宋体" w:hAnsi="宋体" w:cs="宋体"/>
                <w:b/>
                <w:color w:val="auto"/>
                <w:sz w:val="24"/>
                <w:highlight w:val="none"/>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color w:val="auto"/>
                <w:sz w:val="24"/>
                <w:highlight w:val="none"/>
              </w:rPr>
            </w:pPr>
            <w:r>
              <w:rPr>
                <w:rFonts w:hint="eastAsia" w:ascii="宋体" w:hAnsi="宋体" w:cs="宋体"/>
                <w:bCs/>
                <w:color w:val="auto"/>
                <w:sz w:val="24"/>
                <w:highlight w:val="none"/>
              </w:rPr>
              <w:t>监狱企业应当提供由省级以上监狱管理局、戒毒管理局（含新疆生产建设兵团）出具的属于监狱企业的证明文件，中小企业提供中小企业声明函，残疾人福利性企业提供残疾人福利性企业声明函。</w:t>
            </w:r>
          </w:p>
        </w:tc>
        <w:tc>
          <w:tcPr>
            <w:tcW w:w="750"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611"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二、商务部分（</w:t>
            </w:r>
            <w:r>
              <w:rPr>
                <w:rFonts w:hint="eastAsia" w:ascii="宋体" w:hAnsi="宋体" w:cs="宋体"/>
                <w:b/>
                <w:bCs/>
                <w:color w:val="auto"/>
                <w:kern w:val="0"/>
                <w:sz w:val="24"/>
                <w:highlight w:val="none"/>
                <w:lang w:bidi="ar"/>
              </w:rPr>
              <w:t>45</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序号</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内容</w:t>
            </w:r>
          </w:p>
        </w:tc>
        <w:tc>
          <w:tcPr>
            <w:tcW w:w="5135"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评分规则</w:t>
            </w:r>
          </w:p>
        </w:tc>
        <w:tc>
          <w:tcPr>
            <w:tcW w:w="750"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权重</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bookmarkStart w:id="62" w:name="OLE_LINK28" w:colFirst="1" w:colLast="1"/>
            <w:r>
              <w:rPr>
                <w:rFonts w:ascii="宋体" w:hAnsi="宋体" w:cs="宋体"/>
                <w:color w:val="auto"/>
                <w:sz w:val="24"/>
                <w:highlight w:val="none"/>
              </w:rPr>
              <w:t>1</w:t>
            </w:r>
          </w:p>
        </w:tc>
        <w:tc>
          <w:tcPr>
            <w:tcW w:w="1168" w:type="dxa"/>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资格及通过相关认证情况</w:t>
            </w:r>
          </w:p>
        </w:tc>
        <w:tc>
          <w:tcPr>
            <w:tcW w:w="5135"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一、评分内容：</w:t>
            </w:r>
          </w:p>
          <w:p>
            <w:pPr>
              <w:rPr>
                <w:rFonts w:hint="eastAsia" w:ascii="宋体" w:hAnsi="宋体" w:cs="宋体"/>
                <w:color w:val="auto"/>
                <w:sz w:val="24"/>
                <w:highlight w:val="none"/>
              </w:rPr>
            </w:pPr>
            <w:r>
              <w:rPr>
                <w:rFonts w:hint="eastAsia" w:ascii="宋体" w:hAnsi="宋体" w:cs="宋体"/>
                <w:color w:val="auto"/>
                <w:sz w:val="24"/>
                <w:highlight w:val="none"/>
              </w:rPr>
              <w:t>1.具有有效的质量管理体系认证证书、职业健康安全管理体系证书、环境管理体系认证证书（且体系覆盖范围：信息系统工程管理或工程咨询或建设后评价相关的），每提供1项符合条件的证书得2分，最高得6分，其他不得分。</w:t>
            </w:r>
          </w:p>
          <w:p>
            <w:pPr>
              <w:rPr>
                <w:rFonts w:hint="eastAsia" w:ascii="宋体" w:hAnsi="宋体" w:cs="宋体"/>
                <w:color w:val="auto"/>
                <w:sz w:val="24"/>
                <w:highlight w:val="none"/>
              </w:rPr>
            </w:pPr>
            <w:r>
              <w:rPr>
                <w:rFonts w:hint="eastAsia" w:ascii="宋体" w:hAnsi="宋体" w:cs="宋体"/>
                <w:color w:val="auto"/>
                <w:sz w:val="24"/>
                <w:highlight w:val="none"/>
              </w:rPr>
              <w:t>二、评分依据：</w:t>
            </w:r>
          </w:p>
          <w:p>
            <w:pPr>
              <w:rPr>
                <w:rFonts w:hint="eastAsia" w:ascii="宋体" w:hAnsi="宋体" w:cs="宋体"/>
                <w:color w:val="auto"/>
                <w:sz w:val="24"/>
                <w:highlight w:val="none"/>
              </w:rPr>
            </w:pPr>
            <w:r>
              <w:rPr>
                <w:rFonts w:hint="eastAsia" w:ascii="宋体" w:hAnsi="宋体" w:cs="宋体"/>
                <w:color w:val="auto"/>
                <w:sz w:val="24"/>
                <w:highlight w:val="none"/>
              </w:rPr>
              <w:t>1.提供（有效期内的）认证证书扫描件及全国认证认可信息公共服务平台（认e云）（http://cx.cnca.cn/）的认证信息截图，原件备查。</w:t>
            </w:r>
          </w:p>
          <w:p>
            <w:pPr>
              <w:rPr>
                <w:rFonts w:hint="eastAsia" w:ascii="宋体" w:hAnsi="宋体" w:cs="宋体"/>
                <w:color w:val="auto"/>
                <w:sz w:val="24"/>
                <w:highlight w:val="none"/>
              </w:rPr>
            </w:pPr>
            <w:r>
              <w:rPr>
                <w:rFonts w:hint="eastAsia" w:ascii="宋体" w:hAnsi="宋体" w:cs="宋体"/>
                <w:color w:val="auto"/>
                <w:sz w:val="24"/>
                <w:highlight w:val="none"/>
              </w:rPr>
              <w:t>2.如投标人为新成立企业，且成立时间不足三个月；或投标人处于证书申请阶段，尚未过试运行的，提供情况说明或相关证明材料亦可得满分。</w:t>
            </w:r>
          </w:p>
          <w:p>
            <w:pPr>
              <w:rPr>
                <w:rFonts w:hint="eastAsia" w:ascii="宋体" w:hAnsi="宋体" w:cs="宋体"/>
                <w:color w:val="auto"/>
                <w:sz w:val="24"/>
                <w:highlight w:val="none"/>
              </w:rPr>
            </w:pPr>
            <w:r>
              <w:rPr>
                <w:rFonts w:hint="eastAsia" w:ascii="宋体" w:hAnsi="宋体" w:cs="宋体"/>
                <w:color w:val="auto"/>
                <w:sz w:val="24"/>
                <w:highlight w:val="none"/>
              </w:rPr>
              <w:t>3.上述认证证书不满足认证范围或认证范围不在此范围内或不在有效期内或未按要求提供或提供不清晰导致专家无法判断的，均不得分。</w:t>
            </w:r>
          </w:p>
        </w:tc>
        <w:tc>
          <w:tcPr>
            <w:tcW w:w="750" w:type="dxa"/>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ascii="宋体" w:hAnsi="宋体" w:cs="宋体"/>
                <w:color w:val="auto"/>
                <w:sz w:val="24"/>
                <w:highlight w:val="none"/>
              </w:rPr>
              <w:t>2</w:t>
            </w:r>
          </w:p>
        </w:tc>
        <w:tc>
          <w:tcPr>
            <w:tcW w:w="1168" w:type="dxa"/>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同类项目业绩</w:t>
            </w:r>
          </w:p>
        </w:tc>
        <w:tc>
          <w:tcPr>
            <w:tcW w:w="5135"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一、评分内容：</w:t>
            </w:r>
          </w:p>
          <w:p>
            <w:pPr>
              <w:pStyle w:val="9"/>
              <w:rPr>
                <w:rFonts w:hint="eastAsia" w:ascii="宋体" w:hAnsi="宋体" w:cs="宋体"/>
                <w:color w:val="auto"/>
                <w:highlight w:val="none"/>
              </w:rPr>
            </w:pPr>
            <w:r>
              <w:rPr>
                <w:rFonts w:hint="eastAsia" w:ascii="宋体" w:hAnsi="宋体" w:cs="宋体"/>
                <w:color w:val="auto"/>
                <w:highlight w:val="none"/>
              </w:rPr>
              <w:t>自2023年1月1日至本项目投标截止之日，具有政务信息化项目咨询（项目建议书、可行性研究、初步设计及概算，或包含以上内容的全过程咨询）项目业绩的，每个项目得1分，最高8分，没有不得分。</w:t>
            </w:r>
          </w:p>
          <w:p>
            <w:pPr>
              <w:rPr>
                <w:rFonts w:hint="eastAsia" w:ascii="宋体" w:hAnsi="宋体" w:cs="宋体"/>
                <w:color w:val="auto"/>
                <w:sz w:val="24"/>
                <w:highlight w:val="none"/>
              </w:rPr>
            </w:pPr>
            <w:r>
              <w:rPr>
                <w:rFonts w:hint="eastAsia" w:ascii="宋体" w:hAnsi="宋体" w:cs="宋体"/>
                <w:color w:val="auto"/>
                <w:sz w:val="24"/>
                <w:highlight w:val="none"/>
              </w:rPr>
              <w:t xml:space="preserve">二、评分依据： </w:t>
            </w:r>
          </w:p>
          <w:p>
            <w:pPr>
              <w:rPr>
                <w:rFonts w:hint="eastAsia" w:ascii="宋体" w:hAnsi="宋体" w:cs="宋体"/>
                <w:color w:val="auto"/>
                <w:sz w:val="24"/>
                <w:highlight w:val="none"/>
              </w:rPr>
            </w:pPr>
            <w:r>
              <w:rPr>
                <w:rFonts w:hint="eastAsia" w:ascii="宋体" w:hAnsi="宋体" w:cs="宋体"/>
                <w:color w:val="auto"/>
                <w:sz w:val="24"/>
                <w:highlight w:val="none"/>
              </w:rPr>
              <w:t>1.业绩以合同签订时间为准，要求提供合同关键页（包括但不限于合同封面、合作内容、双方盖章页等）作为得分依据，通过合同关键信息无法判断是否得分的，还须同时提供能证明得分的其它证明资料，如合同甲方出具的证明文件等；</w:t>
            </w:r>
          </w:p>
          <w:p>
            <w:pPr>
              <w:rPr>
                <w:rFonts w:hint="eastAsia" w:ascii="宋体" w:hAnsi="宋体" w:cs="宋体"/>
                <w:color w:val="auto"/>
                <w:sz w:val="24"/>
                <w:highlight w:val="none"/>
              </w:rPr>
            </w:pPr>
            <w:r>
              <w:rPr>
                <w:rFonts w:hint="eastAsia" w:ascii="宋体" w:hAnsi="宋体" w:cs="宋体"/>
                <w:color w:val="auto"/>
                <w:sz w:val="24"/>
                <w:highlight w:val="none"/>
              </w:rPr>
              <w:t>2.以上资料均要求提供扫描件，原件备查。评分中出现无证明资料或专家无法凭所提供资料判断是否得分的情况，一律作不得分处理。</w:t>
            </w:r>
          </w:p>
        </w:tc>
        <w:tc>
          <w:tcPr>
            <w:tcW w:w="750" w:type="dxa"/>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ascii="宋体" w:hAnsi="宋体" w:cs="宋体"/>
                <w:color w:val="auto"/>
                <w:sz w:val="24"/>
                <w:highlight w:val="none"/>
              </w:rPr>
              <w:t>3</w:t>
            </w:r>
          </w:p>
        </w:tc>
        <w:tc>
          <w:tcPr>
            <w:tcW w:w="1168" w:type="dxa"/>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lang w:val="zh-CN"/>
              </w:rPr>
              <w:t>拟安排的项目负责人情况（仅1人）</w:t>
            </w:r>
          </w:p>
        </w:tc>
        <w:tc>
          <w:tcPr>
            <w:tcW w:w="5135"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 xml:space="preserve">一、评分内容： </w:t>
            </w:r>
          </w:p>
          <w:p>
            <w:pPr>
              <w:rPr>
                <w:rFonts w:hint="eastAsia" w:ascii="宋体" w:hAnsi="宋体" w:cs="宋体"/>
                <w:color w:val="auto"/>
                <w:sz w:val="24"/>
                <w:highlight w:val="none"/>
              </w:rPr>
            </w:pPr>
            <w:r>
              <w:rPr>
                <w:rFonts w:hint="eastAsia" w:ascii="宋体" w:hAnsi="宋体" w:cs="宋体"/>
                <w:color w:val="auto"/>
                <w:sz w:val="24"/>
                <w:highlight w:val="none"/>
              </w:rPr>
              <w:t>项目负责人为投标单位正式员工（以社保为准），具有计算机相关专业大学本科或以上学历，同时具有人社部门或工信部门颁发的计算机技术与软件专业技术资格证书（专业：系统规划与管理师（高级）），不能满足的，本项得0分。在满足的基础上进行以下评分：</w:t>
            </w:r>
          </w:p>
          <w:p>
            <w:pPr>
              <w:rPr>
                <w:rFonts w:hint="eastAsia" w:ascii="宋体" w:hAnsi="宋体" w:cs="宋体"/>
                <w:color w:val="auto"/>
                <w:sz w:val="24"/>
                <w:highlight w:val="none"/>
              </w:rPr>
            </w:pPr>
            <w:r>
              <w:rPr>
                <w:rFonts w:hint="eastAsia" w:ascii="宋体" w:hAnsi="宋体" w:cs="宋体"/>
                <w:color w:val="auto"/>
                <w:sz w:val="24"/>
                <w:highlight w:val="none"/>
              </w:rPr>
              <w:t>1．具有人社部和国家发改委监制的咨询工程师（投资）证书，得2分；</w:t>
            </w:r>
          </w:p>
          <w:p>
            <w:pPr>
              <w:rPr>
                <w:rFonts w:hint="eastAsia" w:ascii="宋体" w:hAnsi="宋体" w:cs="宋体"/>
                <w:color w:val="auto"/>
                <w:sz w:val="24"/>
                <w:highlight w:val="none"/>
              </w:rPr>
            </w:pPr>
            <w:r>
              <w:rPr>
                <w:rFonts w:hint="eastAsia" w:ascii="宋体" w:hAnsi="宋体" w:cs="宋体"/>
                <w:color w:val="auto"/>
                <w:sz w:val="24"/>
                <w:highlight w:val="none"/>
              </w:rPr>
              <w:t xml:space="preserve">2．具有人社部门或工信部门颁发的计算机技术与软件专业技术资格证书（专业：系统分析师（高级）），得3分； </w:t>
            </w:r>
          </w:p>
          <w:p>
            <w:pPr>
              <w:rPr>
                <w:rFonts w:hint="eastAsia" w:ascii="宋体" w:hAnsi="宋体" w:cs="宋体"/>
                <w:color w:val="auto"/>
                <w:sz w:val="24"/>
                <w:highlight w:val="none"/>
              </w:rPr>
            </w:pPr>
            <w:r>
              <w:rPr>
                <w:rFonts w:hint="eastAsia" w:ascii="宋体" w:hAnsi="宋体" w:cs="宋体"/>
                <w:color w:val="auto"/>
                <w:sz w:val="24"/>
                <w:highlight w:val="none"/>
              </w:rPr>
              <w:t>3．具有注册信息安全专业人员（CISP）资格证书，得2分；</w:t>
            </w:r>
          </w:p>
          <w:p>
            <w:pPr>
              <w:rPr>
                <w:rFonts w:hint="eastAsia" w:ascii="宋体" w:hAnsi="宋体" w:cs="宋体"/>
                <w:color w:val="auto"/>
                <w:sz w:val="24"/>
                <w:highlight w:val="none"/>
              </w:rPr>
            </w:pPr>
            <w:r>
              <w:rPr>
                <w:rFonts w:hint="eastAsia" w:ascii="宋体" w:hAnsi="宋体" w:cs="宋体"/>
                <w:color w:val="auto"/>
                <w:sz w:val="24"/>
                <w:highlight w:val="none"/>
              </w:rPr>
              <w:t>4．具有电子信息工程相关专业中级或以上职称证书，得2分。</w:t>
            </w:r>
          </w:p>
          <w:p>
            <w:pPr>
              <w:rPr>
                <w:rFonts w:hint="eastAsia" w:ascii="宋体" w:hAnsi="宋体" w:cs="宋体"/>
                <w:color w:val="auto"/>
                <w:sz w:val="24"/>
                <w:highlight w:val="none"/>
              </w:rPr>
            </w:pPr>
            <w:r>
              <w:rPr>
                <w:rFonts w:hint="eastAsia" w:ascii="宋体" w:hAnsi="宋体" w:cs="宋体"/>
                <w:color w:val="auto"/>
                <w:sz w:val="24"/>
                <w:highlight w:val="none"/>
              </w:rPr>
              <w:t xml:space="preserve">二、评分依据： </w:t>
            </w:r>
          </w:p>
          <w:p>
            <w:pPr>
              <w:rPr>
                <w:rFonts w:hint="eastAsia" w:ascii="宋体" w:hAnsi="宋体" w:cs="宋体"/>
                <w:color w:val="auto"/>
                <w:sz w:val="24"/>
                <w:highlight w:val="none"/>
              </w:rPr>
            </w:pPr>
            <w:r>
              <w:rPr>
                <w:rFonts w:hint="eastAsia" w:ascii="宋体" w:hAnsi="宋体" w:cs="宋体"/>
                <w:color w:val="auto"/>
                <w:sz w:val="24"/>
                <w:highlight w:val="none"/>
              </w:rPr>
              <w:t>1．要求提供通过投标人缴纳的近三个月内任意一个月的社保证明作为本单位员工的证明依据。如投标人为新成立企业且成立时间不足一个月可提供加盖公章的情况说明或者证明材料亦视为符合。若为退休返聘人员，提供退休证明和返聘协议。</w:t>
            </w:r>
          </w:p>
          <w:p>
            <w:pPr>
              <w:rPr>
                <w:rFonts w:hint="eastAsia" w:ascii="宋体" w:hAnsi="宋体" w:cs="宋体"/>
                <w:color w:val="auto"/>
                <w:sz w:val="24"/>
                <w:highlight w:val="none"/>
              </w:rPr>
            </w:pPr>
            <w:r>
              <w:rPr>
                <w:rFonts w:hint="eastAsia" w:ascii="宋体" w:hAnsi="宋体" w:cs="宋体"/>
                <w:color w:val="auto"/>
                <w:sz w:val="24"/>
                <w:highlight w:val="none"/>
              </w:rPr>
              <w:t>2．提供</w:t>
            </w:r>
            <w:r>
              <w:rPr>
                <w:rFonts w:hint="eastAsia" w:ascii="宋体" w:hAnsi="宋体" w:cs="宋体"/>
                <w:color w:val="auto"/>
                <w:sz w:val="24"/>
                <w:highlight w:val="none"/>
                <w:lang w:val="zh-CN"/>
              </w:rPr>
              <w:t>项目负责人</w:t>
            </w:r>
            <w:r>
              <w:rPr>
                <w:rFonts w:hint="eastAsia" w:ascii="宋体" w:hAnsi="宋体" w:cs="宋体"/>
                <w:color w:val="auto"/>
                <w:sz w:val="24"/>
                <w:highlight w:val="none"/>
              </w:rPr>
              <w:t>的相关证书。</w:t>
            </w:r>
          </w:p>
          <w:p>
            <w:pPr>
              <w:rPr>
                <w:rFonts w:hint="eastAsia" w:ascii="宋体" w:hAnsi="宋体" w:cs="宋体"/>
                <w:color w:val="auto"/>
                <w:sz w:val="24"/>
                <w:highlight w:val="none"/>
              </w:rPr>
            </w:pPr>
            <w:r>
              <w:rPr>
                <w:rFonts w:hint="eastAsia" w:ascii="宋体" w:hAnsi="宋体" w:cs="宋体"/>
                <w:color w:val="auto"/>
                <w:sz w:val="24"/>
                <w:highlight w:val="none"/>
              </w:rPr>
              <w:t>3.学历证明：提供学历证书，还需提供学历认证报告或学信网（https://www.chsi.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pPr>
              <w:rPr>
                <w:rFonts w:hint="eastAsia" w:ascii="宋体" w:hAnsi="宋体" w:cs="宋体"/>
                <w:color w:val="auto"/>
                <w:sz w:val="24"/>
                <w:highlight w:val="none"/>
              </w:rPr>
            </w:pPr>
            <w:r>
              <w:rPr>
                <w:rFonts w:hint="eastAsia" w:ascii="宋体" w:hAnsi="宋体" w:cs="宋体"/>
                <w:color w:val="auto"/>
                <w:sz w:val="24"/>
                <w:highlight w:val="none"/>
              </w:rPr>
              <w:t>4.评分中出现无证明资料或专家无法凭所提供资料判断是否得分的情况，一律作不得分处理。</w:t>
            </w:r>
          </w:p>
        </w:tc>
        <w:tc>
          <w:tcPr>
            <w:tcW w:w="7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168" w:type="dxa"/>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lang w:val="zh-CN"/>
              </w:rPr>
              <w:t>拟安排的项目团队成员（主要技术人员）情况（项目负责人除外）</w:t>
            </w:r>
          </w:p>
        </w:tc>
        <w:tc>
          <w:tcPr>
            <w:tcW w:w="5135"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 xml:space="preserve">（一） 评分内容： </w:t>
            </w:r>
          </w:p>
          <w:p>
            <w:pPr>
              <w:rPr>
                <w:rFonts w:hint="eastAsia" w:ascii="宋体" w:hAnsi="宋体" w:cs="宋体"/>
                <w:color w:val="auto"/>
                <w:sz w:val="24"/>
                <w:highlight w:val="none"/>
              </w:rPr>
            </w:pPr>
            <w:r>
              <w:rPr>
                <w:rFonts w:hint="eastAsia" w:ascii="宋体" w:hAnsi="宋体" w:cs="宋体"/>
                <w:color w:val="auto"/>
                <w:sz w:val="24"/>
                <w:highlight w:val="none"/>
              </w:rPr>
              <w:t>（1）具有人社部门或工信部门颁发的计算机技术与软件专业技术资格证书（专业：软件设计师），每人得2分，本小项最高得6分；</w:t>
            </w:r>
          </w:p>
          <w:p>
            <w:pPr>
              <w:rPr>
                <w:rFonts w:hint="eastAsia" w:ascii="宋体" w:hAnsi="宋体" w:cs="宋体"/>
                <w:color w:val="auto"/>
                <w:sz w:val="24"/>
                <w:highlight w:val="none"/>
              </w:rPr>
            </w:pPr>
            <w:r>
              <w:rPr>
                <w:rFonts w:hint="eastAsia" w:ascii="宋体" w:hAnsi="宋体" w:cs="宋体"/>
                <w:color w:val="auto"/>
                <w:sz w:val="24"/>
                <w:highlight w:val="none"/>
              </w:rPr>
              <w:t>（2）具有人社部和国家发改委监制的咨询工程师（投资）证书，每人得2分，本小项最高得6分；</w:t>
            </w:r>
          </w:p>
          <w:p>
            <w:pPr>
              <w:rPr>
                <w:rFonts w:hint="eastAsia" w:ascii="宋体" w:hAnsi="宋体" w:cs="宋体"/>
                <w:color w:val="auto"/>
                <w:sz w:val="24"/>
                <w:highlight w:val="none"/>
              </w:rPr>
            </w:pPr>
            <w:r>
              <w:rPr>
                <w:rFonts w:hint="eastAsia" w:ascii="宋体" w:hAnsi="宋体" w:cs="宋体"/>
                <w:color w:val="auto"/>
                <w:sz w:val="24"/>
                <w:highlight w:val="none"/>
              </w:rPr>
              <w:t>（3）具有注册信息安全专业人员（CISP）资格证书，每人得1分，本小项最高得2分；</w:t>
            </w:r>
          </w:p>
          <w:p>
            <w:pPr>
              <w:rPr>
                <w:rFonts w:hint="eastAsia" w:ascii="宋体" w:hAnsi="宋体" w:cs="宋体"/>
                <w:color w:val="auto"/>
                <w:sz w:val="24"/>
                <w:highlight w:val="none"/>
              </w:rPr>
            </w:pPr>
            <w:r>
              <w:rPr>
                <w:rFonts w:hint="eastAsia" w:ascii="宋体" w:hAnsi="宋体" w:cs="宋体"/>
                <w:color w:val="auto"/>
                <w:sz w:val="24"/>
                <w:highlight w:val="none"/>
              </w:rPr>
              <w:t>（4）具有人社部门或工信部门颁发的计算机技术与软件专业技术资格证书（专业：数据库系统工程师），每人得1分，本小项最高得1分。</w:t>
            </w:r>
          </w:p>
          <w:p>
            <w:pPr>
              <w:rPr>
                <w:rFonts w:hint="eastAsia" w:ascii="宋体" w:hAnsi="宋体" w:cs="宋体"/>
                <w:color w:val="auto"/>
                <w:sz w:val="24"/>
                <w:highlight w:val="none"/>
              </w:rPr>
            </w:pPr>
            <w:r>
              <w:rPr>
                <w:rFonts w:hint="eastAsia"/>
                <w:color w:val="auto"/>
                <w:sz w:val="24"/>
                <w:highlight w:val="none"/>
              </w:rPr>
              <w:t>以上各小项</w:t>
            </w:r>
            <w:r>
              <w:rPr>
                <w:rFonts w:hint="eastAsia" w:ascii="宋体" w:hAnsi="宋体" w:cs="宋体"/>
                <w:color w:val="auto"/>
                <w:sz w:val="24"/>
                <w:highlight w:val="none"/>
              </w:rPr>
              <w:t>累计计分，同一人员同时具备以上多项证书的，可重复得分。累计得分，本项最高得15分。</w:t>
            </w:r>
          </w:p>
          <w:p>
            <w:pPr>
              <w:rPr>
                <w:rFonts w:hint="eastAsia" w:ascii="宋体" w:hAnsi="宋体" w:cs="宋体"/>
                <w:color w:val="auto"/>
                <w:sz w:val="24"/>
                <w:highlight w:val="none"/>
              </w:rPr>
            </w:pPr>
            <w:r>
              <w:rPr>
                <w:rFonts w:hint="eastAsia" w:ascii="宋体" w:hAnsi="宋体" w:cs="宋体"/>
                <w:color w:val="auto"/>
                <w:sz w:val="24"/>
                <w:highlight w:val="none"/>
              </w:rPr>
              <w:t xml:space="preserve">（二）评分依据： </w:t>
            </w:r>
          </w:p>
          <w:p>
            <w:pPr>
              <w:rPr>
                <w:rFonts w:hint="eastAsia" w:ascii="宋体" w:hAnsi="宋体" w:cs="宋体"/>
                <w:color w:val="auto"/>
                <w:sz w:val="24"/>
                <w:highlight w:val="none"/>
              </w:rPr>
            </w:pPr>
            <w:r>
              <w:rPr>
                <w:rFonts w:hint="eastAsia" w:ascii="宋体" w:hAnsi="宋体" w:cs="宋体"/>
                <w:color w:val="auto"/>
                <w:sz w:val="24"/>
                <w:highlight w:val="none"/>
              </w:rPr>
              <w:t>1．要求提供通过投标人缴纳的近三个月内任意一个月的社保证明作为本单位员工的证明依据。如投标人为新成立企业且成立时间不足一个月可提供加盖公章的情况说明或者证明材料亦视为符合。若为退休返聘人员，提供退休证明和返聘协议。</w:t>
            </w:r>
          </w:p>
          <w:p>
            <w:pPr>
              <w:rPr>
                <w:rFonts w:hint="eastAsia" w:ascii="宋体" w:hAnsi="宋体" w:cs="宋体"/>
                <w:color w:val="auto"/>
                <w:sz w:val="24"/>
                <w:highlight w:val="none"/>
              </w:rPr>
            </w:pPr>
            <w:r>
              <w:rPr>
                <w:rFonts w:hint="eastAsia" w:ascii="宋体" w:hAnsi="宋体" w:cs="宋体"/>
                <w:color w:val="auto"/>
                <w:sz w:val="24"/>
                <w:highlight w:val="none"/>
              </w:rPr>
              <w:t>2．提供人员的相关证书扫描件（或官方网站截图）。</w:t>
            </w:r>
          </w:p>
          <w:p>
            <w:pPr>
              <w:rPr>
                <w:rFonts w:hint="eastAsia" w:ascii="宋体" w:hAnsi="宋体" w:cs="宋体"/>
                <w:color w:val="auto"/>
                <w:sz w:val="24"/>
                <w:highlight w:val="none"/>
              </w:rPr>
            </w:pPr>
            <w:r>
              <w:rPr>
                <w:rFonts w:hint="eastAsia" w:ascii="宋体" w:hAnsi="宋体" w:cs="宋体"/>
                <w:color w:val="auto"/>
                <w:sz w:val="24"/>
                <w:highlight w:val="none"/>
              </w:rPr>
              <w:t>3.评分中出现无证明资料或专家无法凭所提供资料判断是否得分的情况，一律作不得分处理。</w:t>
            </w:r>
          </w:p>
        </w:tc>
        <w:tc>
          <w:tcPr>
            <w:tcW w:w="7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168"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服务响应</w:t>
            </w:r>
          </w:p>
        </w:tc>
        <w:tc>
          <w:tcPr>
            <w:tcW w:w="5135"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一、评分内容：</w:t>
            </w:r>
          </w:p>
          <w:p>
            <w:pPr>
              <w:rPr>
                <w:rFonts w:hint="eastAsia" w:ascii="宋体" w:hAnsi="宋体" w:cs="宋体"/>
                <w:color w:val="auto"/>
                <w:sz w:val="24"/>
                <w:highlight w:val="none"/>
              </w:rPr>
            </w:pPr>
            <w:r>
              <w:rPr>
                <w:rFonts w:hint="eastAsia" w:ascii="宋体" w:hAnsi="宋体" w:cs="宋体"/>
                <w:color w:val="auto"/>
                <w:sz w:val="24"/>
                <w:highlight w:val="none"/>
              </w:rPr>
              <w:t>响应时间：</w:t>
            </w:r>
          </w:p>
          <w:p>
            <w:pPr>
              <w:rPr>
                <w:rFonts w:hint="eastAsia" w:ascii="宋体" w:hAnsi="宋体" w:cs="宋体"/>
                <w:color w:val="auto"/>
                <w:sz w:val="24"/>
                <w:highlight w:val="none"/>
              </w:rPr>
            </w:pPr>
            <w:r>
              <w:rPr>
                <w:rFonts w:hint="eastAsia" w:ascii="宋体" w:hAnsi="宋体" w:cs="宋体"/>
                <w:color w:val="auto"/>
                <w:sz w:val="24"/>
                <w:highlight w:val="none"/>
              </w:rPr>
              <w:t>1．接到采购人需求，承诺在4小时内（含4小时）响应并抵达现场，得2分；</w:t>
            </w:r>
          </w:p>
          <w:p>
            <w:pPr>
              <w:rPr>
                <w:rFonts w:hint="eastAsia" w:ascii="宋体" w:hAnsi="宋体" w:cs="宋体"/>
                <w:color w:val="auto"/>
                <w:sz w:val="24"/>
                <w:highlight w:val="none"/>
              </w:rPr>
            </w:pPr>
            <w:r>
              <w:rPr>
                <w:rFonts w:hint="eastAsia" w:ascii="宋体" w:hAnsi="宋体" w:cs="宋体"/>
                <w:color w:val="auto"/>
                <w:sz w:val="24"/>
                <w:highlight w:val="none"/>
              </w:rPr>
              <w:t>2．接到采购人需求，承诺在4小时以上（不含4小时）24小时内（含24小时）响应的，得1分；</w:t>
            </w:r>
          </w:p>
          <w:p>
            <w:pPr>
              <w:rPr>
                <w:rFonts w:hint="eastAsia" w:ascii="宋体" w:hAnsi="宋体" w:cs="宋体"/>
                <w:color w:val="auto"/>
                <w:sz w:val="24"/>
                <w:highlight w:val="none"/>
              </w:rPr>
            </w:pPr>
            <w:r>
              <w:rPr>
                <w:rFonts w:hint="eastAsia" w:ascii="宋体" w:hAnsi="宋体" w:cs="宋体"/>
                <w:color w:val="auto"/>
                <w:sz w:val="24"/>
                <w:highlight w:val="none"/>
              </w:rPr>
              <w:t>3．接到采购人需求，承诺在24小时以上（不含24小时），48小时内（含48小时）响应的，得0.5分；</w:t>
            </w:r>
          </w:p>
          <w:p>
            <w:pPr>
              <w:rPr>
                <w:rFonts w:hint="eastAsia" w:ascii="宋体" w:hAnsi="宋体" w:cs="宋体"/>
                <w:color w:val="auto"/>
                <w:sz w:val="24"/>
                <w:highlight w:val="none"/>
              </w:rPr>
            </w:pPr>
            <w:r>
              <w:rPr>
                <w:rFonts w:hint="eastAsia" w:ascii="宋体" w:hAnsi="宋体" w:cs="宋体"/>
                <w:color w:val="auto"/>
                <w:sz w:val="24"/>
                <w:highlight w:val="none"/>
              </w:rPr>
              <w:t>其余情形，不得分。本项最高得2分。</w:t>
            </w:r>
          </w:p>
          <w:p>
            <w:pPr>
              <w:rPr>
                <w:rFonts w:hint="eastAsia" w:ascii="宋体" w:hAnsi="宋体" w:cs="宋体"/>
                <w:color w:val="auto"/>
                <w:sz w:val="24"/>
                <w:highlight w:val="none"/>
              </w:rPr>
            </w:pPr>
            <w:r>
              <w:rPr>
                <w:rFonts w:hint="eastAsia" w:ascii="宋体" w:hAnsi="宋体" w:cs="宋体"/>
                <w:color w:val="auto"/>
                <w:sz w:val="24"/>
                <w:highlight w:val="none"/>
              </w:rPr>
              <w:t>二、评分依据：</w:t>
            </w:r>
          </w:p>
          <w:p>
            <w:pPr>
              <w:rPr>
                <w:rFonts w:hint="eastAsia" w:ascii="宋体" w:hAnsi="宋体" w:cs="宋体"/>
                <w:color w:val="auto"/>
                <w:sz w:val="24"/>
                <w:highlight w:val="none"/>
              </w:rPr>
            </w:pPr>
            <w:r>
              <w:rPr>
                <w:rFonts w:hint="eastAsia" w:ascii="宋体" w:hAnsi="宋体" w:cs="宋体"/>
                <w:color w:val="auto"/>
                <w:sz w:val="24"/>
                <w:highlight w:val="none"/>
              </w:rPr>
              <w:t>投标人提供承诺函（格式自拟）。</w:t>
            </w:r>
          </w:p>
        </w:tc>
        <w:tc>
          <w:tcPr>
            <w:tcW w:w="750" w:type="dxa"/>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bookmarkEnd w:id="62"/>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诚信声明与承诺</w:t>
            </w:r>
          </w:p>
        </w:tc>
        <w:tc>
          <w:tcPr>
            <w:tcW w:w="5135"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（一）评分内容：</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（二）评分依据：</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1、投标人提供诚信声明与承诺加盖公章；</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auto"/>
                <w:sz w:val="24"/>
                <w:highlight w:val="none"/>
              </w:rPr>
              <w:t>。</w:t>
            </w:r>
          </w:p>
        </w:tc>
        <w:tc>
          <w:tcPr>
            <w:tcW w:w="750"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836" w:type="dxa"/>
            <w:vAlign w:val="center"/>
          </w:tcPr>
          <w:p>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8611"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三、技术部分（</w:t>
            </w:r>
            <w:r>
              <w:rPr>
                <w:rFonts w:hint="eastAsia" w:ascii="宋体" w:hAnsi="宋体" w:cs="宋体"/>
                <w:b/>
                <w:color w:val="auto"/>
                <w:sz w:val="24"/>
                <w:highlight w:val="none"/>
              </w:rPr>
              <w:t>45</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序号</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内容</w:t>
            </w:r>
          </w:p>
        </w:tc>
        <w:tc>
          <w:tcPr>
            <w:tcW w:w="5135"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评分规则</w:t>
            </w:r>
          </w:p>
        </w:tc>
        <w:tc>
          <w:tcPr>
            <w:tcW w:w="750"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权重</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168" w:type="dxa"/>
            <w:vAlign w:val="center"/>
          </w:tcPr>
          <w:p>
            <w:pPr>
              <w:autoSpaceDE w:val="0"/>
              <w:autoSpaceDN w:val="0"/>
              <w:adjustRightInd w:val="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实施方案</w:t>
            </w:r>
          </w:p>
        </w:tc>
        <w:tc>
          <w:tcPr>
            <w:tcW w:w="5135"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一、评审标准：</w:t>
            </w:r>
          </w:p>
          <w:p>
            <w:pPr>
              <w:rPr>
                <w:rFonts w:hint="eastAsia" w:ascii="宋体" w:hAnsi="宋体" w:cs="宋体"/>
                <w:color w:val="auto"/>
                <w:sz w:val="24"/>
                <w:highlight w:val="none"/>
              </w:rPr>
            </w:pPr>
            <w:r>
              <w:rPr>
                <w:rFonts w:hint="eastAsia" w:ascii="宋体" w:hAnsi="宋体" w:cs="宋体"/>
                <w:color w:val="auto"/>
                <w:sz w:val="24"/>
                <w:highlight w:val="none"/>
              </w:rPr>
              <w:t>1．评审专家根据投标单位关于实施方案进行打分，以下内容提供完全得</w:t>
            </w:r>
            <w:r>
              <w:rPr>
                <w:rFonts w:hint="eastAsia" w:ascii="宋体" w:hAnsi="宋体" w:cs="宋体"/>
                <w:color w:val="auto"/>
                <w:sz w:val="24"/>
                <w:highlight w:val="none"/>
                <w:lang w:val="en-US" w:eastAsia="zh-CN"/>
              </w:rPr>
              <w:t>7.5</w:t>
            </w:r>
            <w:r>
              <w:rPr>
                <w:rFonts w:hint="eastAsia" w:ascii="宋体" w:hAnsi="宋体" w:cs="宋体"/>
                <w:color w:val="auto"/>
                <w:sz w:val="24"/>
                <w:highlight w:val="none"/>
              </w:rPr>
              <w:t>分，每缺一项扣</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全部未提供不得分</w:t>
            </w:r>
            <w:r>
              <w:rPr>
                <w:rFonts w:hint="eastAsia" w:ascii="宋体" w:hAnsi="宋体" w:cs="宋体"/>
                <w:color w:val="auto"/>
                <w:sz w:val="24"/>
                <w:highlight w:val="none"/>
              </w:rPr>
              <w:t>。</w:t>
            </w:r>
          </w:p>
          <w:p>
            <w:pPr>
              <w:rPr>
                <w:rFonts w:hint="eastAsia" w:ascii="宋体" w:hAnsi="宋体" w:cs="宋体"/>
                <w:color w:val="auto"/>
                <w:sz w:val="24"/>
                <w:highlight w:val="none"/>
              </w:rPr>
            </w:pPr>
            <w:r>
              <w:rPr>
                <w:rFonts w:hint="eastAsia" w:ascii="宋体" w:hAnsi="宋体" w:cs="宋体"/>
                <w:color w:val="auto"/>
                <w:sz w:val="24"/>
                <w:highlight w:val="none"/>
              </w:rPr>
              <w:t>（1）建设要求；</w:t>
            </w:r>
          </w:p>
          <w:p>
            <w:pPr>
              <w:rPr>
                <w:rFonts w:hint="eastAsia" w:ascii="宋体" w:hAnsi="宋体" w:cs="宋体"/>
                <w:color w:val="auto"/>
                <w:sz w:val="24"/>
                <w:highlight w:val="none"/>
              </w:rPr>
            </w:pPr>
            <w:r>
              <w:rPr>
                <w:rFonts w:hint="eastAsia" w:ascii="宋体" w:hAnsi="宋体" w:cs="宋体"/>
                <w:color w:val="auto"/>
                <w:sz w:val="24"/>
                <w:highlight w:val="none"/>
              </w:rPr>
              <w:t>（2）工作措施；</w:t>
            </w:r>
          </w:p>
          <w:p>
            <w:pPr>
              <w:rPr>
                <w:rFonts w:hint="eastAsia" w:ascii="宋体" w:hAnsi="宋体" w:cs="宋体"/>
                <w:color w:val="auto"/>
                <w:sz w:val="24"/>
                <w:highlight w:val="none"/>
              </w:rPr>
            </w:pPr>
            <w:r>
              <w:rPr>
                <w:rFonts w:hint="eastAsia" w:ascii="宋体" w:hAnsi="宋体" w:cs="宋体"/>
                <w:color w:val="auto"/>
                <w:sz w:val="24"/>
                <w:highlight w:val="none"/>
              </w:rPr>
              <w:t>（3）工作方案；</w:t>
            </w:r>
          </w:p>
          <w:p>
            <w:pPr>
              <w:rPr>
                <w:rFonts w:hint="eastAsia" w:ascii="宋体" w:hAnsi="宋体" w:cs="宋体"/>
                <w:color w:val="auto"/>
                <w:sz w:val="24"/>
                <w:highlight w:val="none"/>
              </w:rPr>
            </w:pPr>
            <w:r>
              <w:rPr>
                <w:rFonts w:hint="eastAsia" w:ascii="宋体" w:hAnsi="宋体" w:cs="宋体"/>
                <w:color w:val="auto"/>
                <w:sz w:val="24"/>
                <w:highlight w:val="none"/>
              </w:rPr>
              <w:t>（4）工作手段；</w:t>
            </w:r>
          </w:p>
          <w:p>
            <w:pPr>
              <w:rPr>
                <w:rFonts w:hint="eastAsia" w:ascii="宋体" w:hAnsi="宋体" w:cs="宋体"/>
                <w:color w:val="auto"/>
                <w:sz w:val="24"/>
                <w:highlight w:val="none"/>
              </w:rPr>
            </w:pPr>
            <w:r>
              <w:rPr>
                <w:rFonts w:hint="eastAsia" w:ascii="宋体" w:hAnsi="宋体" w:cs="宋体"/>
                <w:color w:val="auto"/>
                <w:sz w:val="24"/>
                <w:highlight w:val="none"/>
              </w:rPr>
              <w:t>（5）工作流程。</w:t>
            </w:r>
          </w:p>
          <w:p>
            <w:pPr>
              <w:rPr>
                <w:rFonts w:hint="eastAsia" w:ascii="宋体" w:hAnsi="宋体" w:cs="宋体"/>
                <w:color w:val="auto"/>
                <w:sz w:val="24"/>
                <w:highlight w:val="none"/>
              </w:rPr>
            </w:pPr>
            <w:r>
              <w:rPr>
                <w:rFonts w:hint="eastAsia" w:ascii="宋体" w:hAnsi="宋体" w:cs="宋体"/>
                <w:color w:val="auto"/>
                <w:sz w:val="24"/>
                <w:highlight w:val="none"/>
              </w:rPr>
              <w:t>2．在投标人以上内容提供的基础上，评审委员会根据以下评审标准分档打分：</w:t>
            </w:r>
          </w:p>
          <w:p>
            <w:pPr>
              <w:rPr>
                <w:rFonts w:hint="eastAsia" w:ascii="宋体" w:hAnsi="宋体" w:cs="宋体"/>
                <w:color w:val="auto"/>
                <w:sz w:val="24"/>
                <w:highlight w:val="none"/>
              </w:rPr>
            </w:pPr>
            <w:r>
              <w:rPr>
                <w:rFonts w:hint="eastAsia" w:ascii="宋体" w:hAnsi="宋体" w:cs="宋体"/>
                <w:color w:val="auto"/>
                <w:sz w:val="24"/>
                <w:highlight w:val="none"/>
              </w:rPr>
              <w:t>（1）阐述详细全面；</w:t>
            </w:r>
          </w:p>
          <w:p>
            <w:pPr>
              <w:rPr>
                <w:rFonts w:hint="eastAsia" w:ascii="宋体" w:hAnsi="宋体" w:cs="宋体"/>
                <w:color w:val="auto"/>
                <w:sz w:val="24"/>
                <w:highlight w:val="none"/>
              </w:rPr>
            </w:pPr>
            <w:r>
              <w:rPr>
                <w:rFonts w:hint="eastAsia" w:ascii="宋体" w:hAnsi="宋体" w:cs="宋体"/>
                <w:color w:val="auto"/>
                <w:sz w:val="24"/>
                <w:highlight w:val="none"/>
              </w:rPr>
              <w:t>（2）契合建设目标；</w:t>
            </w:r>
          </w:p>
          <w:p>
            <w:pPr>
              <w:rPr>
                <w:rFonts w:hint="eastAsia" w:ascii="宋体" w:hAnsi="宋体" w:cs="宋体"/>
                <w:color w:val="auto"/>
                <w:sz w:val="24"/>
                <w:highlight w:val="none"/>
              </w:rPr>
            </w:pPr>
            <w:r>
              <w:rPr>
                <w:rFonts w:hint="eastAsia" w:ascii="宋体" w:hAnsi="宋体" w:cs="宋体"/>
                <w:color w:val="auto"/>
                <w:sz w:val="24"/>
                <w:highlight w:val="none"/>
              </w:rPr>
              <w:t>（3）针对性强；</w:t>
            </w:r>
          </w:p>
          <w:p>
            <w:pPr>
              <w:rPr>
                <w:rFonts w:hint="eastAsia" w:ascii="宋体" w:hAnsi="宋体" w:cs="宋体"/>
                <w:color w:val="auto"/>
                <w:sz w:val="24"/>
                <w:highlight w:val="none"/>
              </w:rPr>
            </w:pPr>
            <w:r>
              <w:rPr>
                <w:rFonts w:hint="eastAsia" w:ascii="宋体" w:hAnsi="宋体" w:cs="宋体"/>
                <w:color w:val="auto"/>
                <w:sz w:val="24"/>
                <w:highlight w:val="none"/>
              </w:rPr>
              <w:t>（4）对项目需求理解深刻；</w:t>
            </w:r>
          </w:p>
          <w:p>
            <w:pPr>
              <w:rPr>
                <w:rFonts w:hint="eastAsia" w:ascii="宋体" w:hAnsi="宋体" w:cs="宋体"/>
                <w:color w:val="auto"/>
                <w:sz w:val="24"/>
                <w:highlight w:val="none"/>
              </w:rPr>
            </w:pPr>
            <w:r>
              <w:rPr>
                <w:rFonts w:hint="eastAsia" w:ascii="宋体" w:hAnsi="宋体" w:cs="宋体"/>
                <w:color w:val="auto"/>
                <w:sz w:val="24"/>
                <w:highlight w:val="none"/>
              </w:rPr>
              <w:t>（5）安排合理。</w:t>
            </w:r>
          </w:p>
          <w:p>
            <w:pPr>
              <w:rPr>
                <w:rFonts w:hint="eastAsia" w:ascii="宋体" w:hAnsi="宋体" w:cs="宋体"/>
                <w:color w:val="auto"/>
                <w:sz w:val="24"/>
                <w:highlight w:val="none"/>
              </w:rPr>
            </w:pPr>
            <w:r>
              <w:rPr>
                <w:rFonts w:hint="eastAsia" w:ascii="宋体" w:hAnsi="宋体" w:cs="宋体"/>
                <w:color w:val="auto"/>
                <w:sz w:val="24"/>
                <w:highlight w:val="none"/>
              </w:rPr>
              <w:t>满足以上五项要求的评价为优，得</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分；</w:t>
            </w:r>
          </w:p>
          <w:p>
            <w:pPr>
              <w:rPr>
                <w:rFonts w:hint="eastAsia" w:ascii="宋体" w:hAnsi="宋体" w:cs="宋体"/>
                <w:color w:val="auto"/>
                <w:sz w:val="24"/>
                <w:highlight w:val="none"/>
              </w:rPr>
            </w:pPr>
            <w:r>
              <w:rPr>
                <w:rFonts w:hint="eastAsia" w:ascii="宋体" w:hAnsi="宋体" w:cs="宋体"/>
                <w:color w:val="auto"/>
                <w:sz w:val="24"/>
                <w:highlight w:val="none"/>
              </w:rPr>
              <w:t>满足以上四项要求的评价为良，得</w:t>
            </w:r>
            <w:r>
              <w:rPr>
                <w:rFonts w:hint="eastAsia" w:ascii="宋体" w:hAnsi="宋体" w:cs="宋体"/>
                <w:color w:val="auto"/>
                <w:sz w:val="24"/>
                <w:highlight w:val="none"/>
                <w:lang w:val="en-US" w:eastAsia="zh-CN"/>
              </w:rPr>
              <w:t>4.5</w:t>
            </w:r>
            <w:r>
              <w:rPr>
                <w:rFonts w:hint="eastAsia" w:ascii="宋体" w:hAnsi="宋体" w:cs="宋体"/>
                <w:color w:val="auto"/>
                <w:sz w:val="24"/>
                <w:highlight w:val="none"/>
              </w:rPr>
              <w:t>分；</w:t>
            </w:r>
          </w:p>
          <w:p>
            <w:pPr>
              <w:rPr>
                <w:rFonts w:hint="eastAsia" w:ascii="宋体" w:hAnsi="宋体" w:cs="宋体"/>
                <w:color w:val="auto"/>
                <w:sz w:val="24"/>
                <w:highlight w:val="none"/>
              </w:rPr>
            </w:pPr>
            <w:r>
              <w:rPr>
                <w:rFonts w:hint="eastAsia" w:ascii="宋体" w:hAnsi="宋体" w:cs="宋体"/>
                <w:color w:val="auto"/>
                <w:sz w:val="24"/>
                <w:highlight w:val="none"/>
              </w:rPr>
              <w:t>满足以上三项要求的评价为中，得</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分；</w:t>
            </w:r>
          </w:p>
          <w:p>
            <w:pPr>
              <w:rPr>
                <w:rFonts w:hint="eastAsia" w:ascii="宋体" w:hAnsi="宋体" w:cs="宋体"/>
                <w:color w:val="auto"/>
                <w:sz w:val="24"/>
                <w:highlight w:val="none"/>
              </w:rPr>
            </w:pPr>
            <w:r>
              <w:rPr>
                <w:rFonts w:hint="eastAsia" w:ascii="宋体" w:hAnsi="宋体" w:cs="宋体"/>
                <w:color w:val="auto"/>
                <w:sz w:val="24"/>
                <w:highlight w:val="none"/>
              </w:rPr>
              <w:t>其它情况的评价为差，不得分。</w:t>
            </w:r>
          </w:p>
        </w:tc>
        <w:tc>
          <w:tcPr>
            <w:tcW w:w="7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2</w:t>
            </w:r>
          </w:p>
        </w:tc>
        <w:tc>
          <w:tcPr>
            <w:tcW w:w="1168" w:type="dxa"/>
            <w:vAlign w:val="center"/>
          </w:tcPr>
          <w:p>
            <w:pPr>
              <w:autoSpaceDE w:val="0"/>
              <w:autoSpaceDN w:val="0"/>
              <w:adjustRightInd w:val="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项目重点难点分析、应对措施及相关的合理化建议</w:t>
            </w:r>
          </w:p>
        </w:tc>
        <w:tc>
          <w:tcPr>
            <w:tcW w:w="5135"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一、评审标准：</w:t>
            </w:r>
          </w:p>
          <w:p>
            <w:pPr>
              <w:rPr>
                <w:rFonts w:hint="eastAsia" w:ascii="宋体" w:hAnsi="宋体" w:cs="宋体"/>
                <w:color w:val="auto"/>
                <w:sz w:val="24"/>
                <w:highlight w:val="none"/>
              </w:rPr>
            </w:pPr>
            <w:r>
              <w:rPr>
                <w:rFonts w:hint="eastAsia" w:ascii="宋体" w:hAnsi="宋体" w:cs="宋体"/>
                <w:color w:val="auto"/>
                <w:sz w:val="24"/>
                <w:highlight w:val="none"/>
              </w:rPr>
              <w:t>1．评审专家根据投标单位关于项目重点难点分析、应对措施及相关的合理化建议进行打分，以下内容提供完全得</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分，每缺一项扣</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eastAsia="zh-CN"/>
              </w:rPr>
              <w:t>，全部未提供不得分</w:t>
            </w:r>
            <w:r>
              <w:rPr>
                <w:rFonts w:hint="eastAsia" w:ascii="宋体" w:hAnsi="宋体" w:cs="宋体"/>
                <w:color w:val="auto"/>
                <w:sz w:val="24"/>
                <w:highlight w:val="none"/>
              </w:rPr>
              <w:t>。</w:t>
            </w:r>
          </w:p>
          <w:p>
            <w:pPr>
              <w:rPr>
                <w:rFonts w:hint="eastAsia" w:ascii="宋体" w:hAnsi="宋体" w:cs="宋体"/>
                <w:color w:val="auto"/>
                <w:sz w:val="24"/>
                <w:highlight w:val="none"/>
              </w:rPr>
            </w:pPr>
            <w:r>
              <w:rPr>
                <w:rFonts w:hint="eastAsia" w:ascii="宋体" w:hAnsi="宋体" w:cs="宋体"/>
                <w:color w:val="auto"/>
                <w:sz w:val="24"/>
                <w:highlight w:val="none"/>
              </w:rPr>
              <w:t>（1）重点问题分析；</w:t>
            </w:r>
          </w:p>
          <w:p>
            <w:pPr>
              <w:rPr>
                <w:rFonts w:hint="eastAsia" w:ascii="宋体" w:hAnsi="宋体" w:cs="宋体"/>
                <w:color w:val="auto"/>
                <w:sz w:val="24"/>
                <w:highlight w:val="none"/>
              </w:rPr>
            </w:pPr>
            <w:r>
              <w:rPr>
                <w:rFonts w:hint="eastAsia" w:ascii="宋体" w:hAnsi="宋体" w:cs="宋体"/>
                <w:color w:val="auto"/>
                <w:sz w:val="24"/>
                <w:highlight w:val="none"/>
              </w:rPr>
              <w:t>（2）难点问题分析；</w:t>
            </w:r>
          </w:p>
          <w:p>
            <w:pPr>
              <w:rPr>
                <w:rFonts w:hint="eastAsia" w:ascii="宋体" w:hAnsi="宋体" w:cs="宋体"/>
                <w:color w:val="auto"/>
                <w:sz w:val="24"/>
                <w:highlight w:val="none"/>
              </w:rPr>
            </w:pPr>
            <w:r>
              <w:rPr>
                <w:rFonts w:hint="eastAsia" w:ascii="宋体" w:hAnsi="宋体" w:cs="宋体"/>
                <w:color w:val="auto"/>
                <w:sz w:val="24"/>
                <w:highlight w:val="none"/>
              </w:rPr>
              <w:t>（3）针对性的工作计划；</w:t>
            </w:r>
          </w:p>
          <w:p>
            <w:pPr>
              <w:rPr>
                <w:rFonts w:hint="eastAsia" w:ascii="宋体" w:hAnsi="宋体" w:cs="宋体"/>
                <w:color w:val="auto"/>
                <w:sz w:val="24"/>
                <w:highlight w:val="none"/>
              </w:rPr>
            </w:pPr>
            <w:r>
              <w:rPr>
                <w:rFonts w:hint="eastAsia" w:ascii="宋体" w:hAnsi="宋体" w:cs="宋体"/>
                <w:color w:val="auto"/>
                <w:sz w:val="24"/>
                <w:highlight w:val="none"/>
              </w:rPr>
              <w:t>（4）针对性的对策和策略。</w:t>
            </w:r>
          </w:p>
          <w:p>
            <w:pPr>
              <w:rPr>
                <w:rFonts w:hint="eastAsia" w:ascii="宋体" w:hAnsi="宋体" w:cs="宋体"/>
                <w:color w:val="auto"/>
                <w:sz w:val="24"/>
                <w:highlight w:val="none"/>
              </w:rPr>
            </w:pPr>
            <w:r>
              <w:rPr>
                <w:rFonts w:hint="eastAsia" w:ascii="宋体" w:hAnsi="宋体" w:cs="宋体"/>
                <w:color w:val="auto"/>
                <w:sz w:val="24"/>
                <w:highlight w:val="none"/>
              </w:rPr>
              <w:t>2．在投标人以上内容提供的基础上，评审委员会根据以下评审标准分档打分：</w:t>
            </w:r>
          </w:p>
          <w:p>
            <w:pPr>
              <w:rPr>
                <w:rFonts w:hint="eastAsia" w:ascii="宋体" w:hAnsi="宋体" w:cs="宋体"/>
                <w:color w:val="auto"/>
                <w:sz w:val="24"/>
                <w:highlight w:val="none"/>
              </w:rPr>
            </w:pPr>
            <w:r>
              <w:rPr>
                <w:rFonts w:hint="eastAsia" w:ascii="宋体" w:hAnsi="宋体" w:cs="宋体"/>
                <w:color w:val="auto"/>
                <w:sz w:val="24"/>
                <w:highlight w:val="none"/>
              </w:rPr>
              <w:t xml:space="preserve">（1）关键施工技术的要求具体； </w:t>
            </w:r>
          </w:p>
          <w:p>
            <w:pPr>
              <w:rPr>
                <w:rFonts w:hint="eastAsia" w:ascii="宋体" w:hAnsi="宋体" w:cs="宋体"/>
                <w:color w:val="auto"/>
                <w:sz w:val="24"/>
                <w:highlight w:val="none"/>
              </w:rPr>
            </w:pPr>
            <w:r>
              <w:rPr>
                <w:rFonts w:hint="eastAsia" w:ascii="宋体" w:hAnsi="宋体" w:cs="宋体"/>
                <w:color w:val="auto"/>
                <w:sz w:val="24"/>
                <w:highlight w:val="none"/>
              </w:rPr>
              <w:t xml:space="preserve">（2）项目施工重点分析和保证措施全面； </w:t>
            </w:r>
          </w:p>
          <w:p>
            <w:pPr>
              <w:rPr>
                <w:rFonts w:hint="eastAsia" w:ascii="宋体" w:hAnsi="宋体" w:cs="宋体"/>
                <w:color w:val="auto"/>
                <w:sz w:val="24"/>
                <w:highlight w:val="none"/>
              </w:rPr>
            </w:pPr>
            <w:r>
              <w:rPr>
                <w:rFonts w:hint="eastAsia" w:ascii="宋体" w:hAnsi="宋体" w:cs="宋体"/>
                <w:color w:val="auto"/>
                <w:sz w:val="24"/>
                <w:highlight w:val="none"/>
              </w:rPr>
              <w:t xml:space="preserve">（3）项目施工难点的分析和解决措施全面； </w:t>
            </w:r>
          </w:p>
          <w:p>
            <w:pPr>
              <w:rPr>
                <w:rFonts w:hint="eastAsia" w:ascii="宋体" w:hAnsi="宋体" w:cs="宋体"/>
                <w:color w:val="auto"/>
                <w:sz w:val="24"/>
                <w:highlight w:val="none"/>
              </w:rPr>
            </w:pPr>
            <w:r>
              <w:rPr>
                <w:rFonts w:hint="eastAsia" w:ascii="宋体" w:hAnsi="宋体" w:cs="宋体"/>
                <w:color w:val="auto"/>
                <w:sz w:val="24"/>
                <w:highlight w:val="none"/>
              </w:rPr>
              <w:t>（4）项目实施的优化方案针对性强；</w:t>
            </w:r>
          </w:p>
          <w:p>
            <w:pPr>
              <w:rPr>
                <w:rFonts w:hint="eastAsia" w:ascii="宋体" w:hAnsi="宋体" w:cs="宋体"/>
                <w:color w:val="auto"/>
                <w:sz w:val="24"/>
                <w:highlight w:val="none"/>
              </w:rPr>
            </w:pPr>
            <w:r>
              <w:rPr>
                <w:rFonts w:hint="eastAsia" w:ascii="宋体" w:hAnsi="宋体" w:cs="宋体"/>
                <w:color w:val="auto"/>
                <w:sz w:val="24"/>
                <w:highlight w:val="none"/>
              </w:rPr>
              <w:t>（5）相关的合理化建议可操作性强。</w:t>
            </w:r>
          </w:p>
          <w:p>
            <w:pPr>
              <w:rPr>
                <w:rFonts w:hint="eastAsia" w:ascii="宋体" w:hAnsi="宋体" w:cs="宋体"/>
                <w:color w:val="auto"/>
                <w:sz w:val="24"/>
                <w:highlight w:val="none"/>
              </w:rPr>
            </w:pPr>
            <w:r>
              <w:rPr>
                <w:rFonts w:hint="eastAsia" w:ascii="宋体" w:hAnsi="宋体" w:cs="宋体"/>
                <w:color w:val="auto"/>
                <w:sz w:val="24"/>
                <w:highlight w:val="none"/>
              </w:rPr>
              <w:t>满足以上五项要求的评价为优，得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p>
            <w:pPr>
              <w:rPr>
                <w:rFonts w:hint="eastAsia" w:ascii="宋体" w:hAnsi="宋体" w:cs="宋体"/>
                <w:color w:val="auto"/>
                <w:sz w:val="24"/>
                <w:highlight w:val="none"/>
              </w:rPr>
            </w:pPr>
            <w:r>
              <w:rPr>
                <w:rFonts w:hint="eastAsia" w:ascii="宋体" w:hAnsi="宋体" w:cs="宋体"/>
                <w:color w:val="auto"/>
                <w:sz w:val="24"/>
                <w:highlight w:val="none"/>
              </w:rPr>
              <w:t>满足以上四项要求的评价为良，得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p>
            <w:pPr>
              <w:rPr>
                <w:rFonts w:hint="eastAsia" w:ascii="宋体" w:hAnsi="宋体" w:cs="宋体"/>
                <w:color w:val="auto"/>
                <w:sz w:val="24"/>
                <w:highlight w:val="none"/>
              </w:rPr>
            </w:pPr>
            <w:r>
              <w:rPr>
                <w:rFonts w:hint="eastAsia" w:ascii="宋体" w:hAnsi="宋体" w:cs="宋体"/>
                <w:color w:val="auto"/>
                <w:sz w:val="24"/>
                <w:highlight w:val="none"/>
              </w:rPr>
              <w:t>满足以上三项要求的评价为中，得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p>
            <w:pPr>
              <w:rPr>
                <w:rFonts w:hint="eastAsia" w:ascii="宋体" w:hAnsi="宋体" w:cs="宋体"/>
                <w:color w:val="auto"/>
                <w:sz w:val="24"/>
                <w:highlight w:val="none"/>
              </w:rPr>
            </w:pPr>
            <w:r>
              <w:rPr>
                <w:rFonts w:hint="eastAsia" w:ascii="宋体" w:hAnsi="宋体" w:cs="宋体"/>
                <w:color w:val="auto"/>
                <w:sz w:val="24"/>
                <w:highlight w:val="none"/>
              </w:rPr>
              <w:t>其它情况的评价为差，不得分。</w:t>
            </w:r>
          </w:p>
        </w:tc>
        <w:tc>
          <w:tcPr>
            <w:tcW w:w="7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168" w:type="dxa"/>
            <w:vAlign w:val="center"/>
          </w:tcPr>
          <w:p>
            <w:pPr>
              <w:autoSpaceDE w:val="0"/>
              <w:autoSpaceDN w:val="0"/>
              <w:adjustRightInd w:val="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质量保障措施及方案</w:t>
            </w:r>
          </w:p>
        </w:tc>
        <w:tc>
          <w:tcPr>
            <w:tcW w:w="5135"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一、评审标准：</w:t>
            </w:r>
          </w:p>
          <w:p>
            <w:pPr>
              <w:rPr>
                <w:rFonts w:hint="eastAsia" w:ascii="宋体" w:hAnsi="宋体" w:cs="宋体"/>
                <w:color w:val="auto"/>
                <w:sz w:val="24"/>
                <w:highlight w:val="none"/>
              </w:rPr>
            </w:pPr>
            <w:r>
              <w:rPr>
                <w:rFonts w:hint="eastAsia" w:ascii="宋体" w:hAnsi="宋体" w:cs="宋体"/>
                <w:color w:val="auto"/>
                <w:sz w:val="24"/>
                <w:highlight w:val="none"/>
              </w:rPr>
              <w:t>1．评审专家根据投标单位关于质量保障措施及方案（时间安排、质量管理措施、安全生产措施、项目资料成果保障）进行打分，以下内容提供完全得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分，每缺一项扣</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r>
              <w:rPr>
                <w:rFonts w:hint="eastAsia" w:ascii="宋体" w:hAnsi="宋体" w:cs="宋体"/>
                <w:color w:val="auto"/>
                <w:sz w:val="24"/>
                <w:highlight w:val="none"/>
                <w:lang w:eastAsia="zh-CN"/>
              </w:rPr>
              <w:t>，全部未提供不得分</w:t>
            </w:r>
            <w:r>
              <w:rPr>
                <w:rFonts w:hint="eastAsia" w:ascii="宋体" w:hAnsi="宋体" w:cs="宋体"/>
                <w:color w:val="auto"/>
                <w:sz w:val="24"/>
                <w:highlight w:val="none"/>
              </w:rPr>
              <w:t>。</w:t>
            </w:r>
          </w:p>
          <w:p>
            <w:pPr>
              <w:rPr>
                <w:rFonts w:hint="eastAsia" w:ascii="宋体" w:hAnsi="宋体" w:cs="宋体"/>
                <w:color w:val="auto"/>
                <w:sz w:val="24"/>
                <w:highlight w:val="none"/>
              </w:rPr>
            </w:pPr>
            <w:r>
              <w:rPr>
                <w:rFonts w:hint="eastAsia" w:ascii="宋体" w:hAnsi="宋体" w:cs="宋体"/>
                <w:color w:val="auto"/>
                <w:sz w:val="24"/>
                <w:highlight w:val="none"/>
              </w:rPr>
              <w:t>（1）给出分阶段项目时间安排、工作进度与阶段性成果；</w:t>
            </w:r>
          </w:p>
          <w:p>
            <w:pPr>
              <w:rPr>
                <w:rFonts w:hint="eastAsia" w:ascii="宋体" w:hAnsi="宋体" w:cs="宋体"/>
                <w:color w:val="auto"/>
                <w:sz w:val="24"/>
                <w:highlight w:val="none"/>
              </w:rPr>
            </w:pPr>
            <w:r>
              <w:rPr>
                <w:rFonts w:hint="eastAsia" w:ascii="宋体" w:hAnsi="宋体" w:cs="宋体"/>
                <w:color w:val="auto"/>
                <w:sz w:val="24"/>
                <w:highlight w:val="none"/>
              </w:rPr>
              <w:t>（2）阐述项目时间管理制度与措施；</w:t>
            </w:r>
          </w:p>
          <w:p>
            <w:pPr>
              <w:rPr>
                <w:rFonts w:hint="eastAsia" w:ascii="宋体" w:hAnsi="宋体" w:cs="宋体"/>
                <w:color w:val="auto"/>
                <w:sz w:val="24"/>
                <w:highlight w:val="none"/>
              </w:rPr>
            </w:pPr>
            <w:r>
              <w:rPr>
                <w:rFonts w:hint="eastAsia" w:ascii="宋体" w:hAnsi="宋体" w:cs="宋体"/>
                <w:color w:val="auto"/>
                <w:sz w:val="24"/>
                <w:highlight w:val="none"/>
              </w:rPr>
              <w:t>（3）阐述项目质量管理制度与措施；</w:t>
            </w:r>
          </w:p>
          <w:p>
            <w:pPr>
              <w:rPr>
                <w:rFonts w:hint="eastAsia" w:ascii="宋体" w:hAnsi="宋体" w:cs="宋体"/>
                <w:color w:val="auto"/>
                <w:sz w:val="24"/>
                <w:highlight w:val="none"/>
              </w:rPr>
            </w:pPr>
            <w:r>
              <w:rPr>
                <w:rFonts w:hint="eastAsia" w:ascii="宋体" w:hAnsi="宋体" w:cs="宋体"/>
                <w:color w:val="auto"/>
                <w:sz w:val="24"/>
                <w:highlight w:val="none"/>
              </w:rPr>
              <w:t>（4）阐述项目资料、成果安全性保障制度与措施；</w:t>
            </w:r>
          </w:p>
          <w:p>
            <w:pPr>
              <w:rPr>
                <w:rFonts w:hint="eastAsia" w:ascii="宋体" w:hAnsi="宋体" w:cs="宋体"/>
                <w:color w:val="auto"/>
                <w:sz w:val="24"/>
                <w:highlight w:val="none"/>
              </w:rPr>
            </w:pPr>
            <w:r>
              <w:rPr>
                <w:rFonts w:hint="eastAsia" w:ascii="宋体" w:hAnsi="宋体" w:cs="宋体"/>
                <w:color w:val="auto"/>
                <w:sz w:val="24"/>
                <w:highlight w:val="none"/>
              </w:rPr>
              <w:t>（5）阐述项目人员投入及应急保障措施。</w:t>
            </w:r>
          </w:p>
          <w:p>
            <w:pPr>
              <w:rPr>
                <w:rFonts w:hint="eastAsia" w:ascii="宋体" w:hAnsi="宋体" w:cs="宋体"/>
                <w:color w:val="auto"/>
                <w:sz w:val="24"/>
                <w:highlight w:val="none"/>
              </w:rPr>
            </w:pPr>
            <w:r>
              <w:rPr>
                <w:rFonts w:hint="eastAsia" w:ascii="宋体" w:hAnsi="宋体" w:cs="宋体"/>
                <w:color w:val="auto"/>
                <w:sz w:val="24"/>
                <w:highlight w:val="none"/>
              </w:rPr>
              <w:t>2．在投标人以上内容提供的基础上，评审委员会根据以下评审标准分档打分：</w:t>
            </w:r>
          </w:p>
          <w:p>
            <w:pPr>
              <w:rPr>
                <w:rFonts w:hint="eastAsia" w:ascii="宋体" w:hAnsi="宋体" w:cs="宋体"/>
                <w:color w:val="auto"/>
                <w:sz w:val="24"/>
                <w:highlight w:val="none"/>
              </w:rPr>
            </w:pPr>
            <w:r>
              <w:rPr>
                <w:rFonts w:hint="eastAsia" w:ascii="宋体" w:hAnsi="宋体" w:cs="宋体"/>
                <w:color w:val="auto"/>
                <w:sz w:val="24"/>
                <w:highlight w:val="none"/>
              </w:rPr>
              <w:t>（1）投标文件响应内容全面；</w:t>
            </w:r>
          </w:p>
          <w:p>
            <w:pPr>
              <w:rPr>
                <w:rFonts w:hint="eastAsia" w:ascii="宋体" w:hAnsi="宋体" w:cs="宋体"/>
                <w:color w:val="auto"/>
                <w:sz w:val="24"/>
                <w:highlight w:val="none"/>
              </w:rPr>
            </w:pPr>
            <w:r>
              <w:rPr>
                <w:rFonts w:hint="eastAsia" w:ascii="宋体" w:hAnsi="宋体" w:cs="宋体"/>
                <w:color w:val="auto"/>
                <w:sz w:val="24"/>
                <w:highlight w:val="none"/>
              </w:rPr>
              <w:t>（2）投标文件响应内容具体；</w:t>
            </w:r>
          </w:p>
          <w:p>
            <w:pPr>
              <w:rPr>
                <w:rFonts w:hint="eastAsia" w:ascii="宋体" w:hAnsi="宋体" w:cs="宋体"/>
                <w:color w:val="auto"/>
                <w:sz w:val="24"/>
                <w:highlight w:val="none"/>
              </w:rPr>
            </w:pPr>
            <w:r>
              <w:rPr>
                <w:rFonts w:hint="eastAsia" w:ascii="宋体" w:hAnsi="宋体" w:cs="宋体"/>
                <w:color w:val="auto"/>
                <w:sz w:val="24"/>
                <w:highlight w:val="none"/>
              </w:rPr>
              <w:t>（3）投标文件响应内容针对性强；</w:t>
            </w:r>
          </w:p>
          <w:p>
            <w:pPr>
              <w:rPr>
                <w:rFonts w:hint="eastAsia" w:ascii="宋体" w:hAnsi="宋体" w:cs="宋体"/>
                <w:color w:val="auto"/>
                <w:sz w:val="24"/>
                <w:highlight w:val="none"/>
              </w:rPr>
            </w:pPr>
            <w:r>
              <w:rPr>
                <w:rFonts w:hint="eastAsia" w:ascii="宋体" w:hAnsi="宋体" w:cs="宋体"/>
                <w:color w:val="auto"/>
                <w:sz w:val="24"/>
                <w:highlight w:val="none"/>
              </w:rPr>
              <w:t>（4）投标文件响应内容可操作性强。</w:t>
            </w:r>
          </w:p>
          <w:p>
            <w:pPr>
              <w:rPr>
                <w:rFonts w:hint="eastAsia" w:ascii="宋体" w:hAnsi="宋体" w:cs="宋体"/>
                <w:color w:val="auto"/>
                <w:sz w:val="24"/>
                <w:highlight w:val="none"/>
              </w:rPr>
            </w:pPr>
            <w:r>
              <w:rPr>
                <w:rFonts w:hint="eastAsia" w:ascii="宋体" w:hAnsi="宋体" w:cs="宋体"/>
                <w:color w:val="auto"/>
                <w:sz w:val="24"/>
                <w:highlight w:val="none"/>
              </w:rPr>
              <w:t>满足以上四项要求的评价为优，得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w:t>
            </w:r>
          </w:p>
          <w:p>
            <w:pPr>
              <w:rPr>
                <w:rFonts w:hint="eastAsia" w:ascii="宋体" w:hAnsi="宋体" w:cs="宋体"/>
                <w:color w:val="auto"/>
                <w:sz w:val="24"/>
                <w:highlight w:val="none"/>
              </w:rPr>
            </w:pPr>
            <w:r>
              <w:rPr>
                <w:rFonts w:hint="eastAsia" w:ascii="宋体" w:hAnsi="宋体" w:cs="宋体"/>
                <w:color w:val="auto"/>
                <w:sz w:val="24"/>
                <w:highlight w:val="none"/>
              </w:rPr>
              <w:t>满足以上三项要求的评价为良，得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p>
            <w:pPr>
              <w:rPr>
                <w:rFonts w:hint="eastAsia" w:ascii="宋体" w:hAnsi="宋体" w:cs="宋体"/>
                <w:color w:val="auto"/>
                <w:sz w:val="24"/>
                <w:highlight w:val="none"/>
              </w:rPr>
            </w:pPr>
            <w:r>
              <w:rPr>
                <w:rFonts w:hint="eastAsia" w:ascii="宋体" w:hAnsi="宋体" w:cs="宋体"/>
                <w:color w:val="auto"/>
                <w:sz w:val="24"/>
                <w:highlight w:val="none"/>
              </w:rPr>
              <w:t>满足以上二项要求的评价为中，得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p>
          <w:p>
            <w:pPr>
              <w:rPr>
                <w:rFonts w:hint="eastAsia" w:ascii="宋体" w:hAnsi="宋体" w:cs="宋体"/>
                <w:color w:val="auto"/>
                <w:sz w:val="24"/>
                <w:highlight w:val="none"/>
              </w:rPr>
            </w:pPr>
            <w:r>
              <w:rPr>
                <w:rFonts w:hint="eastAsia" w:ascii="宋体" w:hAnsi="宋体" w:cs="宋体"/>
                <w:color w:val="auto"/>
                <w:sz w:val="24"/>
                <w:highlight w:val="none"/>
              </w:rPr>
              <w:t>其它情况的评价为差，不得分。</w:t>
            </w:r>
          </w:p>
        </w:tc>
        <w:tc>
          <w:tcPr>
            <w:tcW w:w="7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168" w:type="dxa"/>
            <w:vAlign w:val="center"/>
          </w:tcPr>
          <w:p>
            <w:pPr>
              <w:autoSpaceDE w:val="0"/>
              <w:autoSpaceDN w:val="0"/>
              <w:adjustRightInd w:val="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服务承诺</w:t>
            </w:r>
          </w:p>
        </w:tc>
        <w:tc>
          <w:tcPr>
            <w:tcW w:w="5135"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 xml:space="preserve">一、评审标准： </w:t>
            </w:r>
          </w:p>
          <w:p>
            <w:pPr>
              <w:rPr>
                <w:rFonts w:hint="eastAsia" w:ascii="宋体" w:hAnsi="宋体" w:cs="宋体"/>
                <w:color w:val="auto"/>
                <w:sz w:val="24"/>
                <w:highlight w:val="none"/>
              </w:rPr>
            </w:pPr>
            <w:r>
              <w:rPr>
                <w:rFonts w:hint="eastAsia" w:ascii="宋体" w:hAnsi="宋体" w:cs="宋体"/>
                <w:color w:val="auto"/>
                <w:sz w:val="24"/>
                <w:highlight w:val="none"/>
              </w:rPr>
              <w:t>1．评委会根据投标单位关于项目服务承诺进行打分，以下内容提供完全得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分，每缺一项扣1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p>
            <w:pPr>
              <w:rPr>
                <w:rFonts w:hint="eastAsia" w:ascii="宋体" w:hAnsi="宋体" w:cs="宋体"/>
                <w:color w:val="auto"/>
                <w:sz w:val="24"/>
                <w:highlight w:val="none"/>
              </w:rPr>
            </w:pPr>
            <w:r>
              <w:rPr>
                <w:rFonts w:hint="eastAsia" w:ascii="宋体" w:hAnsi="宋体" w:cs="宋体"/>
                <w:color w:val="auto"/>
                <w:sz w:val="24"/>
                <w:highlight w:val="none"/>
              </w:rPr>
              <w:t>（1）具体服务承诺内容；</w:t>
            </w:r>
          </w:p>
          <w:p>
            <w:pPr>
              <w:rPr>
                <w:rFonts w:hint="eastAsia" w:ascii="宋体" w:hAnsi="宋体" w:cs="宋体"/>
                <w:color w:val="auto"/>
                <w:sz w:val="24"/>
                <w:highlight w:val="none"/>
              </w:rPr>
            </w:pPr>
            <w:r>
              <w:rPr>
                <w:rFonts w:hint="eastAsia" w:ascii="宋体" w:hAnsi="宋体" w:cs="宋体"/>
                <w:color w:val="auto"/>
                <w:sz w:val="24"/>
                <w:highlight w:val="none"/>
              </w:rPr>
              <w:t>（2）项目后续支持时间。</w:t>
            </w:r>
          </w:p>
          <w:p>
            <w:pPr>
              <w:rPr>
                <w:rFonts w:hint="eastAsia" w:ascii="宋体" w:hAnsi="宋体" w:cs="宋体"/>
                <w:color w:val="auto"/>
                <w:sz w:val="24"/>
                <w:highlight w:val="none"/>
              </w:rPr>
            </w:pPr>
            <w:r>
              <w:rPr>
                <w:rFonts w:hint="eastAsia" w:ascii="宋体" w:hAnsi="宋体" w:cs="宋体"/>
                <w:color w:val="auto"/>
                <w:sz w:val="24"/>
                <w:highlight w:val="none"/>
              </w:rPr>
              <w:t>2．在投标人以上内容提供的基础上，评审委员会根据以下评审标准分档打分：</w:t>
            </w:r>
          </w:p>
          <w:p>
            <w:pPr>
              <w:rPr>
                <w:rFonts w:hint="eastAsia" w:ascii="宋体" w:hAnsi="宋体" w:cs="宋体"/>
                <w:color w:val="auto"/>
                <w:sz w:val="24"/>
                <w:highlight w:val="none"/>
              </w:rPr>
            </w:pPr>
            <w:r>
              <w:rPr>
                <w:rFonts w:hint="eastAsia" w:ascii="宋体" w:hAnsi="宋体" w:cs="宋体"/>
                <w:color w:val="auto"/>
                <w:sz w:val="24"/>
                <w:highlight w:val="none"/>
              </w:rPr>
              <w:t xml:space="preserve">（1）承诺明确； </w:t>
            </w:r>
          </w:p>
          <w:p>
            <w:pPr>
              <w:rPr>
                <w:rFonts w:hint="eastAsia" w:ascii="宋体" w:hAnsi="宋体" w:cs="宋体"/>
                <w:color w:val="auto"/>
                <w:sz w:val="24"/>
                <w:highlight w:val="none"/>
              </w:rPr>
            </w:pPr>
            <w:r>
              <w:rPr>
                <w:rFonts w:hint="eastAsia" w:ascii="宋体" w:hAnsi="宋体" w:cs="宋体"/>
                <w:color w:val="auto"/>
                <w:sz w:val="24"/>
                <w:highlight w:val="none"/>
              </w:rPr>
              <w:t xml:space="preserve">（2）交接保证措施全面； </w:t>
            </w:r>
          </w:p>
          <w:p>
            <w:pPr>
              <w:rPr>
                <w:rFonts w:hint="eastAsia" w:ascii="宋体" w:hAnsi="宋体" w:cs="宋体"/>
                <w:color w:val="auto"/>
                <w:sz w:val="24"/>
                <w:highlight w:val="none"/>
              </w:rPr>
            </w:pPr>
            <w:r>
              <w:rPr>
                <w:rFonts w:hint="eastAsia" w:ascii="宋体" w:hAnsi="宋体" w:cs="宋体"/>
                <w:color w:val="auto"/>
                <w:sz w:val="24"/>
                <w:highlight w:val="none"/>
              </w:rPr>
              <w:t xml:space="preserve">（3）进度目标合理； </w:t>
            </w:r>
          </w:p>
          <w:p>
            <w:pPr>
              <w:rPr>
                <w:rFonts w:hint="eastAsia" w:ascii="宋体" w:hAnsi="宋体" w:cs="宋体"/>
                <w:color w:val="auto"/>
                <w:sz w:val="24"/>
                <w:highlight w:val="none"/>
              </w:rPr>
            </w:pPr>
            <w:r>
              <w:rPr>
                <w:rFonts w:hint="eastAsia" w:ascii="宋体" w:hAnsi="宋体" w:cs="宋体"/>
                <w:color w:val="auto"/>
                <w:sz w:val="24"/>
                <w:highlight w:val="none"/>
              </w:rPr>
              <w:t xml:space="preserve">（4）服务承诺全面； </w:t>
            </w:r>
          </w:p>
          <w:p>
            <w:pPr>
              <w:rPr>
                <w:rFonts w:hint="eastAsia" w:ascii="宋体" w:hAnsi="宋体" w:cs="宋体"/>
                <w:color w:val="auto"/>
                <w:sz w:val="24"/>
                <w:highlight w:val="none"/>
              </w:rPr>
            </w:pPr>
            <w:r>
              <w:rPr>
                <w:rFonts w:hint="eastAsia" w:ascii="宋体" w:hAnsi="宋体" w:cs="宋体"/>
                <w:color w:val="auto"/>
                <w:sz w:val="24"/>
                <w:highlight w:val="none"/>
              </w:rPr>
              <w:t>（5）处理时间计划合理。</w:t>
            </w:r>
          </w:p>
          <w:p>
            <w:pPr>
              <w:rPr>
                <w:rFonts w:hint="eastAsia" w:ascii="宋体" w:hAnsi="宋体" w:cs="宋体"/>
                <w:color w:val="auto"/>
                <w:sz w:val="24"/>
                <w:highlight w:val="none"/>
              </w:rPr>
            </w:pPr>
            <w:r>
              <w:rPr>
                <w:rFonts w:hint="eastAsia" w:ascii="宋体" w:hAnsi="宋体" w:cs="宋体"/>
                <w:color w:val="auto"/>
                <w:sz w:val="24"/>
                <w:highlight w:val="none"/>
              </w:rPr>
              <w:t>满足以上五项要求的评价为优，得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p>
            <w:pPr>
              <w:rPr>
                <w:rFonts w:hint="eastAsia" w:ascii="宋体" w:hAnsi="宋体" w:cs="宋体"/>
                <w:color w:val="auto"/>
                <w:sz w:val="24"/>
                <w:highlight w:val="none"/>
              </w:rPr>
            </w:pPr>
            <w:r>
              <w:rPr>
                <w:rFonts w:hint="eastAsia" w:ascii="宋体" w:hAnsi="宋体" w:cs="宋体"/>
                <w:color w:val="auto"/>
                <w:sz w:val="24"/>
                <w:highlight w:val="none"/>
              </w:rPr>
              <w:t>满足以上四项要求的评价为良，得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p>
          <w:p>
            <w:pPr>
              <w:rPr>
                <w:rFonts w:hint="eastAsia" w:ascii="宋体" w:hAnsi="宋体" w:cs="宋体"/>
                <w:color w:val="auto"/>
                <w:sz w:val="24"/>
                <w:highlight w:val="none"/>
              </w:rPr>
            </w:pPr>
            <w:r>
              <w:rPr>
                <w:rFonts w:hint="eastAsia" w:ascii="宋体" w:hAnsi="宋体" w:cs="宋体"/>
                <w:color w:val="auto"/>
                <w:sz w:val="24"/>
                <w:highlight w:val="none"/>
              </w:rPr>
              <w:t>满足以上三项要求的评价为中，得</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分；</w:t>
            </w:r>
          </w:p>
          <w:p>
            <w:pPr>
              <w:rPr>
                <w:rFonts w:hint="eastAsia" w:ascii="宋体" w:hAnsi="宋体" w:cs="宋体"/>
                <w:color w:val="auto"/>
                <w:sz w:val="24"/>
                <w:highlight w:val="none"/>
              </w:rPr>
            </w:pPr>
            <w:r>
              <w:rPr>
                <w:rFonts w:hint="eastAsia" w:ascii="宋体" w:hAnsi="宋体" w:cs="宋体"/>
                <w:color w:val="auto"/>
                <w:sz w:val="24"/>
                <w:highlight w:val="none"/>
              </w:rPr>
              <w:t>其它情况的评价为差，不得分。</w:t>
            </w:r>
          </w:p>
        </w:tc>
        <w:tc>
          <w:tcPr>
            <w:tcW w:w="7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168" w:type="dxa"/>
            <w:vAlign w:val="center"/>
          </w:tcPr>
          <w:p>
            <w:pPr>
              <w:autoSpaceDE w:val="0"/>
              <w:autoSpaceDN w:val="0"/>
              <w:adjustRightInd w:val="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违约承诺</w:t>
            </w:r>
          </w:p>
        </w:tc>
        <w:tc>
          <w:tcPr>
            <w:tcW w:w="5135"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 xml:space="preserve">一、评审标准： </w:t>
            </w:r>
          </w:p>
          <w:p>
            <w:pPr>
              <w:rPr>
                <w:rFonts w:hint="eastAsia" w:ascii="宋体" w:hAnsi="宋体" w:cs="宋体"/>
                <w:color w:val="auto"/>
                <w:sz w:val="24"/>
                <w:highlight w:val="none"/>
              </w:rPr>
            </w:pPr>
            <w:r>
              <w:rPr>
                <w:rFonts w:hint="eastAsia" w:ascii="宋体" w:hAnsi="宋体" w:cs="宋体"/>
                <w:color w:val="auto"/>
                <w:sz w:val="24"/>
                <w:highlight w:val="none"/>
              </w:rPr>
              <w:t>1．评委会根据投标单位关于项目违约承诺进行打分，以下内容提供完全得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分，每缺一项扣</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分。</w:t>
            </w:r>
          </w:p>
          <w:p>
            <w:pPr>
              <w:rPr>
                <w:rFonts w:hint="eastAsia" w:ascii="宋体" w:hAnsi="宋体" w:cs="宋体"/>
                <w:color w:val="auto"/>
                <w:sz w:val="24"/>
                <w:highlight w:val="none"/>
              </w:rPr>
            </w:pPr>
            <w:r>
              <w:rPr>
                <w:rFonts w:hint="eastAsia" w:ascii="宋体" w:hAnsi="宋体" w:cs="宋体"/>
                <w:color w:val="auto"/>
                <w:sz w:val="24"/>
                <w:highlight w:val="none"/>
              </w:rPr>
              <w:t>（1）违约承诺内容；</w:t>
            </w:r>
          </w:p>
          <w:p>
            <w:pPr>
              <w:rPr>
                <w:rFonts w:hint="eastAsia" w:ascii="宋体" w:hAnsi="宋体" w:cs="宋体"/>
                <w:color w:val="auto"/>
                <w:sz w:val="24"/>
                <w:highlight w:val="none"/>
              </w:rPr>
            </w:pPr>
            <w:r>
              <w:rPr>
                <w:rFonts w:hint="eastAsia" w:ascii="宋体" w:hAnsi="宋体" w:cs="宋体"/>
                <w:color w:val="auto"/>
                <w:sz w:val="24"/>
                <w:highlight w:val="none"/>
              </w:rPr>
              <w:t>（2）处罚措施。</w:t>
            </w:r>
          </w:p>
          <w:p>
            <w:pPr>
              <w:rPr>
                <w:rFonts w:hint="eastAsia" w:ascii="宋体" w:hAnsi="宋体" w:cs="宋体"/>
                <w:color w:val="auto"/>
                <w:sz w:val="24"/>
                <w:highlight w:val="none"/>
              </w:rPr>
            </w:pPr>
            <w:r>
              <w:rPr>
                <w:rFonts w:hint="eastAsia" w:ascii="宋体" w:hAnsi="宋体" w:cs="宋体"/>
                <w:color w:val="auto"/>
                <w:sz w:val="24"/>
                <w:highlight w:val="none"/>
              </w:rPr>
              <w:t>2．在投标人以上内容提供的基础上，评审委员会根据以下评审标准分档打分：</w:t>
            </w:r>
          </w:p>
          <w:p>
            <w:pPr>
              <w:rPr>
                <w:rFonts w:hint="eastAsia" w:ascii="宋体" w:hAnsi="宋体" w:cs="宋体"/>
                <w:color w:val="auto"/>
                <w:sz w:val="24"/>
                <w:highlight w:val="none"/>
              </w:rPr>
            </w:pPr>
            <w:r>
              <w:rPr>
                <w:rFonts w:hint="eastAsia" w:ascii="宋体" w:hAnsi="宋体" w:cs="宋体"/>
                <w:color w:val="auto"/>
                <w:sz w:val="24"/>
                <w:highlight w:val="none"/>
              </w:rPr>
              <w:t>（1）投标文件响应内容全面；</w:t>
            </w:r>
          </w:p>
          <w:p>
            <w:pPr>
              <w:rPr>
                <w:rFonts w:hint="eastAsia" w:ascii="宋体" w:hAnsi="宋体" w:cs="宋体"/>
                <w:color w:val="auto"/>
                <w:sz w:val="24"/>
                <w:highlight w:val="none"/>
              </w:rPr>
            </w:pPr>
            <w:r>
              <w:rPr>
                <w:rFonts w:hint="eastAsia" w:ascii="宋体" w:hAnsi="宋体" w:cs="宋体"/>
                <w:color w:val="auto"/>
                <w:sz w:val="24"/>
                <w:highlight w:val="none"/>
              </w:rPr>
              <w:t>（2）投标文件响应内容具体；</w:t>
            </w:r>
          </w:p>
          <w:p>
            <w:pPr>
              <w:rPr>
                <w:rFonts w:hint="eastAsia" w:ascii="宋体" w:hAnsi="宋体" w:cs="宋体"/>
                <w:color w:val="auto"/>
                <w:sz w:val="24"/>
                <w:highlight w:val="none"/>
              </w:rPr>
            </w:pPr>
            <w:r>
              <w:rPr>
                <w:rFonts w:hint="eastAsia" w:ascii="宋体" w:hAnsi="宋体" w:cs="宋体"/>
                <w:color w:val="auto"/>
                <w:sz w:val="24"/>
                <w:highlight w:val="none"/>
              </w:rPr>
              <w:t>（3）投标文件响应内容针对性强；</w:t>
            </w:r>
          </w:p>
          <w:p>
            <w:pPr>
              <w:rPr>
                <w:rFonts w:hint="eastAsia" w:ascii="宋体" w:hAnsi="宋体" w:cs="宋体"/>
                <w:color w:val="auto"/>
                <w:sz w:val="24"/>
                <w:highlight w:val="none"/>
              </w:rPr>
            </w:pPr>
            <w:r>
              <w:rPr>
                <w:rFonts w:hint="eastAsia" w:ascii="宋体" w:hAnsi="宋体" w:cs="宋体"/>
                <w:color w:val="auto"/>
                <w:sz w:val="24"/>
                <w:highlight w:val="none"/>
              </w:rPr>
              <w:t>（4）投标文件响应内容科学合理；</w:t>
            </w:r>
          </w:p>
          <w:p>
            <w:pPr>
              <w:rPr>
                <w:rFonts w:hint="eastAsia" w:ascii="宋体" w:hAnsi="宋体" w:cs="宋体"/>
                <w:color w:val="auto"/>
                <w:sz w:val="24"/>
                <w:highlight w:val="none"/>
              </w:rPr>
            </w:pPr>
            <w:r>
              <w:rPr>
                <w:rFonts w:hint="eastAsia" w:ascii="宋体" w:hAnsi="宋体" w:cs="宋体"/>
                <w:color w:val="auto"/>
                <w:sz w:val="24"/>
                <w:highlight w:val="none"/>
              </w:rPr>
              <w:t>（5）投标文件响应内容可操作性强。</w:t>
            </w:r>
          </w:p>
          <w:p>
            <w:pPr>
              <w:rPr>
                <w:rFonts w:hint="eastAsia" w:ascii="宋体" w:hAnsi="宋体" w:cs="宋体"/>
                <w:color w:val="auto"/>
                <w:sz w:val="24"/>
                <w:highlight w:val="none"/>
              </w:rPr>
            </w:pPr>
            <w:r>
              <w:rPr>
                <w:rFonts w:hint="eastAsia" w:ascii="宋体" w:hAnsi="宋体" w:cs="宋体"/>
                <w:color w:val="auto"/>
                <w:sz w:val="24"/>
                <w:highlight w:val="none"/>
              </w:rPr>
              <w:t>满足以上五项要求的评价为优，得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p>
            <w:pPr>
              <w:rPr>
                <w:rFonts w:hint="eastAsia" w:ascii="宋体" w:hAnsi="宋体" w:cs="宋体"/>
                <w:color w:val="auto"/>
                <w:sz w:val="24"/>
                <w:highlight w:val="none"/>
              </w:rPr>
            </w:pPr>
            <w:r>
              <w:rPr>
                <w:rFonts w:hint="eastAsia" w:ascii="宋体" w:hAnsi="宋体" w:cs="宋体"/>
                <w:color w:val="auto"/>
                <w:sz w:val="24"/>
                <w:highlight w:val="none"/>
              </w:rPr>
              <w:t>满足以上四项要求的评价为良，得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p>
          <w:p>
            <w:pPr>
              <w:rPr>
                <w:rFonts w:hint="eastAsia" w:ascii="宋体" w:hAnsi="宋体" w:cs="宋体"/>
                <w:color w:val="auto"/>
                <w:sz w:val="24"/>
                <w:highlight w:val="none"/>
              </w:rPr>
            </w:pPr>
            <w:r>
              <w:rPr>
                <w:rFonts w:hint="eastAsia" w:ascii="宋体" w:hAnsi="宋体" w:cs="宋体"/>
                <w:color w:val="auto"/>
                <w:sz w:val="24"/>
                <w:highlight w:val="none"/>
              </w:rPr>
              <w:t>满足以上三项要求的评价为中，得</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分；</w:t>
            </w:r>
          </w:p>
          <w:p>
            <w:pPr>
              <w:rPr>
                <w:rFonts w:hint="eastAsia" w:ascii="宋体" w:hAnsi="宋体" w:cs="宋体"/>
                <w:color w:val="auto"/>
                <w:sz w:val="24"/>
                <w:highlight w:val="none"/>
              </w:rPr>
            </w:pPr>
            <w:r>
              <w:rPr>
                <w:rFonts w:hint="eastAsia" w:ascii="宋体" w:hAnsi="宋体" w:cs="宋体"/>
                <w:color w:val="auto"/>
                <w:sz w:val="24"/>
                <w:highlight w:val="none"/>
              </w:rPr>
              <w:t>其它情况的评价为差，不得分。</w:t>
            </w:r>
          </w:p>
        </w:tc>
        <w:tc>
          <w:tcPr>
            <w:tcW w:w="750"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bookmarkEnd w:id="61"/>
    </w:tbl>
    <w:p>
      <w:pPr>
        <w:tabs>
          <w:tab w:val="left" w:pos="640"/>
          <w:tab w:val="left" w:pos="1260"/>
          <w:tab w:val="left" w:pos="1418"/>
        </w:tabs>
        <w:spacing w:line="360" w:lineRule="auto"/>
        <w:ind w:right="-420" w:rightChars="-200"/>
        <w:rPr>
          <w:rFonts w:hint="eastAsia" w:ascii="宋体" w:hAnsi="宋体" w:cs="宋体"/>
          <w:color w:val="auto"/>
          <w:sz w:val="24"/>
          <w:highlight w:val="none"/>
          <w:lang w:val="fr-CH"/>
        </w:rPr>
        <w:sectPr>
          <w:pgSz w:w="11906" w:h="16838"/>
          <w:pgMar w:top="149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auto"/>
          <w:sz w:val="24"/>
          <w:highlight w:val="none"/>
        </w:rPr>
      </w:pPr>
      <w:bookmarkStart w:id="63" w:name="_Toc31322"/>
      <w:r>
        <w:rPr>
          <w:rFonts w:hint="eastAsia" w:ascii="宋体" w:hAnsi="宋体" w:cs="宋体"/>
          <w:b/>
          <w:bCs/>
          <w:color w:val="auto"/>
          <w:sz w:val="24"/>
          <w:highlight w:val="none"/>
        </w:rPr>
        <w:t>第七章 附件（投标文件格式）</w:t>
      </w:r>
      <w:bookmarkEnd w:id="59"/>
      <w:bookmarkEnd w:id="63"/>
    </w:p>
    <w:p>
      <w:pPr>
        <w:keepNext/>
        <w:keepLines/>
        <w:spacing w:before="260" w:after="260" w:line="440" w:lineRule="exact"/>
        <w:jc w:val="center"/>
        <w:outlineLvl w:val="1"/>
        <w:rPr>
          <w:rFonts w:hint="eastAsia" w:ascii="宋体" w:hAnsi="宋体" w:cs="宋体"/>
          <w:b/>
          <w:bCs/>
          <w:color w:val="auto"/>
          <w:sz w:val="24"/>
          <w:highlight w:val="none"/>
        </w:rPr>
      </w:pPr>
      <w:bookmarkStart w:id="64" w:name="_Toc19494"/>
      <w:bookmarkStart w:id="65" w:name="_Toc6548"/>
      <w:bookmarkStart w:id="66" w:name="_Toc31827"/>
      <w:bookmarkStart w:id="67" w:name="_Toc5116"/>
      <w:r>
        <w:rPr>
          <w:rFonts w:hint="eastAsia" w:ascii="宋体" w:hAnsi="宋体" w:cs="宋体"/>
          <w:b/>
          <w:bCs/>
          <w:color w:val="auto"/>
          <w:sz w:val="24"/>
          <w:highlight w:val="none"/>
        </w:rPr>
        <w:t>1、投标文件密封袋/封面参考</w:t>
      </w:r>
      <w:bookmarkEnd w:id="64"/>
      <w:bookmarkEnd w:id="65"/>
      <w:bookmarkEnd w:id="66"/>
      <w:bookmarkEnd w:id="67"/>
    </w:p>
    <w:tbl>
      <w:tblPr>
        <w:tblStyle w:val="19"/>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9"/>
              <w:tabs>
                <w:tab w:val="left" w:pos="562"/>
                <w:tab w:val="left" w:pos="3372"/>
                <w:tab w:val="left" w:pos="3653"/>
              </w:tabs>
              <w:spacing w:line="360" w:lineRule="auto"/>
              <w:rPr>
                <w:rFonts w:ascii="仿宋_GB2312" w:eastAsia="仿宋_GB2312"/>
                <w:b/>
                <w:color w:val="auto"/>
                <w:sz w:val="32"/>
                <w:highlight w:val="none"/>
              </w:rPr>
            </w:pPr>
          </w:p>
          <w:p>
            <w:pPr>
              <w:pStyle w:val="9"/>
              <w:tabs>
                <w:tab w:val="left" w:pos="562"/>
                <w:tab w:val="left" w:pos="3372"/>
                <w:tab w:val="left" w:pos="3653"/>
              </w:tabs>
              <w:spacing w:line="360" w:lineRule="auto"/>
              <w:jc w:val="center"/>
              <w:rPr>
                <w:rFonts w:ascii="黑体" w:eastAsia="黑体"/>
                <w:b/>
                <w:color w:val="auto"/>
                <w:sz w:val="72"/>
                <w:szCs w:val="72"/>
                <w:highlight w:val="none"/>
              </w:rPr>
            </w:pPr>
          </w:p>
          <w:p>
            <w:pPr>
              <w:pStyle w:val="9"/>
              <w:tabs>
                <w:tab w:val="left" w:pos="562"/>
                <w:tab w:val="left" w:pos="3372"/>
                <w:tab w:val="left" w:pos="3653"/>
              </w:tabs>
              <w:spacing w:line="360" w:lineRule="auto"/>
              <w:jc w:val="center"/>
              <w:rPr>
                <w:rFonts w:ascii="黑体" w:eastAsia="黑体"/>
                <w:b/>
                <w:color w:val="auto"/>
                <w:sz w:val="72"/>
                <w:szCs w:val="72"/>
                <w:highlight w:val="none"/>
              </w:rPr>
            </w:pPr>
            <w:r>
              <w:rPr>
                <w:rFonts w:hint="eastAsia" w:ascii="黑体" w:eastAsia="黑体"/>
                <w:b/>
                <w:color w:val="auto"/>
                <w:sz w:val="72"/>
                <w:szCs w:val="72"/>
                <w:highlight w:val="none"/>
              </w:rPr>
              <w:t>投 标 文 件</w:t>
            </w:r>
          </w:p>
          <w:p>
            <w:pPr>
              <w:pStyle w:val="9"/>
              <w:tabs>
                <w:tab w:val="left" w:pos="562"/>
                <w:tab w:val="left" w:pos="3372"/>
                <w:tab w:val="left" w:pos="3653"/>
              </w:tabs>
              <w:spacing w:line="360" w:lineRule="auto"/>
              <w:jc w:val="center"/>
              <w:rPr>
                <w:rFonts w:ascii="黑体" w:eastAsia="黑体"/>
                <w:b/>
                <w:strike/>
                <w:color w:val="auto"/>
                <w:sz w:val="32"/>
                <w:highlight w:val="none"/>
              </w:rPr>
            </w:pPr>
          </w:p>
          <w:p>
            <w:pPr>
              <w:spacing w:after="120" w:line="360" w:lineRule="auto"/>
              <w:ind w:firstLine="3385" w:firstLineChars="651"/>
              <w:textAlignment w:val="baseline"/>
              <w:rPr>
                <w:rFonts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正本</w:t>
            </w:r>
          </w:p>
          <w:p>
            <w:pPr>
              <w:spacing w:after="120" w:line="360" w:lineRule="auto"/>
              <w:ind w:firstLine="3385" w:firstLineChars="651"/>
              <w:textAlignment w:val="baseline"/>
              <w:rPr>
                <w:rFonts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副本</w:t>
            </w:r>
          </w:p>
          <w:p>
            <w:pPr>
              <w:pStyle w:val="9"/>
              <w:tabs>
                <w:tab w:val="left" w:pos="562"/>
                <w:tab w:val="left" w:pos="3372"/>
                <w:tab w:val="left" w:pos="3653"/>
              </w:tabs>
              <w:spacing w:line="360" w:lineRule="auto"/>
              <w:rPr>
                <w:rFonts w:ascii="仿宋_GB2312" w:eastAsia="仿宋_GB2312"/>
                <w:b/>
                <w:color w:val="auto"/>
                <w:sz w:val="32"/>
                <w:highlight w:val="none"/>
              </w:rPr>
            </w:pPr>
          </w:p>
          <w:p>
            <w:pPr>
              <w:rPr>
                <w:color w:val="auto"/>
                <w:highlight w:val="none"/>
              </w:rPr>
            </w:pPr>
          </w:p>
          <w:p>
            <w:pPr>
              <w:pStyle w:val="9"/>
              <w:tabs>
                <w:tab w:val="left" w:pos="562"/>
                <w:tab w:val="left" w:pos="3372"/>
                <w:tab w:val="left" w:pos="3653"/>
              </w:tabs>
              <w:spacing w:line="400" w:lineRule="exact"/>
              <w:ind w:firstLine="900" w:firstLineChars="320"/>
              <w:rPr>
                <w:rFonts w:ascii="仿宋_GB2312" w:eastAsia="仿宋_GB2312"/>
                <w:b/>
                <w:color w:val="auto"/>
                <w:sz w:val="28"/>
                <w:szCs w:val="28"/>
                <w:highlight w:val="none"/>
              </w:rPr>
            </w:pPr>
          </w:p>
          <w:p>
            <w:pPr>
              <w:pStyle w:val="9"/>
              <w:tabs>
                <w:tab w:val="left" w:pos="562"/>
                <w:tab w:val="left" w:pos="3372"/>
                <w:tab w:val="left" w:pos="3653"/>
              </w:tabs>
              <w:spacing w:line="400" w:lineRule="exact"/>
              <w:ind w:firstLine="900" w:firstLineChars="320"/>
              <w:rPr>
                <w:rFonts w:hint="eastAsia" w:ascii="宋体" w:hAnsi="宋体" w:cs="宋体"/>
                <w:b/>
                <w:color w:val="auto"/>
                <w:sz w:val="28"/>
                <w:szCs w:val="28"/>
                <w:highlight w:val="none"/>
              </w:rPr>
            </w:pPr>
            <w:r>
              <w:rPr>
                <w:rFonts w:hint="eastAsia" w:ascii="宋体" w:hAnsi="宋体" w:cs="宋体"/>
                <w:b/>
                <w:color w:val="auto"/>
                <w:sz w:val="28"/>
                <w:szCs w:val="28"/>
                <w:highlight w:val="none"/>
              </w:rPr>
              <w:t>项目编号：</w:t>
            </w:r>
            <w:r>
              <w:rPr>
                <w:rFonts w:hint="eastAsia" w:ascii="宋体" w:hAnsi="宋体" w:cs="Arial"/>
                <w:b/>
                <w:bCs/>
                <w:color w:val="auto"/>
                <w:sz w:val="28"/>
                <w:szCs w:val="28"/>
                <w:highlight w:val="none"/>
                <w:u w:val="single"/>
              </w:rPr>
              <w:t xml:space="preserve">                                   </w:t>
            </w:r>
          </w:p>
          <w:p>
            <w:pPr>
              <w:pStyle w:val="9"/>
              <w:tabs>
                <w:tab w:val="left" w:pos="562"/>
                <w:tab w:val="left" w:pos="3372"/>
                <w:tab w:val="left" w:pos="3653"/>
              </w:tabs>
              <w:spacing w:line="400" w:lineRule="exact"/>
              <w:ind w:firstLine="900" w:firstLineChars="320"/>
              <w:rPr>
                <w:rFonts w:hint="eastAsia" w:ascii="宋体" w:hAnsi="宋体" w:cs="宋体"/>
                <w:b/>
                <w:color w:val="auto"/>
                <w:sz w:val="28"/>
                <w:szCs w:val="28"/>
                <w:highlight w:val="none"/>
              </w:rPr>
            </w:pPr>
            <w:r>
              <w:rPr>
                <w:rFonts w:hint="eastAsia" w:ascii="宋体" w:hAnsi="宋体" w:cs="宋体"/>
                <w:b/>
                <w:color w:val="auto"/>
                <w:sz w:val="28"/>
                <w:szCs w:val="28"/>
                <w:highlight w:val="none"/>
              </w:rPr>
              <w:t>项目名称：</w:t>
            </w:r>
            <w:r>
              <w:rPr>
                <w:rFonts w:hint="eastAsia" w:ascii="宋体" w:hAnsi="宋体" w:cs="Arial"/>
                <w:b/>
                <w:bCs/>
                <w:color w:val="auto"/>
                <w:sz w:val="28"/>
                <w:szCs w:val="28"/>
                <w:highlight w:val="none"/>
                <w:u w:val="single"/>
              </w:rPr>
              <w:t xml:space="preserve">                                   </w:t>
            </w:r>
          </w:p>
          <w:p>
            <w:pPr>
              <w:pStyle w:val="9"/>
              <w:tabs>
                <w:tab w:val="left" w:pos="562"/>
                <w:tab w:val="left" w:pos="3372"/>
                <w:tab w:val="left" w:pos="3653"/>
              </w:tabs>
              <w:spacing w:line="400" w:lineRule="exact"/>
              <w:ind w:firstLine="900" w:firstLineChars="320"/>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投标人名称：</w:t>
            </w:r>
            <w:r>
              <w:rPr>
                <w:rFonts w:hint="eastAsia" w:ascii="宋体" w:hAnsi="宋体" w:cs="Arial"/>
                <w:b/>
                <w:bCs/>
                <w:color w:val="auto"/>
                <w:sz w:val="28"/>
                <w:szCs w:val="28"/>
                <w:highlight w:val="none"/>
                <w:u w:val="single"/>
              </w:rPr>
              <w:t xml:space="preserve">                     （加盖公章）</w:t>
            </w:r>
          </w:p>
          <w:p>
            <w:pPr>
              <w:pStyle w:val="9"/>
              <w:tabs>
                <w:tab w:val="left" w:pos="562"/>
                <w:tab w:val="left" w:pos="3372"/>
                <w:tab w:val="left" w:pos="3653"/>
              </w:tabs>
              <w:spacing w:line="400" w:lineRule="exact"/>
              <w:ind w:firstLine="900" w:firstLineChars="320"/>
              <w:rPr>
                <w:rFonts w:hint="eastAsia" w:ascii="宋体" w:hAnsi="宋体" w:cs="Arial"/>
                <w:b/>
                <w:bCs/>
                <w:color w:val="auto"/>
                <w:sz w:val="28"/>
                <w:szCs w:val="28"/>
                <w:highlight w:val="none"/>
                <w:u w:val="single"/>
              </w:rPr>
            </w:pPr>
            <w:r>
              <w:rPr>
                <w:rFonts w:hint="eastAsia" w:ascii="宋体" w:hAnsi="宋体" w:cs="宋体"/>
                <w:b/>
                <w:color w:val="auto"/>
                <w:sz w:val="28"/>
                <w:szCs w:val="28"/>
                <w:highlight w:val="none"/>
              </w:rPr>
              <w:t>投标人地址：</w:t>
            </w:r>
            <w:r>
              <w:rPr>
                <w:rFonts w:hint="eastAsia" w:ascii="宋体" w:hAnsi="宋体" w:cs="Arial"/>
                <w:b/>
                <w:bCs/>
                <w:color w:val="auto"/>
                <w:sz w:val="28"/>
                <w:szCs w:val="28"/>
                <w:highlight w:val="none"/>
                <w:u w:val="single"/>
              </w:rPr>
              <w:t xml:space="preserve">                                 </w:t>
            </w:r>
          </w:p>
          <w:p>
            <w:pPr>
              <w:pStyle w:val="9"/>
              <w:tabs>
                <w:tab w:val="left" w:pos="562"/>
                <w:tab w:val="left" w:pos="3372"/>
                <w:tab w:val="left" w:pos="3653"/>
              </w:tabs>
              <w:spacing w:line="400" w:lineRule="exact"/>
              <w:ind w:firstLine="900" w:firstLineChars="320"/>
              <w:rPr>
                <w:rFonts w:hint="eastAsia" w:ascii="宋体" w:hAnsi="宋体" w:cs="Arial"/>
                <w:b/>
                <w:bCs/>
                <w:color w:val="auto"/>
                <w:sz w:val="28"/>
                <w:szCs w:val="28"/>
                <w:highlight w:val="none"/>
                <w:u w:val="single"/>
              </w:rPr>
            </w:pPr>
            <w:r>
              <w:rPr>
                <w:rFonts w:hint="eastAsia" w:ascii="宋体" w:hAnsi="宋体" w:cs="Arial"/>
                <w:b/>
                <w:bCs/>
                <w:color w:val="auto"/>
                <w:sz w:val="28"/>
                <w:szCs w:val="28"/>
                <w:highlight w:val="none"/>
              </w:rPr>
              <w:t>法定代表人/被授权人：</w:t>
            </w:r>
            <w:r>
              <w:rPr>
                <w:rFonts w:hint="eastAsia" w:ascii="宋体" w:hAnsi="宋体" w:cs="Arial"/>
                <w:b/>
                <w:bCs/>
                <w:color w:val="auto"/>
                <w:sz w:val="28"/>
                <w:szCs w:val="28"/>
                <w:highlight w:val="none"/>
                <w:u w:val="single"/>
              </w:rPr>
              <w:t xml:space="preserve">                        </w:t>
            </w:r>
          </w:p>
          <w:p>
            <w:pPr>
              <w:pStyle w:val="9"/>
              <w:tabs>
                <w:tab w:val="left" w:pos="562"/>
                <w:tab w:val="left" w:pos="3372"/>
                <w:tab w:val="left" w:pos="3653"/>
              </w:tabs>
              <w:spacing w:line="400" w:lineRule="exact"/>
              <w:ind w:firstLine="900" w:firstLineChars="320"/>
              <w:rPr>
                <w:rFonts w:hint="eastAsia" w:ascii="宋体" w:hAnsi="宋体" w:cs="宋体"/>
                <w:b/>
                <w:color w:val="auto"/>
                <w:sz w:val="28"/>
                <w:szCs w:val="28"/>
                <w:highlight w:val="none"/>
              </w:rPr>
            </w:pPr>
            <w:r>
              <w:rPr>
                <w:rFonts w:hint="eastAsia" w:ascii="宋体" w:hAnsi="宋体" w:cs="Arial"/>
                <w:b/>
                <w:bCs/>
                <w:color w:val="auto"/>
                <w:sz w:val="28"/>
                <w:szCs w:val="28"/>
                <w:highlight w:val="none"/>
              </w:rPr>
              <w:t>联系电话：</w:t>
            </w:r>
            <w:r>
              <w:rPr>
                <w:rFonts w:hint="eastAsia" w:ascii="宋体" w:hAnsi="宋体" w:cs="Arial"/>
                <w:b/>
                <w:bCs/>
                <w:color w:val="auto"/>
                <w:sz w:val="28"/>
                <w:szCs w:val="28"/>
                <w:highlight w:val="none"/>
                <w:u w:val="single"/>
              </w:rPr>
              <w:t xml:space="preserve">                                   </w:t>
            </w:r>
          </w:p>
          <w:p>
            <w:pPr>
              <w:spacing w:line="360" w:lineRule="auto"/>
              <w:jc w:val="center"/>
              <w:rPr>
                <w:rFonts w:hint="eastAsia" w:ascii="宋体" w:hAnsi="宋体" w:cs="Arial"/>
                <w:b/>
                <w:bCs/>
                <w:color w:val="auto"/>
                <w:sz w:val="28"/>
                <w:szCs w:val="28"/>
                <w:highlight w:val="none"/>
              </w:rPr>
            </w:pPr>
          </w:p>
          <w:p>
            <w:pPr>
              <w:spacing w:line="360" w:lineRule="auto"/>
              <w:jc w:val="center"/>
              <w:rPr>
                <w:rFonts w:hint="eastAsia" w:ascii="宋体" w:hAnsi="宋体" w:cs="Arial"/>
                <w:b/>
                <w:bCs/>
                <w:color w:val="auto"/>
                <w:sz w:val="28"/>
                <w:szCs w:val="28"/>
                <w:highlight w:val="none"/>
              </w:rPr>
            </w:pPr>
          </w:p>
          <w:p>
            <w:pPr>
              <w:spacing w:line="360" w:lineRule="auto"/>
              <w:jc w:val="center"/>
              <w:rPr>
                <w:rFonts w:ascii="仿宋_GB2312" w:eastAsia="仿宋_GB2312"/>
                <w:b/>
                <w:color w:val="auto"/>
                <w:sz w:val="32"/>
                <w:highlight w:val="none"/>
              </w:rPr>
            </w:pPr>
            <w:r>
              <w:rPr>
                <w:rFonts w:hint="eastAsia" w:ascii="宋体" w:hAnsi="宋体" w:cs="Arial"/>
                <w:b/>
                <w:bCs/>
                <w:color w:val="auto"/>
                <w:sz w:val="28"/>
                <w:szCs w:val="28"/>
                <w:highlight w:val="none"/>
              </w:rPr>
              <w:t>【年月日时分之前不得启封。】</w:t>
            </w:r>
          </w:p>
        </w:tc>
      </w:tr>
    </w:tbl>
    <w:p>
      <w:pPr>
        <w:spacing w:line="360" w:lineRule="auto"/>
        <w:jc w:val="center"/>
        <w:rPr>
          <w:rFonts w:hint="eastAsia" w:ascii="宋体" w:hAnsi="宋体" w:cs="宋体"/>
          <w:b/>
          <w:bCs/>
          <w:color w:val="auto"/>
          <w:sz w:val="24"/>
          <w:highlight w:val="none"/>
        </w:rPr>
      </w:pPr>
    </w:p>
    <w:p>
      <w:pPr>
        <w:spacing w:before="100" w:beforeAutospacing="1" w:after="100" w:afterAutospacing="1"/>
        <w:jc w:val="center"/>
        <w:outlineLvl w:val="1"/>
        <w:rPr>
          <w:rFonts w:hint="eastAsia" w:ascii="宋体" w:hAnsi="宋体" w:cs="宋体"/>
          <w:b/>
          <w:color w:val="auto"/>
          <w:sz w:val="24"/>
          <w:highlight w:val="none"/>
        </w:rPr>
      </w:pPr>
      <w:bookmarkStart w:id="68" w:name="_Toc16724"/>
      <w:r>
        <w:rPr>
          <w:rFonts w:hint="eastAsia" w:ascii="宋体" w:hAnsi="宋体" w:cs="宋体"/>
          <w:b/>
          <w:color w:val="auto"/>
          <w:sz w:val="24"/>
          <w:highlight w:val="none"/>
        </w:rPr>
        <w:t>2、投标文件—目录</w:t>
      </w:r>
      <w:bookmarkEnd w:id="68"/>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numPr>
          <w:ilvl w:val="0"/>
          <w:numId w:val="7"/>
        </w:numPr>
        <w:tabs>
          <w:tab w:val="left" w:pos="640"/>
          <w:tab w:val="clear" w:pos="425"/>
        </w:tabs>
        <w:spacing w:line="360" w:lineRule="auto"/>
        <w:ind w:left="625" w:hanging="625"/>
        <w:rPr>
          <w:rFonts w:hint="eastAsia" w:ascii="宋体" w:hAnsi="宋体" w:cs="宋体"/>
          <w:color w:val="auto"/>
          <w:sz w:val="24"/>
          <w:highlight w:val="none"/>
        </w:rPr>
      </w:pPr>
      <w:r>
        <w:rPr>
          <w:rFonts w:hint="eastAsia" w:ascii="宋体" w:hAnsi="宋体" w:cs="宋体"/>
          <w:color w:val="auto"/>
          <w:sz w:val="24"/>
          <w:highlight w:val="none"/>
        </w:rPr>
        <w:t>投标一览表；</w:t>
      </w:r>
    </w:p>
    <w:p>
      <w:pPr>
        <w:numPr>
          <w:ilvl w:val="0"/>
          <w:numId w:val="7"/>
        </w:numPr>
        <w:tabs>
          <w:tab w:val="left" w:pos="640"/>
          <w:tab w:val="clear" w:pos="425"/>
        </w:tabs>
        <w:spacing w:line="360" w:lineRule="auto"/>
        <w:ind w:left="625" w:hanging="625"/>
        <w:rPr>
          <w:rFonts w:hint="eastAsia" w:ascii="宋体" w:hAnsi="宋体" w:cs="宋体"/>
          <w:color w:val="auto"/>
          <w:sz w:val="24"/>
          <w:highlight w:val="none"/>
        </w:rPr>
      </w:pPr>
      <w:r>
        <w:rPr>
          <w:rFonts w:hint="eastAsia" w:ascii="宋体" w:hAnsi="宋体" w:cs="宋体"/>
          <w:color w:val="auto"/>
          <w:sz w:val="24"/>
          <w:highlight w:val="none"/>
        </w:rPr>
        <w:t>分类报价明细表；</w:t>
      </w:r>
    </w:p>
    <w:p>
      <w:pPr>
        <w:spacing w:line="360" w:lineRule="auto"/>
        <w:rPr>
          <w:rFonts w:hint="eastAsia" w:ascii="宋体" w:hAnsi="宋体" w:cs="宋体"/>
          <w:b/>
          <w:bCs/>
          <w:color w:val="auto"/>
          <w:sz w:val="24"/>
          <w:highlight w:val="none"/>
          <w:u w:val="wave"/>
        </w:rPr>
      </w:pPr>
      <w:r>
        <w:rPr>
          <w:rFonts w:hint="eastAsia" w:ascii="宋体" w:hAnsi="宋体" w:cs="宋体"/>
          <w:b/>
          <w:bCs/>
          <w:color w:val="auto"/>
          <w:sz w:val="24"/>
          <w:highlight w:val="none"/>
        </w:rPr>
        <w:t>（二）商务部分</w:t>
      </w:r>
    </w:p>
    <w:p>
      <w:pPr>
        <w:numPr>
          <w:ilvl w:val="0"/>
          <w:numId w:val="8"/>
        </w:numPr>
        <w:tabs>
          <w:tab w:val="left" w:pos="6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投标响应书；</w:t>
      </w:r>
    </w:p>
    <w:p>
      <w:pPr>
        <w:numPr>
          <w:ilvl w:val="0"/>
          <w:numId w:val="8"/>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8"/>
        </w:numPr>
        <w:tabs>
          <w:tab w:val="left" w:pos="640"/>
          <w:tab w:val="left" w:pos="1260"/>
          <w:tab w:val="left" w:pos="1418"/>
        </w:tabs>
        <w:spacing w:line="360" w:lineRule="auto"/>
        <w:ind w:left="645" w:hanging="645"/>
        <w:rPr>
          <w:rFonts w:hint="eastAsia" w:ascii="宋体" w:hAnsi="宋体" w:cs="宋体"/>
          <w:b/>
          <w:bCs/>
          <w:color w:val="auto"/>
          <w:sz w:val="24"/>
          <w:highlight w:val="none"/>
          <w:lang w:val="fr-CH"/>
        </w:rPr>
      </w:pPr>
      <w:r>
        <w:rPr>
          <w:rFonts w:hint="eastAsia" w:ascii="宋体" w:hAnsi="宋体" w:cs="宋体"/>
          <w:color w:val="auto"/>
          <w:sz w:val="24"/>
          <w:highlight w:val="none"/>
          <w:lang w:val="fr-CH"/>
        </w:rPr>
        <w:t>政府采购投标及履约承诺函；</w:t>
      </w:r>
    </w:p>
    <w:p>
      <w:pPr>
        <w:numPr>
          <w:ilvl w:val="0"/>
          <w:numId w:val="8"/>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关于资格的声明函；</w:t>
      </w:r>
    </w:p>
    <w:p>
      <w:pPr>
        <w:numPr>
          <w:ilvl w:val="0"/>
          <w:numId w:val="8"/>
        </w:numPr>
        <w:tabs>
          <w:tab w:val="left" w:pos="640"/>
          <w:tab w:val="left" w:pos="1260"/>
          <w:tab w:val="left" w:pos="1418"/>
        </w:tabs>
        <w:spacing w:line="360" w:lineRule="auto"/>
        <w:ind w:left="645" w:hanging="645"/>
        <w:rPr>
          <w:rFonts w:hint="eastAsia" w:ascii="宋体" w:hAnsi="宋体" w:cs="宋体"/>
          <w:b/>
          <w:bCs/>
          <w:color w:val="auto"/>
          <w:sz w:val="24"/>
          <w:highlight w:val="none"/>
          <w:lang w:val="fr-CH"/>
        </w:rPr>
      </w:pPr>
      <w:r>
        <w:rPr>
          <w:rFonts w:hint="eastAsia" w:ascii="宋体" w:hAnsi="宋体" w:cs="宋体"/>
          <w:color w:val="auto"/>
          <w:sz w:val="24"/>
          <w:highlight w:val="none"/>
          <w:lang w:val="fr-CH"/>
        </w:rPr>
        <w:t>法人代表证明书及身份证明；</w:t>
      </w:r>
    </w:p>
    <w:p>
      <w:pPr>
        <w:numPr>
          <w:ilvl w:val="0"/>
          <w:numId w:val="8"/>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法定代表人授权书及身份证明；</w:t>
      </w:r>
    </w:p>
    <w:p>
      <w:pPr>
        <w:numPr>
          <w:ilvl w:val="0"/>
          <w:numId w:val="8"/>
        </w:numPr>
        <w:tabs>
          <w:tab w:val="left" w:pos="640"/>
          <w:tab w:val="left" w:pos="1260"/>
          <w:tab w:val="left" w:pos="1418"/>
        </w:tabs>
        <w:spacing w:line="360" w:lineRule="auto"/>
        <w:ind w:left="845" w:hanging="845"/>
        <w:rPr>
          <w:rFonts w:hint="eastAsia" w:ascii="宋体" w:hAnsi="宋体" w:cs="宋体"/>
          <w:b/>
          <w:bCs/>
          <w:color w:val="auto"/>
          <w:sz w:val="24"/>
          <w:highlight w:val="none"/>
          <w:lang w:val="fr-CH"/>
        </w:rPr>
      </w:pPr>
      <w:r>
        <w:rPr>
          <w:rFonts w:hint="eastAsia" w:ascii="宋体" w:hAnsi="宋体" w:cs="宋体"/>
          <w:color w:val="auto"/>
          <w:sz w:val="24"/>
          <w:highlight w:val="none"/>
          <w:lang w:val="fr-CH"/>
        </w:rPr>
        <w:t>招标代理服务费承诺书；</w:t>
      </w:r>
    </w:p>
    <w:p>
      <w:pPr>
        <w:numPr>
          <w:ilvl w:val="0"/>
          <w:numId w:val="8"/>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投标人简介；</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bookmarkStart w:id="69" w:name="OLE_LINK29"/>
      <w:r>
        <w:rPr>
          <w:rFonts w:hint="eastAsia" w:ascii="宋体" w:hAnsi="宋体" w:cs="宋体"/>
          <w:color w:val="auto"/>
          <w:sz w:val="24"/>
          <w:highlight w:val="none"/>
          <w:lang w:val="fr-CH"/>
        </w:rPr>
        <w:t>资格及通过相关认证情况；</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同类项目业绩；</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拟安排的项目负责人情况（仅1人）；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拟安排的项目团队成员（主要技术人员）情况（项目负责人除外）；</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服务响应；</w:t>
      </w:r>
      <w:bookmarkEnd w:id="69"/>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诚信声明与承诺；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政府采购违法行为风险知悉确认书；</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参与价格扣除的证明文件；</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bookmarkStart w:id="70" w:name="OLE_LINK45"/>
      <w:r>
        <w:rPr>
          <w:rFonts w:hint="eastAsia" w:ascii="宋体" w:hAnsi="宋体" w:cs="宋体"/>
          <w:color w:val="auto"/>
          <w:sz w:val="24"/>
          <w:highlight w:val="none"/>
        </w:rPr>
        <w:t>供应商基本情况表、社保证明及股权关系证明</w:t>
      </w:r>
      <w:bookmarkEnd w:id="70"/>
      <w:r>
        <w:rPr>
          <w:rFonts w:hint="eastAsia" w:ascii="宋体" w:hAnsi="宋体" w:cs="宋体"/>
          <w:color w:val="auto"/>
          <w:sz w:val="24"/>
          <w:highlight w:val="none"/>
        </w:rPr>
        <w:t>；</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投标人认为有必要提供的其他材料。</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（三）技术部分</w:t>
      </w:r>
    </w:p>
    <w:p>
      <w:pPr>
        <w:numPr>
          <w:ilvl w:val="0"/>
          <w:numId w:val="9"/>
        </w:numPr>
        <w:tabs>
          <w:tab w:val="left" w:pos="640"/>
          <w:tab w:val="left" w:pos="1260"/>
          <w:tab w:val="left" w:pos="1418"/>
        </w:tabs>
        <w:spacing w:line="360" w:lineRule="auto"/>
        <w:ind w:left="640" w:right="-420" w:rightChars="-200" w:hanging="640"/>
        <w:rPr>
          <w:rFonts w:hint="eastAsia" w:ascii="宋体" w:hAnsi="宋体" w:cs="宋体"/>
          <w:color w:val="auto"/>
          <w:sz w:val="24"/>
          <w:highlight w:val="none"/>
          <w:lang w:val="fr-CH"/>
        </w:rPr>
      </w:pPr>
      <w:r>
        <w:rPr>
          <w:rFonts w:hint="eastAsia" w:ascii="宋体" w:hAnsi="宋体" w:cs="宋体"/>
          <w:color w:val="auto"/>
          <w:sz w:val="24"/>
          <w:highlight w:val="none"/>
          <w:lang w:val="fr-CH"/>
        </w:rPr>
        <w:t>用户需求响应表；</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bookmarkStart w:id="71" w:name="OLE_LINK30"/>
      <w:r>
        <w:rPr>
          <w:rFonts w:hint="eastAsia" w:ascii="宋体" w:hAnsi="宋体" w:cs="宋体"/>
          <w:color w:val="auto"/>
          <w:sz w:val="24"/>
          <w:highlight w:val="none"/>
          <w:lang w:val="fr-CH"/>
        </w:rPr>
        <w:t>实施方案；</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项目重点难点分析、应对措施及相关的合理化建议；</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质量保障措施及方案；</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服务承诺；</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违约承诺；</w:t>
      </w:r>
      <w:bookmarkEnd w:id="71"/>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投标人认为有必要提供的其他材料。</w:t>
      </w:r>
    </w:p>
    <w:p>
      <w:pPr>
        <w:outlineLvl w:val="2"/>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numPr>
          <w:ilvl w:val="0"/>
          <w:numId w:val="10"/>
        </w:numPr>
        <w:tabs>
          <w:tab w:val="left" w:pos="640"/>
          <w:tab w:val="clear" w:pos="425"/>
        </w:tabs>
        <w:ind w:left="625" w:hanging="625"/>
        <w:rPr>
          <w:rFonts w:hint="eastAsia" w:ascii="宋体" w:hAnsi="宋体" w:cs="宋体"/>
          <w:color w:val="auto"/>
          <w:sz w:val="24"/>
          <w:highlight w:val="none"/>
        </w:rPr>
      </w:pPr>
      <w:r>
        <w:rPr>
          <w:rFonts w:hint="eastAsia" w:ascii="宋体" w:hAnsi="宋体" w:cs="宋体"/>
          <w:color w:val="auto"/>
          <w:sz w:val="24"/>
          <w:highlight w:val="none"/>
        </w:rPr>
        <w:t>投标一览表；</w:t>
      </w:r>
    </w:p>
    <w:p>
      <w:pPr>
        <w:spacing w:line="360" w:lineRule="auto"/>
        <w:rPr>
          <w:rFonts w:hint="eastAsia" w:ascii="宋体" w:hAnsi="宋体" w:cs="宋体"/>
          <w:color w:val="auto"/>
          <w:sz w:val="24"/>
          <w:highlight w:val="none"/>
        </w:rPr>
      </w:pP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投标一览表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tbl>
      <w:tblPr>
        <w:tblStyle w:val="19"/>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2896" w:type="dxa"/>
            <w:vAlign w:val="center"/>
          </w:tcPr>
          <w:p>
            <w:pPr>
              <w:spacing w:after="6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投标价</w:t>
            </w:r>
          </w:p>
          <w:p>
            <w:pPr>
              <w:spacing w:after="6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（人民币）</w:t>
            </w:r>
          </w:p>
        </w:tc>
        <w:tc>
          <w:tcPr>
            <w:tcW w:w="1318" w:type="dxa"/>
            <w:vAlign w:val="center"/>
          </w:tcPr>
          <w:p>
            <w:pPr>
              <w:spacing w:after="6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auto"/>
                <w:sz w:val="24"/>
                <w:highlight w:val="none"/>
                <w:u w:val="single"/>
              </w:rPr>
            </w:pPr>
          </w:p>
        </w:tc>
        <w:tc>
          <w:tcPr>
            <w:tcW w:w="2896" w:type="dxa"/>
            <w:vAlign w:val="center"/>
          </w:tcPr>
          <w:p>
            <w:pPr>
              <w:spacing w:line="360" w:lineRule="auto"/>
              <w:jc w:val="center"/>
              <w:rPr>
                <w:rFonts w:hint="eastAsia" w:ascii="宋体" w:hAnsi="宋体" w:cs="宋体"/>
                <w:color w:val="auto"/>
                <w:sz w:val="24"/>
                <w:highlight w:val="none"/>
                <w:u w:val="single"/>
              </w:rPr>
            </w:pPr>
          </w:p>
        </w:tc>
        <w:tc>
          <w:tcPr>
            <w:tcW w:w="1318" w:type="dxa"/>
            <w:vAlign w:val="center"/>
          </w:tcPr>
          <w:p>
            <w:pPr>
              <w:spacing w:line="360" w:lineRule="auto"/>
              <w:jc w:val="center"/>
              <w:rPr>
                <w:rFonts w:hint="eastAsia" w:ascii="宋体" w:hAnsi="宋体" w:cs="宋体"/>
                <w:color w:val="auto"/>
                <w:sz w:val="24"/>
                <w:highlight w:val="none"/>
                <w:u w:val="single"/>
              </w:rPr>
            </w:pPr>
          </w:p>
        </w:tc>
      </w:tr>
    </w:tbl>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9"/>
        <w:rPr>
          <w:color w:val="auto"/>
          <w:highlight w:val="none"/>
        </w:rPr>
      </w:pPr>
    </w:p>
    <w:p>
      <w:pPr>
        <w:numPr>
          <w:ilvl w:val="0"/>
          <w:numId w:val="10"/>
        </w:numPr>
        <w:tabs>
          <w:tab w:val="left" w:pos="640"/>
          <w:tab w:val="clear" w:pos="425"/>
        </w:tabs>
        <w:ind w:left="625" w:hanging="625"/>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分项报价清单；</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分项报价清单</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p>
    <w:tbl>
      <w:tblPr>
        <w:tblStyle w:val="1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10"/>
              <w:spacing w:line="360" w:lineRule="auto"/>
              <w:jc w:val="center"/>
              <w:rPr>
                <w:rFonts w:hint="eastAsia" w:hAnsi="宋体" w:cs="宋体"/>
                <w:color w:val="auto"/>
                <w:sz w:val="24"/>
                <w:highlight w:val="none"/>
              </w:rPr>
            </w:pPr>
            <w:r>
              <w:rPr>
                <w:rFonts w:hint="eastAsia" w:hAnsi="宋体" w:cs="宋体"/>
                <w:color w:val="auto"/>
                <w:sz w:val="24"/>
                <w:highlight w:val="none"/>
              </w:rPr>
              <w:t>序号</w:t>
            </w:r>
          </w:p>
        </w:tc>
        <w:tc>
          <w:tcPr>
            <w:tcW w:w="2212" w:type="dxa"/>
            <w:vAlign w:val="center"/>
          </w:tcPr>
          <w:p>
            <w:pPr>
              <w:pStyle w:val="10"/>
              <w:spacing w:line="360" w:lineRule="auto"/>
              <w:jc w:val="center"/>
              <w:rPr>
                <w:rFonts w:hint="eastAsia" w:hAnsi="宋体" w:cs="宋体"/>
                <w:color w:val="auto"/>
                <w:sz w:val="24"/>
                <w:highlight w:val="none"/>
              </w:rPr>
            </w:pPr>
            <w:r>
              <w:rPr>
                <w:rFonts w:hint="eastAsia" w:hAnsi="宋体" w:cs="宋体"/>
                <w:color w:val="auto"/>
                <w:sz w:val="24"/>
                <w:highlight w:val="none"/>
              </w:rPr>
              <w:t>项目名称、内容</w:t>
            </w:r>
          </w:p>
        </w:tc>
        <w:tc>
          <w:tcPr>
            <w:tcW w:w="720" w:type="dxa"/>
            <w:vAlign w:val="center"/>
          </w:tcPr>
          <w:p>
            <w:pPr>
              <w:pStyle w:val="10"/>
              <w:spacing w:line="360" w:lineRule="auto"/>
              <w:jc w:val="center"/>
              <w:rPr>
                <w:rFonts w:hint="eastAsia" w:hAnsi="宋体" w:cs="宋体"/>
                <w:color w:val="auto"/>
                <w:sz w:val="24"/>
                <w:highlight w:val="none"/>
              </w:rPr>
            </w:pPr>
            <w:r>
              <w:rPr>
                <w:rFonts w:hint="eastAsia" w:hAnsi="宋体" w:cs="宋体"/>
                <w:color w:val="auto"/>
                <w:sz w:val="24"/>
                <w:highlight w:val="none"/>
              </w:rPr>
              <w:t>单位</w:t>
            </w:r>
          </w:p>
        </w:tc>
        <w:tc>
          <w:tcPr>
            <w:tcW w:w="1800" w:type="dxa"/>
            <w:vAlign w:val="center"/>
          </w:tcPr>
          <w:p>
            <w:pPr>
              <w:pStyle w:val="10"/>
              <w:spacing w:line="360" w:lineRule="auto"/>
              <w:jc w:val="center"/>
              <w:rPr>
                <w:rFonts w:hint="eastAsia" w:hAnsi="宋体" w:cs="宋体"/>
                <w:color w:val="auto"/>
                <w:sz w:val="24"/>
                <w:highlight w:val="none"/>
              </w:rPr>
            </w:pPr>
            <w:r>
              <w:rPr>
                <w:rFonts w:hint="eastAsia" w:hAnsi="宋体" w:cs="宋体"/>
                <w:color w:val="auto"/>
                <w:sz w:val="24"/>
                <w:highlight w:val="none"/>
              </w:rPr>
              <w:t>数量（工作量）</w:t>
            </w:r>
          </w:p>
        </w:tc>
        <w:tc>
          <w:tcPr>
            <w:tcW w:w="1620" w:type="dxa"/>
            <w:vAlign w:val="center"/>
          </w:tcPr>
          <w:p>
            <w:pPr>
              <w:pStyle w:val="10"/>
              <w:spacing w:line="360" w:lineRule="auto"/>
              <w:jc w:val="center"/>
              <w:rPr>
                <w:rFonts w:hint="eastAsia" w:hAnsi="宋体" w:cs="宋体"/>
                <w:color w:val="auto"/>
                <w:sz w:val="24"/>
                <w:highlight w:val="none"/>
              </w:rPr>
            </w:pPr>
            <w:r>
              <w:rPr>
                <w:rFonts w:hint="eastAsia" w:hAnsi="宋体" w:cs="宋体"/>
                <w:color w:val="auto"/>
                <w:sz w:val="24"/>
                <w:highlight w:val="none"/>
              </w:rPr>
              <w:t>单价</w:t>
            </w:r>
          </w:p>
        </w:tc>
        <w:tc>
          <w:tcPr>
            <w:tcW w:w="1620" w:type="dxa"/>
            <w:vAlign w:val="center"/>
          </w:tcPr>
          <w:p>
            <w:pPr>
              <w:pStyle w:val="10"/>
              <w:spacing w:line="360" w:lineRule="auto"/>
              <w:jc w:val="center"/>
              <w:rPr>
                <w:rFonts w:hint="eastAsia" w:hAnsi="宋体" w:cs="宋体"/>
                <w:color w:val="auto"/>
                <w:sz w:val="24"/>
                <w:highlight w:val="none"/>
              </w:rPr>
            </w:pPr>
            <w:r>
              <w:rPr>
                <w:rFonts w:hint="eastAsia" w:hAnsi="宋体" w:cs="宋体"/>
                <w:color w:val="auto"/>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10"/>
              <w:spacing w:line="360" w:lineRule="auto"/>
              <w:jc w:val="center"/>
              <w:rPr>
                <w:rFonts w:hint="eastAsia" w:hAnsi="宋体" w:cs="宋体"/>
                <w:color w:val="auto"/>
                <w:sz w:val="24"/>
                <w:highlight w:val="none"/>
              </w:rPr>
            </w:pPr>
            <w:r>
              <w:rPr>
                <w:rFonts w:hint="eastAsia" w:hAnsi="宋体" w:cs="宋体"/>
                <w:color w:val="auto"/>
                <w:sz w:val="24"/>
                <w:highlight w:val="none"/>
              </w:rPr>
              <w:t>1</w:t>
            </w:r>
          </w:p>
        </w:tc>
        <w:tc>
          <w:tcPr>
            <w:tcW w:w="2212" w:type="dxa"/>
            <w:vAlign w:val="center"/>
          </w:tcPr>
          <w:p>
            <w:pPr>
              <w:pStyle w:val="10"/>
              <w:spacing w:line="360" w:lineRule="auto"/>
              <w:jc w:val="center"/>
              <w:rPr>
                <w:rFonts w:hint="eastAsia" w:hAnsi="宋体" w:cs="宋体"/>
                <w:color w:val="auto"/>
                <w:sz w:val="24"/>
                <w:highlight w:val="none"/>
              </w:rPr>
            </w:pPr>
          </w:p>
        </w:tc>
        <w:tc>
          <w:tcPr>
            <w:tcW w:w="720" w:type="dxa"/>
            <w:vAlign w:val="center"/>
          </w:tcPr>
          <w:p>
            <w:pPr>
              <w:pStyle w:val="10"/>
              <w:spacing w:line="360" w:lineRule="auto"/>
              <w:jc w:val="center"/>
              <w:rPr>
                <w:rFonts w:hint="eastAsia" w:hAnsi="宋体" w:cs="宋体"/>
                <w:color w:val="auto"/>
                <w:sz w:val="24"/>
                <w:highlight w:val="none"/>
              </w:rPr>
            </w:pPr>
          </w:p>
        </w:tc>
        <w:tc>
          <w:tcPr>
            <w:tcW w:w="180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10"/>
              <w:spacing w:line="360" w:lineRule="auto"/>
              <w:jc w:val="center"/>
              <w:rPr>
                <w:rFonts w:hint="eastAsia" w:hAnsi="宋体" w:cs="宋体"/>
                <w:color w:val="auto"/>
                <w:sz w:val="24"/>
                <w:highlight w:val="none"/>
              </w:rPr>
            </w:pPr>
            <w:r>
              <w:rPr>
                <w:rFonts w:hint="eastAsia" w:hAnsi="宋体" w:cs="宋体"/>
                <w:color w:val="auto"/>
                <w:sz w:val="24"/>
                <w:highlight w:val="none"/>
              </w:rPr>
              <w:t>2</w:t>
            </w:r>
          </w:p>
        </w:tc>
        <w:tc>
          <w:tcPr>
            <w:tcW w:w="2212" w:type="dxa"/>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vAlign w:val="center"/>
          </w:tcPr>
          <w:p>
            <w:pPr>
              <w:pStyle w:val="10"/>
              <w:spacing w:line="360" w:lineRule="auto"/>
              <w:jc w:val="center"/>
              <w:rPr>
                <w:rFonts w:hint="eastAsia" w:hAnsi="宋体" w:cs="宋体"/>
                <w:color w:val="auto"/>
                <w:sz w:val="24"/>
                <w:highlight w:val="none"/>
              </w:rPr>
            </w:pPr>
          </w:p>
        </w:tc>
        <w:tc>
          <w:tcPr>
            <w:tcW w:w="180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028" w:type="dxa"/>
            <w:vAlign w:val="bottom"/>
          </w:tcPr>
          <w:p>
            <w:pPr>
              <w:pStyle w:val="10"/>
              <w:spacing w:line="360" w:lineRule="auto"/>
              <w:jc w:val="center"/>
              <w:rPr>
                <w:rFonts w:hint="eastAsia" w:hAnsi="宋体" w:cs="宋体"/>
                <w:color w:val="auto"/>
                <w:sz w:val="24"/>
                <w:highlight w:val="none"/>
              </w:rPr>
            </w:pPr>
            <w:r>
              <w:rPr>
                <w:rFonts w:hint="eastAsia" w:hAnsi="宋体" w:cs="宋体"/>
                <w:color w:val="auto"/>
                <w:sz w:val="24"/>
                <w:highlight w:val="none"/>
              </w:rPr>
              <w:t>3</w:t>
            </w:r>
          </w:p>
        </w:tc>
        <w:tc>
          <w:tcPr>
            <w:tcW w:w="2212" w:type="dxa"/>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vAlign w:val="center"/>
          </w:tcPr>
          <w:p>
            <w:pPr>
              <w:pStyle w:val="10"/>
              <w:spacing w:line="360" w:lineRule="auto"/>
              <w:jc w:val="center"/>
              <w:rPr>
                <w:rFonts w:hint="eastAsia" w:hAnsi="宋体" w:cs="宋体"/>
                <w:color w:val="auto"/>
                <w:sz w:val="24"/>
                <w:highlight w:val="none"/>
              </w:rPr>
            </w:pPr>
          </w:p>
        </w:tc>
        <w:tc>
          <w:tcPr>
            <w:tcW w:w="180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jc w:val="center"/>
        </w:trPr>
        <w:tc>
          <w:tcPr>
            <w:tcW w:w="1028" w:type="dxa"/>
            <w:vAlign w:val="bottom"/>
          </w:tcPr>
          <w:p>
            <w:pPr>
              <w:pStyle w:val="10"/>
              <w:spacing w:line="360" w:lineRule="auto"/>
              <w:jc w:val="center"/>
              <w:rPr>
                <w:rFonts w:hint="eastAsia" w:hAnsi="宋体" w:cs="宋体"/>
                <w:color w:val="auto"/>
                <w:sz w:val="24"/>
                <w:highlight w:val="none"/>
              </w:rPr>
            </w:pPr>
            <w:r>
              <w:rPr>
                <w:rFonts w:hint="eastAsia" w:hAnsi="宋体" w:cs="宋体"/>
                <w:color w:val="auto"/>
                <w:sz w:val="24"/>
                <w:highlight w:val="none"/>
              </w:rPr>
              <w:t>4</w:t>
            </w:r>
          </w:p>
        </w:tc>
        <w:tc>
          <w:tcPr>
            <w:tcW w:w="2212" w:type="dxa"/>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vAlign w:val="center"/>
          </w:tcPr>
          <w:p>
            <w:pPr>
              <w:pStyle w:val="10"/>
              <w:spacing w:line="360" w:lineRule="auto"/>
              <w:jc w:val="center"/>
              <w:rPr>
                <w:rFonts w:hint="eastAsia" w:hAnsi="宋体" w:cs="宋体"/>
                <w:color w:val="auto"/>
                <w:sz w:val="24"/>
                <w:highlight w:val="none"/>
              </w:rPr>
            </w:pPr>
          </w:p>
        </w:tc>
        <w:tc>
          <w:tcPr>
            <w:tcW w:w="180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color w:val="auto"/>
                <w:sz w:val="24"/>
                <w:highlight w:val="none"/>
              </w:rPr>
            </w:pPr>
            <w:r>
              <w:rPr>
                <w:rFonts w:hint="eastAsia" w:hAnsi="宋体" w:cs="宋体"/>
                <w:color w:val="auto"/>
                <w:sz w:val="24"/>
                <w:highlight w:val="none"/>
              </w:rPr>
              <w:t>5</w:t>
            </w:r>
          </w:p>
        </w:tc>
        <w:tc>
          <w:tcPr>
            <w:tcW w:w="2212" w:type="dxa"/>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vAlign w:val="center"/>
          </w:tcPr>
          <w:p>
            <w:pPr>
              <w:pStyle w:val="10"/>
              <w:spacing w:line="360" w:lineRule="auto"/>
              <w:jc w:val="center"/>
              <w:rPr>
                <w:rFonts w:hint="eastAsia" w:hAnsi="宋体" w:cs="宋体"/>
                <w:color w:val="auto"/>
                <w:sz w:val="24"/>
                <w:highlight w:val="none"/>
              </w:rPr>
            </w:pPr>
          </w:p>
        </w:tc>
        <w:tc>
          <w:tcPr>
            <w:tcW w:w="180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color w:val="auto"/>
                <w:sz w:val="24"/>
                <w:highlight w:val="none"/>
              </w:rPr>
            </w:pPr>
            <w:r>
              <w:rPr>
                <w:rFonts w:hint="eastAsia" w:hAnsi="宋体" w:cs="宋体"/>
                <w:color w:val="auto"/>
                <w:sz w:val="24"/>
                <w:highlight w:val="none"/>
              </w:rPr>
              <w:t>6</w:t>
            </w:r>
          </w:p>
        </w:tc>
        <w:tc>
          <w:tcPr>
            <w:tcW w:w="2212" w:type="dxa"/>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vAlign w:val="center"/>
          </w:tcPr>
          <w:p>
            <w:pPr>
              <w:pStyle w:val="10"/>
              <w:spacing w:line="360" w:lineRule="auto"/>
              <w:jc w:val="center"/>
              <w:rPr>
                <w:rFonts w:hint="eastAsia" w:hAnsi="宋体" w:cs="宋体"/>
                <w:color w:val="auto"/>
                <w:sz w:val="24"/>
                <w:highlight w:val="none"/>
              </w:rPr>
            </w:pPr>
          </w:p>
        </w:tc>
        <w:tc>
          <w:tcPr>
            <w:tcW w:w="180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color w:val="auto"/>
                <w:sz w:val="24"/>
                <w:highlight w:val="none"/>
              </w:rPr>
            </w:pPr>
            <w:r>
              <w:rPr>
                <w:rFonts w:hint="eastAsia" w:hAnsi="宋体" w:cs="宋体"/>
                <w:color w:val="auto"/>
                <w:sz w:val="24"/>
                <w:highlight w:val="none"/>
              </w:rPr>
              <w:t>7</w:t>
            </w:r>
          </w:p>
        </w:tc>
        <w:tc>
          <w:tcPr>
            <w:tcW w:w="2212" w:type="dxa"/>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vAlign w:val="center"/>
          </w:tcPr>
          <w:p>
            <w:pPr>
              <w:pStyle w:val="10"/>
              <w:spacing w:line="360" w:lineRule="auto"/>
              <w:jc w:val="center"/>
              <w:rPr>
                <w:rFonts w:hint="eastAsia" w:hAnsi="宋体" w:cs="宋体"/>
                <w:color w:val="auto"/>
                <w:sz w:val="24"/>
                <w:highlight w:val="none"/>
              </w:rPr>
            </w:pPr>
          </w:p>
        </w:tc>
        <w:tc>
          <w:tcPr>
            <w:tcW w:w="180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color w:val="auto"/>
                <w:sz w:val="24"/>
                <w:highlight w:val="none"/>
              </w:rPr>
            </w:pPr>
            <w:r>
              <w:rPr>
                <w:rFonts w:hint="eastAsia" w:hAnsi="宋体" w:cs="宋体"/>
                <w:color w:val="auto"/>
                <w:sz w:val="24"/>
                <w:highlight w:val="none"/>
              </w:rPr>
              <w:t>8</w:t>
            </w:r>
          </w:p>
        </w:tc>
        <w:tc>
          <w:tcPr>
            <w:tcW w:w="2212" w:type="dxa"/>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vAlign w:val="center"/>
          </w:tcPr>
          <w:p>
            <w:pPr>
              <w:pStyle w:val="10"/>
              <w:spacing w:line="360" w:lineRule="auto"/>
              <w:jc w:val="center"/>
              <w:rPr>
                <w:rFonts w:hint="eastAsia" w:hAnsi="宋体" w:cs="宋体"/>
                <w:color w:val="auto"/>
                <w:sz w:val="24"/>
                <w:highlight w:val="none"/>
              </w:rPr>
            </w:pPr>
          </w:p>
        </w:tc>
        <w:tc>
          <w:tcPr>
            <w:tcW w:w="180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color w:val="auto"/>
                <w:sz w:val="24"/>
                <w:highlight w:val="none"/>
              </w:rPr>
            </w:pPr>
            <w:r>
              <w:rPr>
                <w:rFonts w:hint="eastAsia" w:hAnsi="宋体" w:cs="宋体"/>
                <w:color w:val="auto"/>
                <w:sz w:val="24"/>
                <w:highlight w:val="none"/>
              </w:rPr>
              <w:t>9</w:t>
            </w:r>
          </w:p>
        </w:tc>
        <w:tc>
          <w:tcPr>
            <w:tcW w:w="2212" w:type="dxa"/>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vAlign w:val="center"/>
          </w:tcPr>
          <w:p>
            <w:pPr>
              <w:pStyle w:val="10"/>
              <w:spacing w:line="360" w:lineRule="auto"/>
              <w:jc w:val="center"/>
              <w:rPr>
                <w:rFonts w:hint="eastAsia" w:hAnsi="宋体" w:cs="宋体"/>
                <w:color w:val="auto"/>
                <w:sz w:val="24"/>
                <w:highlight w:val="none"/>
              </w:rPr>
            </w:pPr>
          </w:p>
        </w:tc>
        <w:tc>
          <w:tcPr>
            <w:tcW w:w="180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int="eastAsia" w:hAnsi="宋体" w:cs="宋体"/>
                <w:color w:val="auto"/>
                <w:sz w:val="24"/>
                <w:highlight w:val="none"/>
              </w:rPr>
            </w:pPr>
            <w:r>
              <w:rPr>
                <w:rFonts w:hint="eastAsia" w:hAnsi="宋体" w:cs="宋体"/>
                <w:color w:val="auto"/>
                <w:sz w:val="24"/>
                <w:highlight w:val="none"/>
              </w:rPr>
              <w:t>…</w:t>
            </w:r>
          </w:p>
        </w:tc>
        <w:tc>
          <w:tcPr>
            <w:tcW w:w="2212" w:type="dxa"/>
            <w:vAlign w:val="center"/>
          </w:tcPr>
          <w:p>
            <w:pPr>
              <w:pStyle w:val="10"/>
              <w:spacing w:line="360" w:lineRule="auto"/>
              <w:jc w:val="center"/>
              <w:rPr>
                <w:rFonts w:hint="eastAsia" w:hAnsi="宋体" w:cs="宋体"/>
                <w:color w:val="auto"/>
                <w:sz w:val="24"/>
                <w:highlight w:val="none"/>
              </w:rPr>
            </w:pPr>
            <w:r>
              <w:rPr>
                <w:rFonts w:hint="eastAsia" w:hAnsi="宋体" w:cs="宋体"/>
                <w:color w:val="auto"/>
                <w:sz w:val="24"/>
                <w:highlight w:val="none"/>
              </w:rPr>
              <w:t>…</w:t>
            </w:r>
          </w:p>
        </w:tc>
        <w:tc>
          <w:tcPr>
            <w:tcW w:w="720" w:type="dxa"/>
            <w:vAlign w:val="center"/>
          </w:tcPr>
          <w:p>
            <w:pPr>
              <w:pStyle w:val="10"/>
              <w:spacing w:line="360" w:lineRule="auto"/>
              <w:jc w:val="center"/>
              <w:rPr>
                <w:rFonts w:hint="eastAsia" w:hAnsi="宋体" w:cs="宋体"/>
                <w:color w:val="auto"/>
                <w:sz w:val="24"/>
                <w:highlight w:val="none"/>
              </w:rPr>
            </w:pPr>
          </w:p>
        </w:tc>
        <w:tc>
          <w:tcPr>
            <w:tcW w:w="180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c>
          <w:tcPr>
            <w:tcW w:w="1620" w:type="dxa"/>
            <w:vAlign w:val="center"/>
          </w:tcPr>
          <w:p>
            <w:pPr>
              <w:pStyle w:val="10"/>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10"/>
              <w:spacing w:line="360" w:lineRule="auto"/>
              <w:rPr>
                <w:rFonts w:hint="eastAsia" w:hAnsi="宋体" w:cs="宋体"/>
                <w:color w:val="auto"/>
                <w:sz w:val="24"/>
                <w:highlight w:val="none"/>
              </w:rPr>
            </w:pPr>
            <w:r>
              <w:rPr>
                <w:rFonts w:hint="eastAsia" w:hAnsi="宋体" w:cs="宋体"/>
                <w:color w:val="auto"/>
                <w:sz w:val="24"/>
                <w:highlight w:val="none"/>
              </w:rPr>
              <w:t>报价合计</w:t>
            </w:r>
          </w:p>
        </w:tc>
      </w:tr>
    </w:tbl>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投标供应商授权代表： ________________________</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pacing w:line="360" w:lineRule="auto"/>
        <w:outlineLvl w:val="2"/>
        <w:rPr>
          <w:rFonts w:hint="eastAsia" w:ascii="宋体" w:hAnsi="宋体" w:cs="宋体"/>
          <w:b/>
          <w:bCs/>
          <w:color w:val="auto"/>
          <w:sz w:val="24"/>
          <w:highlight w:val="none"/>
          <w:u w:val="wav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（二）商务部分</w:t>
      </w:r>
    </w:p>
    <w:p>
      <w:pPr>
        <w:numPr>
          <w:ilvl w:val="0"/>
          <w:numId w:val="11"/>
        </w:numPr>
        <w:tabs>
          <w:tab w:val="left" w:pos="6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投标响应书；</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投标响应书</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p>
    <w:p>
      <w:pPr>
        <w:spacing w:line="360" w:lineRule="auto"/>
        <w:ind w:firstLine="494" w:firstLineChars="206"/>
        <w:rPr>
          <w:rFonts w:hint="eastAsia"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项目采购的邀请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（招标文件编号         ），签字代表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（全名、职务）经正式授权并代表供应商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（供应商方名称、地址）提交</w:t>
      </w:r>
      <w:r>
        <w:rPr>
          <w:rFonts w:hint="eastAsia" w:ascii="宋体" w:hAnsi="宋体" w:cs="宋体"/>
          <w:b/>
          <w:color w:val="auto"/>
          <w:sz w:val="24"/>
          <w:highlight w:val="none"/>
        </w:rPr>
        <w:t>一份正本四份副本以及</w:t>
      </w:r>
      <w:bookmarkStart w:id="72" w:name="OLE_LINK2"/>
      <w:r>
        <w:rPr>
          <w:rFonts w:hint="eastAsia" w:ascii="宋体" w:hAnsi="宋体" w:cs="宋体"/>
          <w:b/>
          <w:color w:val="auto"/>
          <w:sz w:val="24"/>
          <w:highlight w:val="none"/>
        </w:rPr>
        <w:t>一份PDF格式的正本投标文件扫描件的</w:t>
      </w:r>
      <w:bookmarkEnd w:id="72"/>
      <w:r>
        <w:rPr>
          <w:rFonts w:hint="eastAsia" w:ascii="宋体" w:hAnsi="宋体" w:cs="宋体"/>
          <w:color w:val="auto"/>
          <w:sz w:val="24"/>
          <w:highlight w:val="none"/>
        </w:rPr>
        <w:t>投标文件。</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据此函，签字代表宣布同意如下：</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1、供应商方将按招标文件的规定履行合同责任和义务。</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3、与本投标项目有关的一切正式往来通讯请寄：</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邮编：</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邮箱：</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投标供应商授权代表、职务（印刷体）：</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投标供应商名称：</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（公  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rPr>
          <w:rFonts w:hint="eastAsia" w:ascii="宋体" w:hAnsi="宋体" w:cs="宋体"/>
          <w:b/>
          <w:bCs/>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pStyle w:val="9"/>
        <w:rPr>
          <w:color w:val="auto"/>
          <w:highlight w:val="none"/>
        </w:rPr>
      </w:pPr>
    </w:p>
    <w:p>
      <w:pPr>
        <w:numPr>
          <w:ilvl w:val="0"/>
          <w:numId w:val="11"/>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auto"/>
          <w:sz w:val="24"/>
          <w:highlight w:val="none"/>
          <w:lang w:val="fr-CH"/>
        </w:rPr>
        <w:br w:type="page"/>
      </w:r>
    </w:p>
    <w:p>
      <w:pPr>
        <w:numPr>
          <w:ilvl w:val="0"/>
          <w:numId w:val="11"/>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政府采购投标及履约承诺函；</w:t>
      </w:r>
    </w:p>
    <w:p>
      <w:pPr>
        <w:spacing w:line="360" w:lineRule="auto"/>
        <w:jc w:val="center"/>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政府采购投标及履约承诺函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我单位深知本项目对贵局的重要性和紧迫性，亦了解贵局对廉政建设的相关要求，因此我单位承诺如下：</w:t>
      </w:r>
    </w:p>
    <w:p>
      <w:pPr>
        <w:numPr>
          <w:ilvl w:val="0"/>
          <w:numId w:val="12"/>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我单位本招标项目所提供的货物或服务未侵犯知识产权。</w:t>
      </w:r>
    </w:p>
    <w:p>
      <w:pPr>
        <w:widowControl/>
        <w:numPr>
          <w:ilvl w:val="0"/>
          <w:numId w:val="12"/>
        </w:numPr>
        <w:shd w:val="clear" w:color="auto" w:fill="FFFFFF"/>
        <w:spacing w:line="360" w:lineRule="auto"/>
        <w:ind w:right="-4"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2"/>
        </w:numPr>
        <w:shd w:val="clear" w:color="auto" w:fill="FFFFFF"/>
        <w:spacing w:line="360" w:lineRule="auto"/>
        <w:ind w:right="-4"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及其法定代表人近三年内（投标人成立不足三年的可从成立之日起算）无行贿犯罪记录；</w:t>
      </w:r>
    </w:p>
    <w:p>
      <w:pPr>
        <w:numPr>
          <w:ilvl w:val="0"/>
          <w:numId w:val="12"/>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我单位具备《中华人民共和国政府采购法》第二十二条第一款的条件。</w:t>
      </w:r>
    </w:p>
    <w:p>
      <w:pPr>
        <w:numPr>
          <w:ilvl w:val="0"/>
          <w:numId w:val="12"/>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bidi="ar"/>
        </w:rPr>
        <w:t>符合财政部和深圳市财政局关于诚信管理的要求，</w:t>
      </w:r>
      <w:r>
        <w:rPr>
          <w:rFonts w:hint="eastAsia" w:ascii="宋体" w:hAnsi="宋体" w:cs="宋体"/>
          <w:color w:val="auto"/>
          <w:kern w:val="0"/>
          <w:sz w:val="24"/>
          <w:highlight w:val="none"/>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auto"/>
          <w:sz w:val="24"/>
          <w:highlight w:val="none"/>
        </w:rPr>
        <w:t>。</w:t>
      </w:r>
    </w:p>
    <w:p>
      <w:pPr>
        <w:numPr>
          <w:ilvl w:val="0"/>
          <w:numId w:val="12"/>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2"/>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2"/>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我单位如果中标，做到诚实守信，依照本项目招标文件需求内容、签署的采购合同及本单位在投标中所作的一切承诺履约；不非法转包、分包。</w:t>
      </w:r>
    </w:p>
    <w:p>
      <w:pPr>
        <w:numPr>
          <w:ilvl w:val="0"/>
          <w:numId w:val="12"/>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2"/>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2"/>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我单位承诺未参与本项目的采购需求、技术指标、商务指标等内容的设定，不存在对其他投标单位不公平的行为。</w:t>
      </w:r>
    </w:p>
    <w:p>
      <w:pPr>
        <w:numPr>
          <w:ilvl w:val="0"/>
          <w:numId w:val="12"/>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以上承诺，如有违反，愿依照国家相关法律处理，并承担由此给采购人带来的损失。</w:t>
      </w:r>
    </w:p>
    <w:p>
      <w:pPr>
        <w:spacing w:line="360" w:lineRule="auto"/>
        <w:ind w:firstLine="480" w:firstLineChars="200"/>
        <w:rPr>
          <w:rFonts w:hint="eastAsia" w:ascii="宋体" w:hAnsi="宋体" w:cs="宋体"/>
          <w:color w:val="auto"/>
          <w:sz w:val="24"/>
          <w:highlight w:val="none"/>
        </w:rPr>
      </w:pPr>
    </w:p>
    <w:p>
      <w:pPr>
        <w:tabs>
          <w:tab w:val="left" w:pos="4860"/>
        </w:tabs>
        <w:adjustRightInd w:val="0"/>
        <w:snapToGrid w:val="0"/>
        <w:spacing w:line="360" w:lineRule="auto"/>
        <w:ind w:right="105" w:rightChars="50" w:firstLine="240" w:firstLineChars="100"/>
        <w:rPr>
          <w:rFonts w:hint="eastAsia" w:ascii="宋体" w:hAnsi="宋体" w:cs="宋体"/>
          <w:color w:val="auto"/>
          <w:sz w:val="24"/>
          <w:highlight w:val="none"/>
        </w:rPr>
      </w:pPr>
      <w:r>
        <w:rPr>
          <w:rFonts w:hint="eastAsia" w:ascii="宋体" w:hAnsi="宋体" w:cs="宋体"/>
          <w:color w:val="auto"/>
          <w:sz w:val="24"/>
          <w:highlight w:val="none"/>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auto"/>
          <w:sz w:val="24"/>
          <w:highlight w:val="none"/>
        </w:rPr>
      </w:pPr>
      <w:r>
        <w:rPr>
          <w:rFonts w:hint="eastAsia" w:ascii="宋体" w:hAnsi="宋体" w:cs="宋体"/>
          <w:color w:val="auto"/>
          <w:sz w:val="24"/>
          <w:highlight w:val="none"/>
        </w:rPr>
        <w:t>日期：   年  月   日</w:t>
      </w:r>
    </w:p>
    <w:p>
      <w:pPr>
        <w:numPr>
          <w:ilvl w:val="0"/>
          <w:numId w:val="11"/>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hAnsi="宋体" w:cs="宋体"/>
          <w:color w:val="auto"/>
          <w:highlight w:val="none"/>
        </w:rPr>
        <w:br w:type="page"/>
      </w:r>
      <w:r>
        <w:rPr>
          <w:rFonts w:hint="eastAsia" w:ascii="宋体" w:hAnsi="宋体" w:cs="宋体"/>
          <w:color w:val="auto"/>
          <w:sz w:val="24"/>
          <w:highlight w:val="none"/>
        </w:rPr>
        <w:t>关于资格的声明函；</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关于资格的声明函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u w:val="single"/>
        </w:rPr>
        <w:t xml:space="preserve"> （ 投标人名称）    </w:t>
      </w:r>
      <w:r>
        <w:rPr>
          <w:rFonts w:hint="eastAsia" w:ascii="宋体" w:hAnsi="宋体" w:cs="宋体"/>
          <w:color w:val="auto"/>
          <w:sz w:val="24"/>
          <w:highlight w:val="none"/>
        </w:rPr>
        <w:t xml:space="preserve"> 参与了</w:t>
      </w:r>
      <w:r>
        <w:rPr>
          <w:rFonts w:hint="eastAsia" w:ascii="宋体" w:hAnsi="宋体" w:cs="宋体"/>
          <w:color w:val="auto"/>
          <w:sz w:val="24"/>
          <w:highlight w:val="none"/>
          <w:u w:val="single"/>
        </w:rPr>
        <w:t xml:space="preserve"> （项目名称 、招标编号） </w:t>
      </w:r>
      <w:r>
        <w:rPr>
          <w:rFonts w:hint="eastAsia" w:ascii="宋体" w:hAnsi="宋体" w:cs="宋体"/>
          <w:color w:val="auto"/>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特此承诺！</w:t>
      </w:r>
    </w:p>
    <w:p>
      <w:pPr>
        <w:spacing w:line="360" w:lineRule="auto"/>
        <w:ind w:left="420"/>
        <w:rPr>
          <w:rFonts w:hint="eastAsia" w:ascii="宋体" w:hAnsi="宋体" w:cs="宋体"/>
          <w:color w:val="auto"/>
          <w:sz w:val="24"/>
          <w:highlight w:val="none"/>
        </w:rPr>
      </w:pPr>
    </w:p>
    <w:p>
      <w:pPr>
        <w:tabs>
          <w:tab w:val="left" w:pos="4860"/>
        </w:tabs>
        <w:adjustRightInd w:val="0"/>
        <w:snapToGrid w:val="0"/>
        <w:spacing w:line="360" w:lineRule="auto"/>
        <w:ind w:right="105" w:rightChars="50"/>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日期：   年     月     日</w:t>
      </w:r>
    </w:p>
    <w:p>
      <w:pPr>
        <w:numPr>
          <w:ilvl w:val="0"/>
          <w:numId w:val="11"/>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法定代表人证明书及身份证明；</w:t>
      </w:r>
    </w:p>
    <w:p>
      <w:pPr>
        <w:spacing w:before="120" w:after="120" w:line="360" w:lineRule="auto"/>
        <w:jc w:val="center"/>
        <w:rPr>
          <w:rFonts w:hint="eastAsia" w:ascii="宋体" w:hAnsi="宋体" w:cs="宋体"/>
          <w:b/>
          <w:color w:val="auto"/>
          <w:sz w:val="24"/>
          <w:highlight w:val="none"/>
        </w:rPr>
      </w:pPr>
    </w:p>
    <w:p>
      <w:pPr>
        <w:spacing w:before="120" w:after="120" w:line="360" w:lineRule="auto"/>
        <w:jc w:val="center"/>
        <w:rPr>
          <w:rFonts w:hint="eastAsia" w:ascii="宋体" w:hAnsi="宋体" w:cs="宋体"/>
          <w:color w:val="auto"/>
          <w:sz w:val="24"/>
          <w:highlight w:val="none"/>
          <w:u w:val="single"/>
        </w:rPr>
      </w:pPr>
      <w:r>
        <w:rPr>
          <w:rFonts w:hint="eastAsia" w:ascii="宋体" w:hAnsi="宋体" w:cs="宋体"/>
          <w:b/>
          <w:color w:val="auto"/>
          <w:sz w:val="24"/>
          <w:highlight w:val="none"/>
        </w:rPr>
        <w:t>法定代表人证明书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同志，现任我单位职务，为法定代表人，特此证明。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签发日期：             有效日期：         单位：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附：代表人性别：   年龄：      身份证号码：</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主营（产）：</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兼营（产）：</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进口物品经营许可证号码：</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主营：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兼营：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说明：1、法定代表人为企业事业单位、国家机关、社会团体的主要行政负责人。</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2、内容必须填写真实、清楚，涂改无效，不得转让、买卖</w:t>
      </w:r>
      <w:r>
        <w:rPr>
          <w:rFonts w:hint="eastAsia" w:ascii="宋体" w:hAnsi="宋体" w:cs="宋体"/>
          <w:color w:val="auto"/>
          <w:sz w:val="24"/>
          <w:highlight w:val="none"/>
          <w:lang w:eastAsia="zh-CN"/>
        </w:rPr>
        <w:t>。</w:t>
      </w:r>
    </w:p>
    <w:p>
      <w:pPr>
        <w:tabs>
          <w:tab w:val="left" w:pos="37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法定代表人（签字或签章）：</w:t>
      </w:r>
    </w:p>
    <w:p>
      <w:pPr>
        <w:spacing w:before="120" w:after="120"/>
        <w:jc w:val="left"/>
        <w:rPr>
          <w:rFonts w:hint="eastAsia" w:ascii="宋体" w:hAnsi="宋体" w:cs="宋体"/>
          <w:color w:val="auto"/>
          <w:szCs w:val="21"/>
          <w:highlight w:val="none"/>
        </w:rPr>
      </w:pPr>
    </w:p>
    <w:p>
      <w:pPr>
        <w:spacing w:before="120" w:after="12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附身份证正反面</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0"/>
              <w:spacing w:line="360" w:lineRule="auto"/>
              <w:rPr>
                <w:rFonts w:ascii="Arial Narrow" w:hAnsi="Arial Narrow"/>
                <w:b/>
                <w:bCs/>
                <w:color w:val="auto"/>
                <w:szCs w:val="21"/>
                <w:highlight w:val="none"/>
              </w:rPr>
            </w:pPr>
          </w:p>
        </w:tc>
        <w:tc>
          <w:tcPr>
            <w:tcW w:w="4240" w:type="dxa"/>
          </w:tcPr>
          <w:p>
            <w:pPr>
              <w:pStyle w:val="10"/>
              <w:spacing w:line="360" w:lineRule="auto"/>
              <w:rPr>
                <w:rFonts w:ascii="Arial Narrow" w:hAnsi="Arial Narrow"/>
                <w:b/>
                <w:bCs/>
                <w:color w:val="auto"/>
                <w:szCs w:val="21"/>
                <w:highlight w:val="none"/>
              </w:rPr>
            </w:pPr>
          </w:p>
        </w:tc>
      </w:tr>
    </w:tbl>
    <w:p>
      <w:pPr>
        <w:tabs>
          <w:tab w:val="left" w:pos="640"/>
          <w:tab w:val="left" w:pos="1260"/>
          <w:tab w:val="left" w:pos="1418"/>
        </w:tabs>
        <w:spacing w:line="360" w:lineRule="auto"/>
        <w:rPr>
          <w:color w:val="auto"/>
          <w:szCs w:val="21"/>
          <w:highlight w:val="none"/>
        </w:rPr>
      </w:pPr>
    </w:p>
    <w:p>
      <w:pPr>
        <w:tabs>
          <w:tab w:val="left" w:pos="640"/>
          <w:tab w:val="left" w:pos="1260"/>
          <w:tab w:val="left" w:pos="1418"/>
        </w:tabs>
        <w:spacing w:line="360" w:lineRule="auto"/>
        <w:rPr>
          <w:color w:val="auto"/>
          <w:szCs w:val="21"/>
          <w:highlight w:val="none"/>
          <w:lang w:val="fr-CH"/>
        </w:rPr>
      </w:pPr>
      <w:bookmarkStart w:id="73" w:name="OLE_LINK4"/>
      <w:r>
        <w:rPr>
          <w:rFonts w:hint="eastAsia"/>
          <w:color w:val="auto"/>
          <w:szCs w:val="21"/>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bookmarkEnd w:id="73"/>
    </w:p>
    <w:p>
      <w:pPr>
        <w:numPr>
          <w:ilvl w:val="0"/>
          <w:numId w:val="11"/>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法定代表人授权书及身份证明；</w:t>
      </w:r>
    </w:p>
    <w:p>
      <w:pPr>
        <w:pStyle w:val="10"/>
        <w:spacing w:line="360" w:lineRule="auto"/>
        <w:jc w:val="center"/>
        <w:rPr>
          <w:rFonts w:hint="eastAsia" w:hAnsi="宋体" w:cs="宋体"/>
          <w:b/>
          <w:color w:val="auto"/>
          <w:sz w:val="24"/>
          <w:highlight w:val="none"/>
        </w:rPr>
      </w:pPr>
    </w:p>
    <w:p>
      <w:pPr>
        <w:pStyle w:val="10"/>
        <w:spacing w:line="360" w:lineRule="auto"/>
        <w:jc w:val="center"/>
        <w:rPr>
          <w:rFonts w:hint="eastAsia" w:hAnsi="宋体" w:cs="宋体"/>
          <w:b/>
          <w:color w:val="auto"/>
          <w:sz w:val="24"/>
          <w:highlight w:val="none"/>
        </w:rPr>
      </w:pPr>
      <w:r>
        <w:rPr>
          <w:rFonts w:hint="eastAsia" w:hAnsi="宋体" w:cs="宋体"/>
          <w:b/>
          <w:color w:val="auto"/>
          <w:sz w:val="24"/>
          <w:highlight w:val="none"/>
        </w:rPr>
        <w:t>法定代表人授权书</w:t>
      </w:r>
    </w:p>
    <w:p>
      <w:pPr>
        <w:pStyle w:val="10"/>
        <w:spacing w:line="360" w:lineRule="auto"/>
        <w:rPr>
          <w:rFonts w:hint="eastAsia" w:hAnsi="宋体" w:cs="宋体"/>
          <w:color w:val="auto"/>
          <w:sz w:val="24"/>
          <w:highlight w:val="none"/>
        </w:rPr>
      </w:pPr>
    </w:p>
    <w:p>
      <w:pPr>
        <w:pStyle w:val="10"/>
        <w:spacing w:line="360" w:lineRule="auto"/>
        <w:rPr>
          <w:rFonts w:hint="eastAsia" w:hAnsi="宋体" w:cs="宋体"/>
          <w:color w:val="auto"/>
          <w:sz w:val="24"/>
          <w:highlight w:val="none"/>
        </w:rPr>
      </w:pPr>
      <w:r>
        <w:rPr>
          <w:rFonts w:hint="eastAsia" w:hAnsi="宋体" w:cs="宋体"/>
          <w:b/>
          <w:color w:val="auto"/>
          <w:sz w:val="24"/>
          <w:highlight w:val="none"/>
        </w:rPr>
        <w:t>深圳市前海深港现代服务业合作区管理局：</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本授权书声明：注册于</w:t>
      </w:r>
      <w:r>
        <w:rPr>
          <w:rFonts w:hint="eastAsia" w:hAnsi="宋体" w:cs="宋体"/>
          <w:color w:val="auto"/>
          <w:sz w:val="24"/>
          <w:highlight w:val="none"/>
          <w:u w:val="single"/>
        </w:rPr>
        <w:t xml:space="preserve">     </w:t>
      </w:r>
      <w:r>
        <w:rPr>
          <w:rFonts w:hint="eastAsia" w:hAnsi="宋体" w:cs="宋体"/>
          <w:color w:val="auto"/>
          <w:sz w:val="24"/>
          <w:highlight w:val="none"/>
        </w:rPr>
        <w:t>（国家或地区）的</w:t>
      </w:r>
      <w:r>
        <w:rPr>
          <w:rFonts w:hint="eastAsia" w:hAnsi="宋体" w:cs="宋体"/>
          <w:color w:val="auto"/>
          <w:sz w:val="24"/>
          <w:highlight w:val="none"/>
          <w:u w:val="single"/>
        </w:rPr>
        <w:t xml:space="preserve">     </w:t>
      </w:r>
      <w:r>
        <w:rPr>
          <w:rFonts w:hint="eastAsia" w:hAnsi="宋体" w:cs="宋体"/>
          <w:color w:val="auto"/>
          <w:sz w:val="24"/>
          <w:highlight w:val="none"/>
        </w:rPr>
        <w:t>（投标人名称）的在下面签字的</w:t>
      </w:r>
      <w:r>
        <w:rPr>
          <w:rFonts w:hint="eastAsia" w:hAnsi="宋体" w:cs="宋体"/>
          <w:color w:val="auto"/>
          <w:sz w:val="24"/>
          <w:highlight w:val="none"/>
          <w:u w:val="single"/>
        </w:rPr>
        <w:t xml:space="preserve">     </w:t>
      </w:r>
      <w:r>
        <w:rPr>
          <w:rFonts w:hint="eastAsia" w:hAnsi="宋体" w:cs="宋体"/>
          <w:color w:val="auto"/>
          <w:sz w:val="24"/>
          <w:highlight w:val="none"/>
        </w:rPr>
        <w:t xml:space="preserve"> （法定代表人姓名、职务）代表本公司授权在下面签字的</w:t>
      </w:r>
      <w:r>
        <w:rPr>
          <w:rFonts w:hint="eastAsia" w:hAnsi="宋体" w:cs="宋体"/>
          <w:color w:val="auto"/>
          <w:sz w:val="24"/>
          <w:highlight w:val="none"/>
          <w:u w:val="single"/>
        </w:rPr>
        <w:t xml:space="preserve">     </w:t>
      </w:r>
      <w:r>
        <w:rPr>
          <w:rFonts w:hint="eastAsia" w:hAnsi="宋体" w:cs="宋体"/>
          <w:color w:val="auto"/>
          <w:sz w:val="24"/>
          <w:highlight w:val="none"/>
        </w:rPr>
        <w:t>（被授权人的姓名、职务）为本公司的合法代表人，就</w:t>
      </w:r>
      <w:r>
        <w:rPr>
          <w:rFonts w:hint="eastAsia" w:hAnsi="宋体" w:cs="宋体"/>
          <w:color w:val="auto"/>
          <w:sz w:val="24"/>
          <w:highlight w:val="none"/>
          <w:u w:val="single"/>
        </w:rPr>
        <w:t xml:space="preserve">       </w:t>
      </w:r>
      <w:r>
        <w:rPr>
          <w:rFonts w:hint="eastAsia" w:hAnsi="宋体" w:cs="宋体"/>
          <w:color w:val="auto"/>
          <w:sz w:val="24"/>
          <w:highlight w:val="none"/>
        </w:rPr>
        <w:t>[招标编号为：</w:t>
      </w:r>
      <w:r>
        <w:rPr>
          <w:rFonts w:hint="eastAsia" w:hAnsi="宋体" w:cs="宋体"/>
          <w:color w:val="auto"/>
          <w:sz w:val="24"/>
          <w:highlight w:val="none"/>
          <w:u w:val="single"/>
        </w:rPr>
        <w:t xml:space="preserve">     </w:t>
      </w:r>
      <w:r>
        <w:rPr>
          <w:rFonts w:hint="eastAsia" w:hAnsi="宋体" w:cs="宋体"/>
          <w:color w:val="auto"/>
          <w:sz w:val="24"/>
          <w:highlight w:val="none"/>
        </w:rPr>
        <w:t>]的投标和合同执行，以我方的名义处理一切与之有关的事宜。</w:t>
      </w:r>
    </w:p>
    <w:p>
      <w:pPr>
        <w:pStyle w:val="10"/>
        <w:spacing w:line="360" w:lineRule="auto"/>
        <w:rPr>
          <w:rFonts w:hint="eastAsia" w:hAnsi="宋体" w:cs="宋体"/>
          <w:color w:val="auto"/>
          <w:sz w:val="24"/>
          <w:highlight w:val="none"/>
        </w:rPr>
      </w:pPr>
    </w:p>
    <w:p>
      <w:pPr>
        <w:spacing w:line="360" w:lineRule="auto"/>
        <w:ind w:firstLine="570"/>
        <w:rPr>
          <w:rFonts w:hint="eastAsia"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日签字生效，特此声明。</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法定代表人（签字或签章）：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被授权人代表（签字或签章）：</w:t>
      </w:r>
    </w:p>
    <w:p>
      <w:pPr>
        <w:tabs>
          <w:tab w:val="left" w:pos="640"/>
          <w:tab w:val="left" w:pos="1260"/>
          <w:tab w:val="left" w:pos="1418"/>
        </w:tabs>
        <w:spacing w:line="360" w:lineRule="auto"/>
        <w:rPr>
          <w:rFonts w:hint="eastAsia" w:ascii="宋体" w:hAnsi="宋体" w:cs="宋体"/>
          <w:b/>
          <w:color w:val="auto"/>
          <w:sz w:val="24"/>
          <w:highlight w:val="none"/>
        </w:rPr>
      </w:pPr>
    </w:p>
    <w:p>
      <w:pPr>
        <w:tabs>
          <w:tab w:val="left" w:pos="640"/>
          <w:tab w:val="left" w:pos="1260"/>
          <w:tab w:val="left" w:pos="1418"/>
        </w:tabs>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附身份证正反面</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color w:val="auto"/>
                <w:szCs w:val="21"/>
                <w:highlight w:val="none"/>
              </w:rPr>
            </w:pPr>
          </w:p>
        </w:tc>
        <w:tc>
          <w:tcPr>
            <w:tcW w:w="4677" w:type="dxa"/>
          </w:tcPr>
          <w:p>
            <w:pPr>
              <w:pStyle w:val="10"/>
              <w:spacing w:line="360" w:lineRule="auto"/>
              <w:rPr>
                <w:rFonts w:ascii="Arial Narrow" w:hAnsi="Arial Narrow"/>
                <w:b/>
                <w:bCs/>
                <w:color w:val="auto"/>
                <w:szCs w:val="21"/>
                <w:highlight w:val="none"/>
              </w:rPr>
            </w:pPr>
          </w:p>
        </w:tc>
      </w:tr>
    </w:tbl>
    <w:p>
      <w:pPr>
        <w:tabs>
          <w:tab w:val="left" w:pos="640"/>
          <w:tab w:val="left" w:pos="1260"/>
          <w:tab w:val="left" w:pos="1418"/>
        </w:tabs>
        <w:spacing w:line="360" w:lineRule="auto"/>
        <w:rPr>
          <w:color w:val="auto"/>
          <w:szCs w:val="21"/>
          <w:highlight w:val="none"/>
        </w:rPr>
      </w:pPr>
    </w:p>
    <w:p>
      <w:pPr>
        <w:tabs>
          <w:tab w:val="left" w:pos="640"/>
          <w:tab w:val="left" w:pos="1260"/>
          <w:tab w:val="left" w:pos="1418"/>
        </w:tabs>
        <w:spacing w:line="360" w:lineRule="auto"/>
        <w:rPr>
          <w:color w:val="auto"/>
          <w:szCs w:val="21"/>
          <w:highlight w:val="none"/>
        </w:rPr>
      </w:pPr>
      <w:r>
        <w:rPr>
          <w:rFonts w:hint="eastAsia"/>
          <w:color w:val="auto"/>
          <w:szCs w:val="21"/>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1"/>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auto"/>
          <w:sz w:val="24"/>
          <w:highlight w:val="none"/>
          <w:lang w:val="fr-CH"/>
        </w:rPr>
      </w:pPr>
    </w:p>
    <w:p>
      <w:pPr>
        <w:widowControl/>
        <w:autoSpaceDE w:val="0"/>
        <w:autoSpaceDN w:val="0"/>
        <w:spacing w:line="360" w:lineRule="auto"/>
        <w:ind w:left="359" w:right="26" w:hanging="357"/>
        <w:jc w:val="center"/>
        <w:textAlignment w:val="bottom"/>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招标代理服务费承诺书</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致：北京国际招标有限公司</w:t>
      </w:r>
    </w:p>
    <w:p>
      <w:pPr>
        <w:widowControl/>
        <w:autoSpaceDE w:val="0"/>
        <w:autoSpaceDN w:val="0"/>
        <w:spacing w:line="360" w:lineRule="auto"/>
        <w:ind w:right="26" w:firstLine="540"/>
        <w:textAlignment w:val="bottom"/>
        <w:rPr>
          <w:rFonts w:hint="eastAsia" w:ascii="宋体" w:hAnsi="宋体" w:cs="宋体"/>
          <w:color w:val="auto"/>
          <w:sz w:val="24"/>
          <w:highlight w:val="none"/>
        </w:rPr>
      </w:pPr>
      <w:r>
        <w:rPr>
          <w:rFonts w:hint="eastAsia" w:ascii="宋体" w:hAnsi="宋体" w:cs="宋体"/>
          <w:color w:val="auto"/>
          <w:sz w:val="24"/>
          <w:highlight w:val="none"/>
        </w:rPr>
        <w:t>我们在贵司代理的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项目（招标编号：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auto"/>
          <w:sz w:val="24"/>
          <w:highlight w:val="none"/>
          <w:u w:val="single"/>
        </w:rPr>
        <w:t>招标文件中的规定</w:t>
      </w:r>
      <w:r>
        <w:rPr>
          <w:rFonts w:hint="eastAsia" w:ascii="宋体" w:hAnsi="宋体" w:cs="宋体"/>
          <w:color w:val="auto"/>
          <w:sz w:val="24"/>
          <w:highlight w:val="none"/>
        </w:rPr>
        <w:t>计算。</w:t>
      </w:r>
    </w:p>
    <w:p>
      <w:pPr>
        <w:widowControl/>
        <w:autoSpaceDE w:val="0"/>
        <w:autoSpaceDN w:val="0"/>
        <w:spacing w:line="360" w:lineRule="auto"/>
        <w:ind w:right="26" w:firstLine="540"/>
        <w:textAlignment w:val="bottom"/>
        <w:rPr>
          <w:rFonts w:hint="eastAsia" w:ascii="宋体" w:hAnsi="宋体" w:cs="宋体"/>
          <w:color w:val="auto"/>
          <w:sz w:val="24"/>
          <w:highlight w:val="none"/>
        </w:rPr>
      </w:pPr>
      <w:r>
        <w:rPr>
          <w:rFonts w:hint="eastAsia" w:ascii="宋体" w:hAnsi="宋体" w:cs="宋体"/>
          <w:color w:val="auto"/>
          <w:sz w:val="24"/>
          <w:highlight w:val="none"/>
        </w:rPr>
        <w:t>特此承诺。</w:t>
      </w:r>
    </w:p>
    <w:p>
      <w:pPr>
        <w:tabs>
          <w:tab w:val="left" w:pos="3780"/>
        </w:tabs>
        <w:spacing w:line="360" w:lineRule="auto"/>
        <w:jc w:val="left"/>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投标供应商地址：</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电话：         </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传真：</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日期：   年     月     日</w:t>
      </w:r>
    </w:p>
    <w:p>
      <w:pPr>
        <w:pStyle w:val="9"/>
        <w:rPr>
          <w:color w:val="auto"/>
          <w:highlight w:val="none"/>
          <w:lang w:val="fr-CH"/>
        </w:rPr>
      </w:pPr>
    </w:p>
    <w:p>
      <w:pPr>
        <w:tabs>
          <w:tab w:val="left" w:pos="640"/>
          <w:tab w:val="left" w:pos="1260"/>
          <w:tab w:val="left" w:pos="1418"/>
        </w:tabs>
        <w:spacing w:line="360" w:lineRule="auto"/>
        <w:rPr>
          <w:rFonts w:hint="eastAsia" w:ascii="宋体" w:hAnsi="宋体" w:cs="宋体"/>
          <w:color w:val="auto"/>
          <w:sz w:val="24"/>
          <w:highlight w:val="none"/>
          <w:lang w:val="fr-CH"/>
        </w:rPr>
      </w:pPr>
    </w:p>
    <w:p>
      <w:pPr>
        <w:numPr>
          <w:ilvl w:val="0"/>
          <w:numId w:val="11"/>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rPr>
        <w:t>供应商</w:t>
      </w:r>
      <w:r>
        <w:rPr>
          <w:rFonts w:hint="eastAsia" w:ascii="宋体" w:hAnsi="宋体" w:cs="宋体"/>
          <w:color w:val="auto"/>
          <w:sz w:val="24"/>
          <w:highlight w:val="none"/>
          <w:lang w:val="fr-CH"/>
        </w:rPr>
        <w:t>简介；</w:t>
      </w:r>
    </w:p>
    <w:p>
      <w:pPr>
        <w:pStyle w:val="10"/>
        <w:spacing w:line="360" w:lineRule="auto"/>
        <w:jc w:val="center"/>
        <w:rPr>
          <w:rFonts w:hint="eastAsia" w:hAnsi="宋体" w:cs="宋体"/>
          <w:b/>
          <w:bCs/>
          <w:color w:val="auto"/>
          <w:sz w:val="24"/>
          <w:highlight w:val="none"/>
        </w:rPr>
      </w:pPr>
      <w:r>
        <w:rPr>
          <w:rFonts w:hint="eastAsia" w:hAnsi="宋体" w:cs="宋体"/>
          <w:b/>
          <w:bCs/>
          <w:color w:val="auto"/>
          <w:sz w:val="24"/>
          <w:highlight w:val="none"/>
        </w:rPr>
        <w:t>供应商基本情况一览表</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1．名称及概况：</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（1）供应商名称：_______________________________________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（2）地址：______________________________________________</w:t>
      </w:r>
    </w:p>
    <w:p>
      <w:pPr>
        <w:pStyle w:val="10"/>
        <w:spacing w:line="360" w:lineRule="auto"/>
        <w:ind w:firstLine="660" w:firstLineChars="275"/>
        <w:rPr>
          <w:rFonts w:hint="eastAsia" w:hAnsi="宋体" w:cs="宋体"/>
          <w:color w:val="auto"/>
          <w:sz w:val="24"/>
          <w:highlight w:val="none"/>
        </w:rPr>
      </w:pPr>
      <w:r>
        <w:rPr>
          <w:rFonts w:hint="eastAsia" w:hAnsi="宋体" w:cs="宋体"/>
          <w:color w:val="auto"/>
          <w:sz w:val="24"/>
          <w:highlight w:val="none"/>
        </w:rPr>
        <w:t xml:space="preserve">   邮政编码：___________________________________________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电话号码：___________________________________________ </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传真号码：___________________________________________ </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（3）成立和／或注册日期：_________________________________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（4）法人代表：___________________________________________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（5）开户银行：___________________________________________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（6）开户</w:t>
      </w:r>
      <w:r>
        <w:rPr>
          <w:rFonts w:hint="eastAsia" w:hAnsi="宋体" w:cs="宋体"/>
          <w:color w:val="auto"/>
          <w:sz w:val="24"/>
          <w:highlight w:val="none"/>
          <w:lang w:eastAsia="zh-CN"/>
        </w:rPr>
        <w:t>账</w:t>
      </w:r>
      <w:r>
        <w:rPr>
          <w:rFonts w:hint="eastAsia" w:hAnsi="宋体" w:cs="宋体"/>
          <w:color w:val="auto"/>
          <w:sz w:val="24"/>
          <w:highlight w:val="none"/>
        </w:rPr>
        <w:t>号：___________________________________________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（7）注册资金：___________________________________________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（8）近两年财务基本情况</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①货币资金期末数：_____________________________________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③年营业总额（值）：___________________________________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③资产负债率：_________________________________________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④销售利润率：_________________________________________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⑤资本收益率：_________________________________________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（9）项目主要联系人（姓名、职务、通讯）：</w:t>
      </w:r>
    </w:p>
    <w:p>
      <w:pPr>
        <w:pStyle w:val="10"/>
        <w:spacing w:line="360" w:lineRule="auto"/>
        <w:rPr>
          <w:rFonts w:hint="eastAsia" w:hAnsi="宋体" w:cs="宋体"/>
          <w:color w:val="auto"/>
          <w:sz w:val="24"/>
          <w:highlight w:val="none"/>
        </w:rPr>
      </w:pPr>
      <w:r>
        <w:rPr>
          <w:rFonts w:hint="eastAsia" w:hAnsi="宋体" w:cs="宋体"/>
          <w:color w:val="auto"/>
          <w:sz w:val="24"/>
          <w:highlight w:val="none"/>
        </w:rPr>
        <w:t>_____________________________________________________________________</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（10）公司概况；</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（11）公司组织机构；</w:t>
      </w:r>
    </w:p>
    <w:p>
      <w:pPr>
        <w:pStyle w:val="10"/>
        <w:spacing w:line="360" w:lineRule="auto"/>
        <w:ind w:firstLine="420"/>
        <w:rPr>
          <w:rFonts w:hint="eastAsia" w:hAnsi="宋体" w:cs="宋体"/>
          <w:color w:val="auto"/>
          <w:sz w:val="24"/>
          <w:highlight w:val="none"/>
        </w:rPr>
      </w:pPr>
      <w:r>
        <w:rPr>
          <w:rFonts w:hint="eastAsia" w:hAnsi="宋体" w:cs="宋体"/>
          <w:color w:val="auto"/>
          <w:sz w:val="24"/>
          <w:highlight w:val="none"/>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日期：  年  月   日</w:t>
      </w:r>
    </w:p>
    <w:p>
      <w:pPr>
        <w:pStyle w:val="9"/>
        <w:rPr>
          <w:color w:val="auto"/>
          <w:highlight w:val="none"/>
          <w:lang w:val="fr-CH"/>
        </w:rPr>
      </w:pPr>
    </w:p>
    <w:p>
      <w:pPr>
        <w:tabs>
          <w:tab w:val="left" w:pos="640"/>
        </w:tabs>
        <w:spacing w:line="360" w:lineRule="auto"/>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p>
    <w:p>
      <w:pPr>
        <w:numPr>
          <w:ilvl w:val="0"/>
          <w:numId w:val="11"/>
        </w:numPr>
        <w:tabs>
          <w:tab w:val="left" w:pos="640"/>
        </w:tabs>
        <w:spacing w:line="360" w:lineRule="auto"/>
        <w:ind w:left="845" w:hanging="845"/>
        <w:rPr>
          <w:rFonts w:hint="eastAsia" w:ascii="宋体" w:hAnsi="宋体" w:cs="宋体"/>
          <w:color w:val="auto"/>
          <w:sz w:val="24"/>
          <w:highlight w:val="none"/>
        </w:rPr>
      </w:pPr>
      <w:bookmarkStart w:id="74" w:name="OLE_LINK31"/>
      <w:r>
        <w:rPr>
          <w:rFonts w:hint="eastAsia" w:ascii="宋体" w:hAnsi="宋体" w:cs="宋体"/>
          <w:color w:val="auto"/>
          <w:sz w:val="24"/>
          <w:highlight w:val="none"/>
        </w:rPr>
        <w:t>资格及通过相关认证情况；</w:t>
      </w:r>
    </w:p>
    <w:p>
      <w:pPr>
        <w:numPr>
          <w:ilvl w:val="0"/>
          <w:numId w:val="11"/>
        </w:numPr>
        <w:tabs>
          <w:tab w:val="left" w:pos="640"/>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同类项目业绩；</w:t>
      </w:r>
    </w:p>
    <w:p>
      <w:pPr>
        <w:numPr>
          <w:ilvl w:val="0"/>
          <w:numId w:val="11"/>
        </w:numPr>
        <w:tabs>
          <w:tab w:val="left" w:pos="640"/>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拟安排的项目负责人情况（仅1人）；</w:t>
      </w:r>
    </w:p>
    <w:p>
      <w:pPr>
        <w:numPr>
          <w:ilvl w:val="0"/>
          <w:numId w:val="11"/>
        </w:numPr>
        <w:tabs>
          <w:tab w:val="left" w:pos="640"/>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拟安排的项目团队成员（主要技术人员）情况（项目负责人除外）；</w:t>
      </w:r>
    </w:p>
    <w:p>
      <w:pPr>
        <w:numPr>
          <w:ilvl w:val="0"/>
          <w:numId w:val="11"/>
        </w:numPr>
        <w:tabs>
          <w:tab w:val="left" w:pos="640"/>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服务响应；</w:t>
      </w:r>
      <w:bookmarkEnd w:id="74"/>
    </w:p>
    <w:p>
      <w:pPr>
        <w:tabs>
          <w:tab w:val="left" w:pos="640"/>
          <w:tab w:val="left" w:pos="1260"/>
          <w:tab w:val="left" w:pos="1418"/>
        </w:tabs>
        <w:jc w:val="center"/>
        <w:rPr>
          <w:rFonts w:hint="eastAsia" w:ascii="宋体" w:hAnsi="宋体" w:cs="宋体"/>
          <w:b/>
          <w:bCs/>
          <w:color w:val="auto"/>
          <w:szCs w:val="21"/>
          <w:highlight w:val="none"/>
        </w:rPr>
      </w:pPr>
    </w:p>
    <w:p>
      <w:pPr>
        <w:tabs>
          <w:tab w:val="left" w:pos="640"/>
          <w:tab w:val="left" w:pos="1260"/>
          <w:tab w:val="left" w:pos="1418"/>
        </w:tabs>
        <w:jc w:val="center"/>
        <w:rPr>
          <w:rFonts w:hint="eastAsia" w:ascii="宋体" w:hAnsi="宋体" w:cs="宋体"/>
          <w:b/>
          <w:bCs/>
          <w:color w:val="auto"/>
          <w:sz w:val="24"/>
          <w:highlight w:val="none"/>
        </w:rPr>
      </w:pPr>
      <w:r>
        <w:rPr>
          <w:rFonts w:hint="eastAsia" w:ascii="宋体" w:hAnsi="宋体" w:cs="宋体"/>
          <w:b/>
          <w:bCs/>
          <w:color w:val="auto"/>
          <w:sz w:val="24"/>
          <w:highlight w:val="none"/>
        </w:rPr>
        <w:t>注：以上各项请根据“招标项目评分表”中的要求自行填写并提供相应的证明材料。</w:t>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b/>
          <w:bCs/>
          <w:color w:val="auto"/>
          <w:sz w:val="24"/>
          <w:highlight w:val="none"/>
          <w:lang w:val="fr-CH"/>
        </w:rPr>
        <w:t>诚信</w:t>
      </w:r>
      <w:r>
        <w:rPr>
          <w:rFonts w:hint="eastAsia" w:ascii="宋体" w:hAnsi="宋体" w:cs="宋体"/>
          <w:b/>
          <w:bCs/>
          <w:color w:val="auto"/>
          <w:sz w:val="24"/>
          <w:highlight w:val="none"/>
        </w:rPr>
        <w:t>声明与承诺</w:t>
      </w:r>
      <w:r>
        <w:rPr>
          <w:rFonts w:hint="eastAsia" w:ascii="宋体" w:hAnsi="宋体" w:cs="宋体"/>
          <w:b/>
          <w:bCs/>
          <w:color w:val="auto"/>
          <w:sz w:val="24"/>
          <w:highlight w:val="none"/>
          <w:lang w:val="fr-CH"/>
        </w:rPr>
        <w:t>；</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诚信声明与承诺</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北京国际招标有限公司：</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 xml:space="preserve">  我公司（单位）参与贵代理机构组织的项目（项目编号：）投标，现就诚信作如下声明与承诺：</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我司对上述内容的真实性负责。如有虚假，将依法承担相应责任。</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特此声明与承诺！</w:t>
      </w:r>
    </w:p>
    <w:p>
      <w:pPr>
        <w:spacing w:line="360" w:lineRule="auto"/>
        <w:jc w:val="left"/>
        <w:rPr>
          <w:rFonts w:hint="eastAsia" w:ascii="宋体" w:hAnsi="宋体" w:cs="宋体"/>
          <w:color w:val="auto"/>
          <w:sz w:val="24"/>
          <w:highlight w:val="none"/>
        </w:rPr>
      </w:pPr>
    </w:p>
    <w:p>
      <w:pPr>
        <w:spacing w:line="360" w:lineRule="auto"/>
        <w:jc w:val="left"/>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日期：  年  月   日</w:t>
      </w:r>
    </w:p>
    <w:p>
      <w:pPr>
        <w:pStyle w:val="10"/>
        <w:spacing w:line="360" w:lineRule="auto"/>
        <w:jc w:val="left"/>
        <w:rPr>
          <w:rFonts w:hint="eastAsia" w:hAnsi="宋体" w:cs="宋体"/>
          <w:color w:val="auto"/>
          <w:sz w:val="24"/>
          <w:highlight w:val="none"/>
        </w:rPr>
      </w:pPr>
    </w:p>
    <w:p>
      <w:pPr>
        <w:pStyle w:val="10"/>
        <w:spacing w:line="360" w:lineRule="auto"/>
        <w:jc w:val="left"/>
        <w:rPr>
          <w:rFonts w:hint="eastAsia" w:hAnsi="宋体" w:cs="宋体"/>
          <w:color w:val="auto"/>
          <w:sz w:val="24"/>
          <w:highlight w:val="none"/>
        </w:rPr>
      </w:pPr>
    </w:p>
    <w:p>
      <w:pPr>
        <w:spacing w:before="100" w:beforeAutospacing="1" w:after="100" w:afterAutospacing="1"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注：近三年内，如投标人有任何违法违规、受惩罚和禁止、不良信用等记录，必须列明记载，并附网络截图（加盖公章）。</w:t>
      </w:r>
    </w:p>
    <w:p>
      <w:pPr>
        <w:pStyle w:val="9"/>
        <w:rPr>
          <w:color w:val="auto"/>
          <w:highlight w:val="none"/>
          <w:lang w:val="fr-CH"/>
        </w:rPr>
      </w:pP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政府采购违法行为风险知悉确认书</w:t>
      </w:r>
    </w:p>
    <w:p>
      <w:pPr>
        <w:spacing w:line="360" w:lineRule="auto"/>
        <w:ind w:left="420"/>
        <w:jc w:val="center"/>
        <w:rPr>
          <w:rFonts w:ascii="宋体"/>
          <w:b/>
          <w:color w:val="auto"/>
          <w:sz w:val="24"/>
          <w:highlight w:val="none"/>
        </w:rPr>
      </w:pPr>
      <w:r>
        <w:rPr>
          <w:rFonts w:hint="eastAsia" w:ascii="宋体"/>
          <w:b/>
          <w:color w:val="auto"/>
          <w:sz w:val="24"/>
          <w:highlight w:val="none"/>
        </w:rPr>
        <w:t>政府采购违法行为风险知悉确认书</w:t>
      </w:r>
    </w:p>
    <w:p>
      <w:pPr>
        <w:autoSpaceDE w:val="0"/>
        <w:autoSpaceDN w:val="0"/>
        <w:adjustRightInd w:val="0"/>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auto"/>
                <w:sz w:val="24"/>
                <w:highlight w:val="none"/>
              </w:rPr>
            </w:pPr>
            <w:bookmarkStart w:id="75" w:name="OLE_LINK6"/>
            <w:r>
              <w:rPr>
                <w:rFonts w:hint="eastAsia" w:ascii="宋体" w:hAnsi="宋体" w:cs="宋体"/>
                <w:b/>
                <w:bCs/>
                <w:color w:val="auto"/>
                <w:sz w:val="24"/>
                <w:highlight w:val="none"/>
              </w:rPr>
              <w:t>序号</w:t>
            </w:r>
          </w:p>
        </w:tc>
        <w:tc>
          <w:tcPr>
            <w:tcW w:w="7607" w:type="dxa"/>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7607"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与其他投标供应商的法定代表人、主要经营负责人、投标授权代表人、项目负责人、主要技术人员为</w:t>
            </w:r>
            <w:r>
              <w:rPr>
                <w:rFonts w:hint="eastAsia" w:ascii="宋体" w:hAnsi="宋体" w:cs="宋体"/>
                <w:b/>
                <w:bCs/>
                <w:color w:val="auto"/>
                <w:sz w:val="24"/>
                <w:highlight w:val="none"/>
              </w:rPr>
              <w:t>同一人、属同一单位或者在同一单位缴纳社会保险</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7607"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参与本项目政府采购活动时，与其他投标供应商存在单位负责人为</w:t>
            </w:r>
            <w:r>
              <w:rPr>
                <w:rFonts w:hint="eastAsia" w:ascii="宋体" w:hAnsi="宋体" w:cs="宋体"/>
                <w:b/>
                <w:bCs/>
                <w:color w:val="auto"/>
                <w:sz w:val="24"/>
                <w:highlight w:val="none"/>
              </w:rPr>
              <w:t>同一人或直接控股、管理关系</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7607"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与其他投标供应商的投标文件或部分投标文件</w:t>
            </w:r>
            <w:r>
              <w:rPr>
                <w:rFonts w:hint="eastAsia" w:ascii="宋体" w:hAnsi="宋体" w:cs="宋体"/>
                <w:b/>
                <w:bCs/>
                <w:color w:val="auto"/>
                <w:sz w:val="24"/>
                <w:highlight w:val="none"/>
              </w:rPr>
              <w:t>相互混装或存在非正常一致</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7607"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与其他投标供应商的投标文件由</w:t>
            </w:r>
            <w:r>
              <w:rPr>
                <w:rFonts w:hint="eastAsia" w:ascii="宋体" w:hAnsi="宋体" w:cs="宋体"/>
                <w:b/>
                <w:bCs/>
                <w:color w:val="auto"/>
                <w:sz w:val="24"/>
                <w:highlight w:val="none"/>
              </w:rPr>
              <w:t>同一单位或者同一人编制</w:t>
            </w:r>
            <w:r>
              <w:rPr>
                <w:rFonts w:hint="eastAsia" w:ascii="宋体" w:hAnsi="宋体" w:cs="宋体"/>
                <w:color w:val="auto"/>
                <w:sz w:val="24"/>
                <w:highlight w:val="none"/>
              </w:rPr>
              <w:t>，或者使用</w:t>
            </w:r>
            <w:r>
              <w:rPr>
                <w:rFonts w:hint="eastAsia" w:ascii="宋体" w:hAnsi="宋体" w:cs="宋体"/>
                <w:b/>
                <w:bCs/>
                <w:color w:val="auto"/>
                <w:sz w:val="24"/>
                <w:highlight w:val="none"/>
              </w:rPr>
              <w:t>同一设备编制</w:t>
            </w:r>
            <w:r>
              <w:rPr>
                <w:rFonts w:hint="eastAsia" w:ascii="宋体" w:hAnsi="宋体" w:cs="宋体"/>
                <w:color w:val="auto"/>
                <w:sz w:val="24"/>
                <w:highlight w:val="none"/>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7607"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提供</w:t>
            </w:r>
            <w:r>
              <w:rPr>
                <w:rFonts w:hint="eastAsia" w:ascii="宋体" w:hAnsi="宋体" w:cs="宋体"/>
                <w:b/>
                <w:bCs/>
                <w:color w:val="auto"/>
                <w:sz w:val="24"/>
                <w:highlight w:val="none"/>
              </w:rPr>
              <w:t>未经出具机构核实</w:t>
            </w:r>
            <w:r>
              <w:rPr>
                <w:rFonts w:hint="eastAsia" w:ascii="宋体" w:hAnsi="宋体" w:cs="宋体"/>
                <w:color w:val="auto"/>
                <w:sz w:val="24"/>
                <w:highlight w:val="none"/>
              </w:rPr>
              <w:t>的虚假的检验检测报告、业绩材料、社保缴纳证明、学历学位证书、职称认证证书等材料。</w:t>
            </w:r>
          </w:p>
        </w:tc>
      </w:tr>
      <w:bookmarkEnd w:id="75"/>
    </w:tbl>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auto"/>
          <w:kern w:val="0"/>
          <w:sz w:val="24"/>
          <w:highlight w:val="none"/>
        </w:rPr>
      </w:pP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以下文字请投标供应商</w:t>
      </w:r>
      <w:r>
        <w:rPr>
          <w:rFonts w:hint="eastAsia" w:ascii="宋体" w:hAnsi="宋体" w:cs="仿宋_GB2312"/>
          <w:b/>
          <w:bCs/>
          <w:color w:val="auto"/>
          <w:kern w:val="0"/>
          <w:sz w:val="24"/>
          <w:highlight w:val="none"/>
        </w:rPr>
        <w:t>抄写并确认</w:t>
      </w:r>
      <w:r>
        <w:rPr>
          <w:rFonts w:hint="eastAsia" w:ascii="宋体" w:hAnsi="宋体" w:cs="仿宋_GB2312"/>
          <w:color w:val="auto"/>
          <w:kern w:val="0"/>
          <w:sz w:val="24"/>
          <w:highlight w:val="none"/>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auto"/>
          <w:kern w:val="0"/>
          <w:sz w:val="24"/>
          <w:highlight w:val="none"/>
          <w:u w:val="single"/>
        </w:rPr>
      </w:pP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jc w:val="left"/>
        <w:rPr>
          <w:rFonts w:hint="eastAsia" w:ascii="宋体" w:hAnsi="宋体" w:cs="仿宋_GB2312"/>
          <w:color w:val="auto"/>
          <w:kern w:val="0"/>
          <w:sz w:val="24"/>
          <w:highlight w:val="none"/>
          <w:u w:val="single"/>
        </w:rPr>
      </w:pP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jc w:val="left"/>
        <w:rPr>
          <w:rFonts w:hint="eastAsia" w:ascii="宋体" w:hAnsi="宋体" w:cs="仿宋_GB2312"/>
          <w:color w:val="auto"/>
          <w:kern w:val="0"/>
          <w:sz w:val="24"/>
          <w:highlight w:val="none"/>
          <w:u w:val="single"/>
        </w:rPr>
      </w:pP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jc w:val="left"/>
        <w:rPr>
          <w:rFonts w:hint="eastAsia" w:ascii="宋体" w:hAnsi="宋体" w:cs="仿宋_GB2312"/>
          <w:color w:val="auto"/>
          <w:kern w:val="0"/>
          <w:sz w:val="24"/>
          <w:highlight w:val="none"/>
          <w:u w:val="single"/>
        </w:rPr>
      </w:pP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p>
    <w:p>
      <w:pPr>
        <w:autoSpaceDE w:val="0"/>
        <w:autoSpaceDN w:val="0"/>
        <w:adjustRightInd w:val="0"/>
        <w:spacing w:line="360" w:lineRule="auto"/>
        <w:ind w:firstLine="3840" w:firstLineChars="1600"/>
        <w:jc w:val="left"/>
        <w:rPr>
          <w:rFonts w:hint="eastAsia" w:ascii="宋体" w:hAnsi="宋体" w:cs="仿宋_GB2312"/>
          <w:color w:val="auto"/>
          <w:kern w:val="0"/>
          <w:sz w:val="24"/>
          <w:highlight w:val="none"/>
          <w:u w:val="single"/>
        </w:rPr>
      </w:pPr>
      <w:r>
        <w:rPr>
          <w:rFonts w:hint="eastAsia" w:ascii="宋体" w:hAnsi="宋体" w:cs="仿宋_GB2312"/>
          <w:color w:val="auto"/>
          <w:kern w:val="0"/>
          <w:sz w:val="24"/>
          <w:highlight w:val="none"/>
        </w:rPr>
        <w:t>负责人</w:t>
      </w:r>
      <w:r>
        <w:rPr>
          <w:rFonts w:ascii="宋体" w:hAnsi="宋体" w:cs="仿宋_GB2312"/>
          <w:color w:val="auto"/>
          <w:kern w:val="0"/>
          <w:sz w:val="24"/>
          <w:highlight w:val="none"/>
        </w:rPr>
        <w:t>/</w:t>
      </w:r>
      <w:r>
        <w:rPr>
          <w:rFonts w:hint="eastAsia" w:ascii="宋体" w:hAnsi="宋体" w:cs="仿宋_GB2312"/>
          <w:color w:val="auto"/>
          <w:kern w:val="0"/>
          <w:sz w:val="24"/>
          <w:highlight w:val="none"/>
        </w:rPr>
        <w:t>投标授权代表签名：</w:t>
      </w: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ind w:firstLine="4920" w:firstLineChars="20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知悉人（公章）：</w:t>
      </w:r>
    </w:p>
    <w:p>
      <w:pPr>
        <w:spacing w:line="360" w:lineRule="auto"/>
        <w:jc w:val="righ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日期： 202  年   月   日</w:t>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参与价格扣除的证明文件</w:t>
      </w:r>
    </w:p>
    <w:p>
      <w:pPr>
        <w:keepNext/>
        <w:keepLines/>
        <w:jc w:val="center"/>
        <w:rPr>
          <w:rFonts w:hint="eastAsia" w:ascii="宋体" w:hAnsi="宋体" w:cs="宋体"/>
          <w:bCs/>
          <w:color w:val="auto"/>
          <w:kern w:val="44"/>
          <w:sz w:val="24"/>
          <w:highlight w:val="none"/>
        </w:rPr>
      </w:pPr>
      <w:r>
        <w:rPr>
          <w:rFonts w:hint="eastAsia" w:ascii="宋体" w:hAnsi="宋体" w:cs="宋体"/>
          <w:b/>
          <w:bCs/>
          <w:color w:val="auto"/>
          <w:sz w:val="24"/>
          <w:highlight w:val="none"/>
        </w:rPr>
        <w:t>①中小企业声明函（工程、服务）</w:t>
      </w:r>
    </w:p>
    <w:p>
      <w:pPr>
        <w:widowControl/>
        <w:ind w:firstLine="480" w:firstLineChars="200"/>
        <w:textAlignment w:val="baseline"/>
        <w:rPr>
          <w:rFonts w:hint="eastAsia" w:ascii="宋体" w:hAnsi="宋体" w:cs="宋体"/>
          <w:color w:val="auto"/>
          <w:sz w:val="24"/>
          <w:highlight w:val="none"/>
        </w:rPr>
      </w:pP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ab/>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ab/>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ab/>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企业名称（盖章）</w:t>
      </w:r>
    </w:p>
    <w:p>
      <w:pPr>
        <w:widowControl/>
        <w:ind w:firstLine="482" w:firstLineChars="200"/>
        <w:jc w:val="right"/>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日期：</w:t>
      </w:r>
    </w:p>
    <w:p>
      <w:pPr>
        <w:widowControl/>
        <w:ind w:firstLine="480" w:firstLineChars="200"/>
        <w:textAlignment w:val="baseline"/>
        <w:rPr>
          <w:rFonts w:hint="eastAsia" w:ascii="宋体" w:hAnsi="宋体" w:cs="宋体"/>
          <w:color w:val="auto"/>
          <w:sz w:val="24"/>
          <w:highlight w:val="none"/>
        </w:rPr>
      </w:pPr>
    </w:p>
    <w:p>
      <w:pPr>
        <w:widowControl/>
        <w:ind w:firstLine="480" w:firstLineChars="200"/>
        <w:textAlignment w:val="baseline"/>
        <w:rPr>
          <w:rFonts w:hint="eastAsia" w:ascii="宋体" w:hAnsi="宋体" w:cs="宋体"/>
          <w:color w:val="auto"/>
          <w:sz w:val="24"/>
          <w:highlight w:val="none"/>
        </w:rPr>
      </w:pPr>
    </w:p>
    <w:p>
      <w:pPr>
        <w:jc w:val="left"/>
        <w:rPr>
          <w:rFonts w:hint="eastAsia" w:ascii="宋体" w:hAnsi="宋体" w:cs="宋体"/>
          <w:b/>
          <w:bCs/>
          <w:color w:val="auto"/>
          <w:sz w:val="24"/>
          <w:highlight w:val="none"/>
        </w:rPr>
      </w:pPr>
      <w:r>
        <w:rPr>
          <w:rFonts w:hint="eastAsia" w:ascii="宋体" w:hAnsi="宋体" w:cs="宋体"/>
          <w:b/>
          <w:bCs/>
          <w:color w:val="auto"/>
          <w:sz w:val="24"/>
          <w:highlight w:val="none"/>
        </w:rPr>
        <w:t>注意事项：</w:t>
      </w:r>
    </w:p>
    <w:p>
      <w:pPr>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1.从业人员、营业收入、资产总额填报上一年度数据，无上一年度数据的新成立企业可不填报；</w:t>
      </w:r>
    </w:p>
    <w:p>
      <w:pPr>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4.相关承接/承建企业的所属行业应当与采购标的所属行业（采购文件中明确的行业）相一致。</w:t>
      </w:r>
    </w:p>
    <w:p>
      <w:pPr>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附：中小企业划型标准规定</w:t>
      </w:r>
    </w:p>
    <w:p>
      <w:pPr>
        <w:rPr>
          <w:rFonts w:hint="eastAsia" w:ascii="宋体" w:hAnsi="宋体" w:cs="宋体"/>
          <w:color w:val="auto"/>
          <w:sz w:val="24"/>
          <w:highlight w:val="none"/>
        </w:rPr>
      </w:pP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四、各行业划型标准为：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五、企业类型的划分以统计部门的统计数据为依据。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九、本规定由工业和信息化部、国家统计局会同有关部门负责解释。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十、本规定自发布之日起执行，原国家经贸委、原国家计委、财政部和国家统计局2003年颁布的《中小企业标准暂行规定》同时废止。</w:t>
      </w:r>
    </w:p>
    <w:p>
      <w:pPr>
        <w:adjustRightInd w:val="0"/>
        <w:snapToGrid w:val="0"/>
        <w:spacing w:line="360" w:lineRule="auto"/>
        <w:jc w:val="center"/>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②残疾人福利性单位声明函（样表）</w:t>
      </w:r>
    </w:p>
    <w:p>
      <w:pPr>
        <w:spacing w:line="620" w:lineRule="exact"/>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auto"/>
          <w:spacing w:val="6"/>
          <w:sz w:val="24"/>
          <w:highlight w:val="none"/>
        </w:rPr>
        <w:t>单位参加</w:t>
      </w:r>
      <w:r>
        <w:rPr>
          <w:rFonts w:hint="eastAsia" w:ascii="宋体" w:hAnsi="宋体" w:cs="宋体"/>
          <w:color w:val="auto"/>
          <w:spacing w:val="6"/>
          <w:sz w:val="24"/>
          <w:highlight w:val="none"/>
          <w:u w:val="single"/>
        </w:rPr>
        <w:t xml:space="preserve"> （采购单位名称） </w:t>
      </w:r>
      <w:r>
        <w:rPr>
          <w:rFonts w:hint="eastAsia" w:ascii="宋体" w:hAnsi="宋体" w:cs="宋体"/>
          <w:color w:val="auto"/>
          <w:spacing w:val="6"/>
          <w:sz w:val="24"/>
          <w:highlight w:val="none"/>
        </w:rPr>
        <w:t>单位的</w:t>
      </w:r>
      <w:r>
        <w:rPr>
          <w:rFonts w:hint="eastAsia" w:ascii="宋体" w:hAnsi="宋体" w:cs="宋体"/>
          <w:color w:val="auto"/>
          <w:spacing w:val="6"/>
          <w:sz w:val="24"/>
          <w:highlight w:val="none"/>
          <w:u w:val="single"/>
        </w:rPr>
        <w:t xml:space="preserve"> （采购项目名称） </w:t>
      </w:r>
      <w:r>
        <w:rPr>
          <w:rFonts w:hint="eastAsia" w:ascii="宋体" w:hAnsi="宋体" w:cs="宋体"/>
          <w:color w:val="auto"/>
          <w:spacing w:val="6"/>
          <w:sz w:val="24"/>
          <w:highlight w:val="none"/>
        </w:rPr>
        <w:t>项目</w:t>
      </w:r>
      <w:r>
        <w:rPr>
          <w:rFonts w:hint="eastAsia" w:ascii="宋体" w:hAnsi="宋体" w:cs="宋体"/>
          <w:color w:val="auto"/>
          <w:kern w:val="0"/>
          <w:sz w:val="24"/>
          <w:highlight w:val="none"/>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pPr>
        <w:spacing w:line="620" w:lineRule="exact"/>
        <w:ind w:firstLine="504" w:firstLineChars="200"/>
        <w:rPr>
          <w:rFonts w:hint="eastAsia" w:ascii="宋体" w:hAnsi="宋体" w:cs="宋体"/>
          <w:color w:val="auto"/>
          <w:spacing w:val="6"/>
          <w:sz w:val="24"/>
          <w:highlight w:val="none"/>
        </w:rPr>
      </w:pPr>
    </w:p>
    <w:p>
      <w:pPr>
        <w:spacing w:line="620" w:lineRule="exact"/>
        <w:ind w:firstLine="504" w:firstLineChars="200"/>
        <w:rPr>
          <w:rFonts w:hint="eastAsia" w:ascii="宋体" w:hAnsi="宋体" w:cs="宋体"/>
          <w:color w:val="auto"/>
          <w:spacing w:val="6"/>
          <w:sz w:val="24"/>
          <w:highlight w:val="none"/>
        </w:rPr>
      </w:pPr>
    </w:p>
    <w:p>
      <w:pPr>
        <w:tabs>
          <w:tab w:val="left" w:pos="4860"/>
        </w:tabs>
        <w:spacing w:line="620" w:lineRule="exact"/>
        <w:ind w:right="1560" w:firstLine="504" w:firstLineChars="200"/>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               单位名称（盖章）：</w:t>
      </w:r>
    </w:p>
    <w:p>
      <w:pPr>
        <w:tabs>
          <w:tab w:val="left" w:pos="4860"/>
        </w:tabs>
        <w:spacing w:line="620" w:lineRule="exact"/>
        <w:ind w:right="1560" w:firstLine="504" w:firstLineChars="200"/>
        <w:jc w:val="center"/>
        <w:rPr>
          <w:rStyle w:val="43"/>
          <w:rFonts w:hint="eastAsia" w:ascii="宋体" w:hAnsi="宋体" w:cs="宋体"/>
          <w:color w:val="auto"/>
          <w:sz w:val="24"/>
          <w:highlight w:val="none"/>
        </w:rPr>
      </w:pPr>
      <w:r>
        <w:rPr>
          <w:rFonts w:hint="eastAsia" w:ascii="宋体" w:hAnsi="宋体" w:cs="宋体"/>
          <w:color w:val="auto"/>
          <w:spacing w:val="6"/>
          <w:sz w:val="24"/>
          <w:highlight w:val="none"/>
        </w:rPr>
        <w:t xml:space="preserve">                        日  期：</w:t>
      </w:r>
    </w:p>
    <w:p>
      <w:pPr>
        <w:snapToGrid w:val="0"/>
        <w:spacing w:line="360" w:lineRule="auto"/>
        <w:ind w:firstLine="480" w:firstLineChars="200"/>
        <w:jc w:val="left"/>
        <w:textAlignment w:val="baseline"/>
        <w:rPr>
          <w:rStyle w:val="43"/>
          <w:rFonts w:hint="eastAsia" w:ascii="宋体" w:hAnsi="宋体" w:cs="宋体"/>
          <w:color w:val="auto"/>
          <w:sz w:val="24"/>
          <w:highlight w:val="none"/>
        </w:rPr>
      </w:pPr>
    </w:p>
    <w:p>
      <w:pPr>
        <w:snapToGrid w:val="0"/>
        <w:spacing w:line="360" w:lineRule="auto"/>
        <w:ind w:firstLine="482" w:firstLineChars="200"/>
        <w:jc w:val="left"/>
        <w:textAlignment w:val="baseline"/>
        <w:rPr>
          <w:rStyle w:val="43"/>
          <w:rFonts w:hint="eastAsia" w:ascii="宋体" w:hAnsi="宋体" w:cs="宋体"/>
          <w:b/>
          <w:color w:val="auto"/>
          <w:sz w:val="24"/>
          <w:highlight w:val="none"/>
        </w:rPr>
      </w:pPr>
      <w:r>
        <w:rPr>
          <w:rStyle w:val="43"/>
          <w:rFonts w:hint="eastAsia" w:ascii="宋体" w:hAnsi="宋体" w:cs="宋体"/>
          <w:b/>
          <w:color w:val="auto"/>
          <w:sz w:val="24"/>
          <w:highlight w:val="none"/>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rPr>
          <w:rStyle w:val="43"/>
          <w:rFonts w:hint="eastAsia" w:ascii="宋体" w:hAnsi="宋体" w:cs="宋体"/>
          <w:b/>
          <w:color w:val="auto"/>
          <w:sz w:val="24"/>
          <w:highlight w:val="none"/>
        </w:rPr>
      </w:pPr>
      <w:r>
        <w:rPr>
          <w:rStyle w:val="43"/>
          <w:rFonts w:hint="eastAsia" w:ascii="宋体" w:hAnsi="宋体" w:cs="宋体"/>
          <w:b/>
          <w:color w:val="auto"/>
          <w:sz w:val="24"/>
          <w:highlight w:val="none"/>
        </w:rPr>
        <w:br w:type="page"/>
      </w:r>
      <w:r>
        <w:rPr>
          <w:rStyle w:val="43"/>
          <w:rFonts w:hint="eastAsia" w:ascii="宋体" w:hAnsi="宋体" w:cs="宋体"/>
          <w:b/>
          <w:color w:val="auto"/>
          <w:sz w:val="24"/>
          <w:highlight w:val="none"/>
        </w:rPr>
        <w:t>③监狱企业声明函</w:t>
      </w:r>
    </w:p>
    <w:p>
      <w:pPr>
        <w:snapToGrid w:val="0"/>
        <w:spacing w:line="620" w:lineRule="exact"/>
        <w:ind w:firstLine="504" w:firstLineChars="200"/>
        <w:textAlignment w:val="baseline"/>
        <w:rPr>
          <w:rStyle w:val="43"/>
          <w:rFonts w:hint="eastAsia" w:ascii="宋体" w:hAnsi="宋体" w:cs="宋体"/>
          <w:color w:val="auto"/>
          <w:spacing w:val="6"/>
          <w:sz w:val="24"/>
          <w:highlight w:val="none"/>
        </w:rPr>
      </w:pPr>
      <w:r>
        <w:rPr>
          <w:rStyle w:val="43"/>
          <w:rFonts w:hint="eastAsia" w:ascii="宋体" w:hAnsi="宋体" w:cs="宋体"/>
          <w:color w:val="auto"/>
          <w:spacing w:val="6"/>
          <w:sz w:val="24"/>
          <w:highlight w:val="none"/>
        </w:rPr>
        <w:t>本单位郑重声明，根据《财政部司法部关于政府采购支持监狱企业发展有关问题的通知》（财库〔2014〕68号）的规定，本单位为符合条件的监狱企业，且本单位参加</w:t>
      </w:r>
      <w:r>
        <w:rPr>
          <w:rStyle w:val="43"/>
          <w:rFonts w:hint="eastAsia" w:ascii="宋体" w:hAnsi="宋体" w:cs="宋体"/>
          <w:color w:val="auto"/>
          <w:spacing w:val="6"/>
          <w:sz w:val="24"/>
          <w:highlight w:val="none"/>
          <w:u w:val="single"/>
        </w:rPr>
        <w:t xml:space="preserve"> （采购单位名称） </w:t>
      </w:r>
      <w:r>
        <w:rPr>
          <w:rStyle w:val="43"/>
          <w:rFonts w:hint="eastAsia" w:ascii="宋体" w:hAnsi="宋体" w:cs="宋体"/>
          <w:color w:val="auto"/>
          <w:spacing w:val="6"/>
          <w:sz w:val="24"/>
          <w:highlight w:val="none"/>
        </w:rPr>
        <w:t>单位的</w:t>
      </w:r>
      <w:r>
        <w:rPr>
          <w:rStyle w:val="43"/>
          <w:rFonts w:hint="eastAsia" w:ascii="宋体" w:hAnsi="宋体" w:cs="宋体"/>
          <w:color w:val="auto"/>
          <w:spacing w:val="6"/>
          <w:sz w:val="24"/>
          <w:highlight w:val="none"/>
          <w:u w:val="single"/>
        </w:rPr>
        <w:t xml:space="preserve"> （采购项目名称） </w:t>
      </w:r>
      <w:r>
        <w:rPr>
          <w:rStyle w:val="43"/>
          <w:rFonts w:hint="eastAsia" w:ascii="宋体" w:hAnsi="宋体" w:cs="宋体"/>
          <w:color w:val="auto"/>
          <w:spacing w:val="6"/>
          <w:sz w:val="24"/>
          <w:highlight w:val="none"/>
        </w:rPr>
        <w:t>项目采购</w:t>
      </w:r>
      <w:r>
        <w:rPr>
          <w:rStyle w:val="43"/>
          <w:rFonts w:hint="eastAsia" w:ascii="宋体" w:hAnsi="宋体" w:cs="宋体"/>
          <w:color w:val="auto"/>
          <w:kern w:val="0"/>
          <w:sz w:val="24"/>
          <w:highlight w:val="none"/>
        </w:rPr>
        <w:t>活动，并提供：□本单位制造的货物；□由本单位承担的工程、提供服务；□提供其他监狱企业制造的货物（承诺人在□处打√）</w:t>
      </w:r>
      <w:r>
        <w:rPr>
          <w:rStyle w:val="43"/>
          <w:rFonts w:hint="eastAsia" w:ascii="宋体" w:hAnsi="宋体" w:cs="宋体"/>
          <w:color w:val="auto"/>
          <w:spacing w:val="6"/>
          <w:sz w:val="24"/>
          <w:highlight w:val="none"/>
        </w:rPr>
        <w:t>。</w:t>
      </w:r>
      <w:r>
        <w:rPr>
          <w:rStyle w:val="43"/>
          <w:rFonts w:hint="eastAsia" w:ascii="宋体" w:hAnsi="宋体" w:cs="宋体"/>
          <w:color w:val="auto"/>
          <w:kern w:val="0"/>
          <w:sz w:val="24"/>
          <w:highlight w:val="none"/>
        </w:rPr>
        <w:t>本条所称货物是指单一产品采购项目中的货物，或者非单一产品采购项目中的核心产品（货物）。</w:t>
      </w:r>
    </w:p>
    <w:p>
      <w:pPr>
        <w:snapToGrid w:val="0"/>
        <w:spacing w:line="620" w:lineRule="exact"/>
        <w:ind w:firstLine="504" w:firstLineChars="200"/>
        <w:textAlignment w:val="baseline"/>
        <w:rPr>
          <w:rStyle w:val="43"/>
          <w:rFonts w:hint="eastAsia" w:ascii="宋体" w:hAnsi="宋体" w:cs="宋体"/>
          <w:color w:val="auto"/>
          <w:spacing w:val="6"/>
          <w:sz w:val="24"/>
          <w:highlight w:val="none"/>
        </w:rPr>
      </w:pPr>
      <w:r>
        <w:rPr>
          <w:rStyle w:val="43"/>
          <w:rFonts w:hint="eastAsia" w:ascii="宋体" w:hAnsi="宋体" w:cs="宋体"/>
          <w:color w:val="auto"/>
          <w:spacing w:val="6"/>
          <w:sz w:val="24"/>
          <w:highlight w:val="none"/>
        </w:rPr>
        <w:t>本单位对上述声明的真实性负责。如有虚假，将依法承担相应责任。</w:t>
      </w:r>
    </w:p>
    <w:p>
      <w:pPr>
        <w:snapToGrid w:val="0"/>
        <w:spacing w:line="620" w:lineRule="exact"/>
        <w:ind w:firstLine="504" w:firstLineChars="200"/>
        <w:textAlignment w:val="baseline"/>
        <w:rPr>
          <w:rStyle w:val="43"/>
          <w:rFonts w:hint="eastAsia" w:ascii="宋体" w:hAnsi="宋体" w:cs="宋体"/>
          <w:color w:val="auto"/>
          <w:spacing w:val="6"/>
          <w:sz w:val="24"/>
          <w:highlight w:val="none"/>
        </w:rPr>
      </w:pPr>
      <w:r>
        <w:rPr>
          <w:rStyle w:val="43"/>
          <w:rFonts w:hint="eastAsia" w:ascii="宋体" w:hAnsi="宋体" w:cs="宋体"/>
          <w:color w:val="auto"/>
          <w:spacing w:val="6"/>
          <w:sz w:val="24"/>
          <w:highlight w:val="none"/>
        </w:rPr>
        <w:t>附：省级以上监狱管理局、戒毒管理局（含新疆生产建设兵团）出具的监狱企业证明文件。</w:t>
      </w:r>
    </w:p>
    <w:p>
      <w:pPr>
        <w:snapToGrid w:val="0"/>
        <w:spacing w:line="620" w:lineRule="exact"/>
        <w:ind w:firstLine="504" w:firstLineChars="200"/>
        <w:textAlignment w:val="baseline"/>
        <w:rPr>
          <w:rStyle w:val="43"/>
          <w:rFonts w:hint="eastAsia" w:ascii="宋体" w:hAnsi="宋体" w:cs="宋体"/>
          <w:color w:val="auto"/>
          <w:spacing w:val="6"/>
          <w:sz w:val="24"/>
          <w:highlight w:val="none"/>
        </w:rPr>
      </w:pPr>
    </w:p>
    <w:p>
      <w:pPr>
        <w:snapToGrid w:val="0"/>
        <w:spacing w:line="620" w:lineRule="exact"/>
        <w:ind w:firstLine="504" w:firstLineChars="200"/>
        <w:textAlignment w:val="baseline"/>
        <w:rPr>
          <w:rStyle w:val="43"/>
          <w:rFonts w:hint="eastAsia" w:ascii="宋体" w:hAnsi="宋体" w:cs="宋体"/>
          <w:color w:val="auto"/>
          <w:spacing w:val="6"/>
          <w:sz w:val="24"/>
          <w:highlight w:val="none"/>
        </w:rPr>
      </w:pPr>
    </w:p>
    <w:p>
      <w:pPr>
        <w:tabs>
          <w:tab w:val="left" w:pos="4860"/>
        </w:tabs>
        <w:snapToGrid w:val="0"/>
        <w:spacing w:line="620" w:lineRule="exact"/>
        <w:ind w:right="1560" w:firstLine="504" w:firstLineChars="200"/>
        <w:jc w:val="center"/>
        <w:textAlignment w:val="baseline"/>
        <w:rPr>
          <w:rStyle w:val="43"/>
          <w:rFonts w:hint="eastAsia" w:ascii="宋体" w:hAnsi="宋体" w:cs="宋体"/>
          <w:color w:val="auto"/>
          <w:spacing w:val="6"/>
          <w:sz w:val="24"/>
          <w:highlight w:val="none"/>
        </w:rPr>
      </w:pPr>
      <w:r>
        <w:rPr>
          <w:rStyle w:val="43"/>
          <w:rFonts w:hint="eastAsia" w:ascii="宋体" w:hAnsi="宋体" w:cs="宋体"/>
          <w:color w:val="auto"/>
          <w:spacing w:val="6"/>
          <w:sz w:val="24"/>
          <w:highlight w:val="none"/>
        </w:rPr>
        <w:t xml:space="preserve">               单位名称（盖章）：</w:t>
      </w:r>
    </w:p>
    <w:p>
      <w:pPr>
        <w:tabs>
          <w:tab w:val="left" w:pos="640"/>
          <w:tab w:val="left" w:pos="840"/>
          <w:tab w:val="left" w:pos="1260"/>
          <w:tab w:val="left" w:pos="1418"/>
        </w:tabs>
        <w:spacing w:line="360" w:lineRule="auto"/>
        <w:rPr>
          <w:rFonts w:hint="eastAsia" w:ascii="宋体" w:hAnsi="宋体" w:cs="宋体"/>
          <w:color w:val="auto"/>
          <w:spacing w:val="6"/>
          <w:sz w:val="24"/>
          <w:highlight w:val="none"/>
        </w:rPr>
      </w:pPr>
      <w:r>
        <w:rPr>
          <w:rStyle w:val="43"/>
          <w:rFonts w:hint="eastAsia" w:ascii="宋体" w:hAnsi="宋体" w:cs="宋体"/>
          <w:color w:val="auto"/>
          <w:spacing w:val="6"/>
          <w:sz w:val="24"/>
          <w:highlight w:val="none"/>
        </w:rPr>
        <w:t xml:space="preserve">                          日  期</w:t>
      </w:r>
      <w:r>
        <w:rPr>
          <w:rFonts w:hint="eastAsia" w:ascii="宋体" w:hAnsi="宋体" w:cs="宋体"/>
          <w:color w:val="auto"/>
          <w:spacing w:val="6"/>
          <w:sz w:val="24"/>
          <w:highlight w:val="none"/>
        </w:rPr>
        <w:t>：</w:t>
      </w:r>
    </w:p>
    <w:p>
      <w:pPr>
        <w:rPr>
          <w:color w:val="auto"/>
          <w:highlight w:val="none"/>
        </w:rPr>
      </w:pPr>
      <w:r>
        <w:rPr>
          <w:rFonts w:hint="eastAsia" w:ascii="宋体" w:hAnsi="宋体" w:cs="宋体"/>
          <w:color w:val="auto"/>
          <w:spacing w:val="6"/>
          <w:sz w:val="24"/>
          <w:highlight w:val="none"/>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供应商基本情况表、社保证明及股权关系证明</w:t>
      </w:r>
    </w:p>
    <w:p>
      <w:pPr>
        <w:snapToGrid w:val="0"/>
        <w:rPr>
          <w:rFonts w:hint="eastAsia" w:ascii="宋体" w:hAnsi="宋体" w:cs="宋体"/>
          <w:b/>
          <w:color w:val="auto"/>
          <w:sz w:val="24"/>
          <w:highlight w:val="none"/>
        </w:rPr>
      </w:pPr>
      <w:bookmarkStart w:id="76" w:name="OLE_LINK18"/>
    </w:p>
    <w:p>
      <w:pPr>
        <w:snapToGrid w:val="0"/>
        <w:rPr>
          <w:rFonts w:hint="eastAsia" w:ascii="宋体" w:hAnsi="宋体" w:cs="宋体"/>
          <w:b/>
          <w:color w:val="auto"/>
          <w:sz w:val="24"/>
          <w:highlight w:val="none"/>
        </w:rPr>
      </w:pPr>
      <w:r>
        <w:rPr>
          <w:rFonts w:hint="eastAsia" w:ascii="宋体" w:hAnsi="宋体" w:cs="宋体"/>
          <w:b/>
          <w:color w:val="auto"/>
          <w:sz w:val="24"/>
          <w:highlight w:val="none"/>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auto"/>
          <w:sz w:val="24"/>
          <w:highlight w:val="none"/>
        </w:rPr>
      </w:pPr>
    </w:p>
    <w:p>
      <w:pPr>
        <w:snapToGrid w:val="0"/>
        <w:rPr>
          <w:rFonts w:hint="eastAsia" w:ascii="宋体" w:hAnsi="宋体" w:cs="宋体"/>
          <w:b/>
          <w:color w:val="auto"/>
          <w:sz w:val="28"/>
          <w:szCs w:val="28"/>
          <w:highlight w:val="none"/>
        </w:rPr>
      </w:pPr>
      <w:r>
        <w:rPr>
          <w:rFonts w:hint="eastAsia" w:ascii="宋体" w:hAnsi="宋体" w:cs="宋体"/>
          <w:b/>
          <w:color w:val="auto"/>
          <w:sz w:val="28"/>
          <w:szCs w:val="28"/>
          <w:highlight w:val="none"/>
        </w:rPr>
        <w:t>1.《供应商基本情况表》</w:t>
      </w:r>
    </w:p>
    <w:p>
      <w:pPr>
        <w:adjustRightInd w:val="0"/>
        <w:snapToGrid w:val="0"/>
        <w:jc w:val="left"/>
        <w:rPr>
          <w:rFonts w:hint="eastAsia" w:ascii="宋体" w:hAnsi="宋体" w:cs="宋体"/>
          <w:color w:val="auto"/>
          <w:sz w:val="24"/>
          <w:highlight w:val="none"/>
        </w:rPr>
      </w:pPr>
      <w:r>
        <w:rPr>
          <w:rFonts w:hint="eastAsia" w:ascii="宋体" w:hAnsi="宋体" w:cs="宋体"/>
          <w:color w:val="auto"/>
          <w:sz w:val="24"/>
          <w:highlight w:val="none"/>
        </w:rPr>
        <w:t>填表单位（</w:t>
      </w:r>
      <w:r>
        <w:rPr>
          <w:rFonts w:hint="eastAsia" w:ascii="宋体" w:hAnsi="宋体" w:cs="宋体"/>
          <w:b/>
          <w:bCs/>
          <w:color w:val="auto"/>
          <w:sz w:val="24"/>
          <w:highlight w:val="none"/>
        </w:rPr>
        <w:t>加盖单位公章，必填项</w:t>
      </w:r>
      <w:r>
        <w:rPr>
          <w:rFonts w:hint="eastAsia" w:ascii="宋体" w:hAnsi="宋体" w:cs="宋体"/>
          <w:color w:val="auto"/>
          <w:sz w:val="24"/>
          <w:highlight w:val="none"/>
        </w:rPr>
        <w:t>）：</w:t>
      </w:r>
    </w:p>
    <w:p>
      <w:pPr>
        <w:adjustRightInd w:val="0"/>
        <w:snapToGrid w:val="0"/>
        <w:jc w:val="left"/>
        <w:rPr>
          <w:rFonts w:hint="eastAsia" w:ascii="宋体" w:hAnsi="宋体" w:cs="宋体"/>
          <w:color w:val="auto"/>
          <w:sz w:val="24"/>
          <w:highlight w:val="none"/>
        </w:rPr>
      </w:pPr>
      <w:r>
        <w:rPr>
          <w:rFonts w:hint="eastAsia" w:ascii="宋体" w:hAnsi="宋体" w:cs="宋体"/>
          <w:color w:val="auto"/>
          <w:sz w:val="24"/>
          <w:highlight w:val="none"/>
        </w:rPr>
        <w:t>填表日期（</w:t>
      </w:r>
      <w:r>
        <w:rPr>
          <w:rFonts w:hint="eastAsia" w:ascii="宋体" w:hAnsi="宋体" w:cs="宋体"/>
          <w:b/>
          <w:bCs/>
          <w:color w:val="auto"/>
          <w:sz w:val="24"/>
          <w:highlight w:val="none"/>
        </w:rPr>
        <w:t>必填项</w:t>
      </w:r>
      <w:r>
        <w:rPr>
          <w:rFonts w:hint="eastAsia" w:ascii="宋体" w:hAnsi="宋体" w:cs="宋体"/>
          <w:color w:val="auto"/>
          <w:sz w:val="24"/>
          <w:highlight w:val="none"/>
        </w:rPr>
        <w:t>）：        年     月      日</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采购人</w:t>
            </w:r>
          </w:p>
        </w:tc>
        <w:tc>
          <w:tcPr>
            <w:tcW w:w="1406" w:type="pct"/>
            <w:gridSpan w:val="2"/>
            <w:vAlign w:val="center"/>
          </w:tcPr>
          <w:p>
            <w:pPr>
              <w:widowControl/>
              <w:snapToGrid w:val="0"/>
              <w:jc w:val="center"/>
              <w:rPr>
                <w:rFonts w:hint="eastAsia" w:ascii="宋体" w:hAnsi="宋体" w:cs="宋体"/>
                <w:bCs/>
                <w:color w:val="auto"/>
                <w:sz w:val="24"/>
                <w:highlight w:val="none"/>
              </w:rPr>
            </w:pPr>
          </w:p>
        </w:tc>
        <w:tc>
          <w:tcPr>
            <w:tcW w:w="1188"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项目名称</w:t>
            </w:r>
          </w:p>
        </w:tc>
        <w:tc>
          <w:tcPr>
            <w:tcW w:w="1656" w:type="pct"/>
            <w:gridSpan w:val="2"/>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投标（响应）供应商</w:t>
            </w:r>
          </w:p>
        </w:tc>
        <w:tc>
          <w:tcPr>
            <w:tcW w:w="1406" w:type="pct"/>
            <w:gridSpan w:val="2"/>
            <w:vAlign w:val="center"/>
          </w:tcPr>
          <w:p>
            <w:pPr>
              <w:widowControl/>
              <w:snapToGrid w:val="0"/>
              <w:jc w:val="center"/>
              <w:rPr>
                <w:rFonts w:hint="eastAsia" w:ascii="宋体" w:hAnsi="宋体" w:cs="宋体"/>
                <w:bCs/>
                <w:color w:val="auto"/>
                <w:sz w:val="24"/>
                <w:highlight w:val="none"/>
              </w:rPr>
            </w:pPr>
          </w:p>
        </w:tc>
        <w:tc>
          <w:tcPr>
            <w:tcW w:w="1188"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供应商统一社会信用代码</w:t>
            </w:r>
          </w:p>
        </w:tc>
        <w:tc>
          <w:tcPr>
            <w:tcW w:w="1656" w:type="pct"/>
            <w:gridSpan w:val="2"/>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劳动合同</w:t>
            </w:r>
          </w:p>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缴纳社会</w:t>
            </w:r>
          </w:p>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
                <w:color w:val="auto"/>
                <w:sz w:val="24"/>
                <w:highlight w:val="none"/>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
                <w:color w:val="auto"/>
                <w:sz w:val="24"/>
                <w:highlight w:val="none"/>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auto"/>
                <w:sz w:val="24"/>
                <w:highlight w:val="none"/>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auto"/>
                <w:sz w:val="24"/>
                <w:highlight w:val="none"/>
              </w:rPr>
            </w:pPr>
          </w:p>
        </w:tc>
        <w:tc>
          <w:tcPr>
            <w:tcW w:w="821" w:type="pct"/>
            <w:tcBorders>
              <w:top w:val="single" w:color="auto" w:sz="4" w:space="0"/>
            </w:tcBorders>
            <w:vAlign w:val="center"/>
          </w:tcPr>
          <w:p>
            <w:pPr>
              <w:widowControl/>
              <w:snapToGrid w:val="0"/>
              <w:jc w:val="center"/>
              <w:rPr>
                <w:rFonts w:hint="eastAsia" w:ascii="宋体" w:hAnsi="宋体" w:cs="宋体"/>
                <w:bCs/>
                <w:color w:val="auto"/>
                <w:sz w:val="24"/>
                <w:highlight w:val="none"/>
              </w:rPr>
            </w:pPr>
          </w:p>
        </w:tc>
        <w:tc>
          <w:tcPr>
            <w:tcW w:w="835" w:type="pct"/>
            <w:tcBorders>
              <w:top w:val="single" w:color="auto" w:sz="4" w:space="0"/>
            </w:tcBorders>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4</w:t>
            </w:r>
          </w:p>
        </w:tc>
        <w:tc>
          <w:tcPr>
            <w:tcW w:w="1223"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主要技术人员（如有）</w:t>
            </w:r>
          </w:p>
        </w:tc>
        <w:tc>
          <w:tcPr>
            <w:tcW w:w="543" w:type="pct"/>
            <w:vAlign w:val="center"/>
          </w:tcPr>
          <w:p>
            <w:pPr>
              <w:widowControl/>
              <w:snapToGrid w:val="0"/>
              <w:jc w:val="center"/>
              <w:rPr>
                <w:rFonts w:hint="eastAsia" w:ascii="宋体" w:hAnsi="宋体" w:cs="宋体"/>
                <w:bCs/>
                <w:color w:val="auto"/>
                <w:sz w:val="24"/>
                <w:highlight w:val="none"/>
              </w:rPr>
            </w:pPr>
          </w:p>
        </w:tc>
        <w:tc>
          <w:tcPr>
            <w:tcW w:w="1188" w:type="pct"/>
            <w:gridSpan w:val="2"/>
            <w:vAlign w:val="center"/>
          </w:tcPr>
          <w:p>
            <w:pPr>
              <w:widowControl/>
              <w:snapToGrid w:val="0"/>
              <w:jc w:val="center"/>
              <w:rPr>
                <w:rFonts w:hint="eastAsia" w:ascii="宋体" w:hAnsi="宋体" w:cs="宋体"/>
                <w:bCs/>
                <w:color w:val="auto"/>
                <w:sz w:val="24"/>
                <w:highlight w:val="none"/>
              </w:rPr>
            </w:pPr>
          </w:p>
        </w:tc>
        <w:tc>
          <w:tcPr>
            <w:tcW w:w="821" w:type="pct"/>
            <w:vAlign w:val="center"/>
          </w:tcPr>
          <w:p>
            <w:pPr>
              <w:widowControl/>
              <w:snapToGrid w:val="0"/>
              <w:jc w:val="center"/>
              <w:rPr>
                <w:rFonts w:hint="eastAsia" w:ascii="宋体" w:hAnsi="宋体" w:cs="宋体"/>
                <w:bCs/>
                <w:color w:val="auto"/>
                <w:sz w:val="24"/>
                <w:highlight w:val="none"/>
              </w:rPr>
            </w:pPr>
          </w:p>
        </w:tc>
        <w:tc>
          <w:tcPr>
            <w:tcW w:w="835" w:type="pct"/>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5</w:t>
            </w:r>
          </w:p>
        </w:tc>
        <w:tc>
          <w:tcPr>
            <w:tcW w:w="1223"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
                <w:color w:val="auto"/>
                <w:sz w:val="24"/>
                <w:highlight w:val="none"/>
              </w:rPr>
              <w:t>投标文件编制人员（必填项）</w:t>
            </w:r>
          </w:p>
        </w:tc>
        <w:tc>
          <w:tcPr>
            <w:tcW w:w="543" w:type="pct"/>
            <w:vAlign w:val="center"/>
          </w:tcPr>
          <w:p>
            <w:pPr>
              <w:widowControl/>
              <w:snapToGrid w:val="0"/>
              <w:jc w:val="center"/>
              <w:rPr>
                <w:rFonts w:hint="eastAsia" w:ascii="宋体" w:hAnsi="宋体" w:cs="宋体"/>
                <w:bCs/>
                <w:color w:val="auto"/>
                <w:sz w:val="24"/>
                <w:highlight w:val="none"/>
              </w:rPr>
            </w:pPr>
          </w:p>
        </w:tc>
        <w:tc>
          <w:tcPr>
            <w:tcW w:w="1188" w:type="pct"/>
            <w:gridSpan w:val="2"/>
            <w:vAlign w:val="center"/>
          </w:tcPr>
          <w:p>
            <w:pPr>
              <w:widowControl/>
              <w:snapToGrid w:val="0"/>
              <w:jc w:val="center"/>
              <w:rPr>
                <w:rFonts w:hint="eastAsia" w:ascii="宋体" w:hAnsi="宋体" w:cs="宋体"/>
                <w:bCs/>
                <w:color w:val="auto"/>
                <w:sz w:val="24"/>
                <w:highlight w:val="none"/>
              </w:rPr>
            </w:pPr>
          </w:p>
        </w:tc>
        <w:tc>
          <w:tcPr>
            <w:tcW w:w="821" w:type="pct"/>
            <w:vAlign w:val="center"/>
          </w:tcPr>
          <w:p>
            <w:pPr>
              <w:widowControl/>
              <w:snapToGrid w:val="0"/>
              <w:jc w:val="center"/>
              <w:rPr>
                <w:rFonts w:hint="eastAsia" w:ascii="宋体" w:hAnsi="宋体" w:cs="宋体"/>
                <w:bCs/>
                <w:color w:val="auto"/>
                <w:sz w:val="24"/>
                <w:highlight w:val="none"/>
              </w:rPr>
            </w:pPr>
          </w:p>
        </w:tc>
        <w:tc>
          <w:tcPr>
            <w:tcW w:w="835" w:type="pct"/>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auto"/>
                <w:sz w:val="24"/>
                <w:highlight w:val="none"/>
              </w:rPr>
            </w:pPr>
            <w:r>
              <w:rPr>
                <w:rFonts w:hint="eastAsia" w:ascii="宋体" w:hAnsi="宋体" w:cs="宋体"/>
                <w:b/>
                <w:color w:val="auto"/>
                <w:sz w:val="24"/>
                <w:highlight w:val="none"/>
              </w:rPr>
              <w:t>说明：1.同一职务有多人担任（如主要技术人员），应分行填写。</w:t>
            </w:r>
          </w:p>
          <w:p>
            <w:pPr>
              <w:pStyle w:val="7"/>
              <w:ind w:firstLine="723" w:firstLineChars="300"/>
              <w:rPr>
                <w:rFonts w:hint="eastAsia" w:ascii="宋体" w:hAnsi="宋体" w:cs="宋体"/>
                <w:b/>
                <w:color w:val="auto"/>
                <w:sz w:val="24"/>
                <w:szCs w:val="24"/>
                <w:highlight w:val="none"/>
              </w:rPr>
            </w:pPr>
            <w:r>
              <w:rPr>
                <w:rFonts w:hint="eastAsia" w:ascii="宋体" w:hAnsi="宋体" w:cs="宋体"/>
                <w:b/>
                <w:color w:val="auto"/>
                <w:sz w:val="24"/>
                <w:szCs w:val="24"/>
                <w:highlight w:val="none"/>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
                <w:color w:val="auto"/>
                <w:sz w:val="24"/>
                <w:highlight w:val="none"/>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auto"/>
                <w:sz w:val="24"/>
                <w:highlight w:val="none"/>
              </w:rPr>
            </w:pPr>
            <w:r>
              <w:rPr>
                <w:rFonts w:hint="eastAsia" w:ascii="宋体" w:hAnsi="宋体" w:cs="宋体"/>
                <w:bCs/>
                <w:color w:val="auto"/>
                <w:sz w:val="24"/>
                <w:highlight w:val="none"/>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auto"/>
                <w:sz w:val="24"/>
                <w:highlight w:val="none"/>
              </w:rPr>
            </w:pPr>
            <w:r>
              <w:rPr>
                <w:rFonts w:hint="eastAsia" w:ascii="宋体" w:hAnsi="宋体" w:cs="宋体"/>
                <w:bCs/>
                <w:color w:val="auto"/>
                <w:sz w:val="24"/>
                <w:highlight w:val="none"/>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auto"/>
                <w:sz w:val="24"/>
                <w:highlight w:val="none"/>
              </w:rPr>
            </w:pPr>
            <w:r>
              <w:rPr>
                <w:rFonts w:hint="eastAsia" w:ascii="宋体" w:hAnsi="宋体" w:cs="宋体"/>
                <w:bCs/>
                <w:color w:val="auto"/>
                <w:sz w:val="24"/>
                <w:highlight w:val="none"/>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auto"/>
                <w:sz w:val="24"/>
                <w:highlight w:val="none"/>
              </w:rPr>
            </w:pPr>
            <w:r>
              <w:rPr>
                <w:rFonts w:hint="eastAsia" w:ascii="宋体" w:hAnsi="宋体" w:cs="宋体"/>
                <w:b/>
                <w:color w:val="auto"/>
                <w:sz w:val="24"/>
                <w:highlight w:val="none"/>
              </w:rPr>
              <w:t>说明：</w:t>
            </w:r>
          </w:p>
          <w:p>
            <w:pPr>
              <w:widowControl/>
              <w:snapToGrid w:val="0"/>
              <w:rPr>
                <w:rFonts w:hint="eastAsia" w:ascii="宋体" w:hAnsi="宋体" w:cs="宋体"/>
                <w:b/>
                <w:color w:val="auto"/>
                <w:sz w:val="24"/>
                <w:highlight w:val="none"/>
              </w:rPr>
            </w:pPr>
            <w:r>
              <w:rPr>
                <w:rFonts w:hint="eastAsia" w:ascii="宋体" w:hAnsi="宋体" w:cs="宋体"/>
                <w:b/>
                <w:color w:val="auto"/>
                <w:sz w:val="24"/>
                <w:highlight w:val="none"/>
              </w:rPr>
              <w:t>1.同一关联关系类型有多个主体的，应分行填写。</w:t>
            </w:r>
          </w:p>
          <w:p>
            <w:pPr>
              <w:pStyle w:val="7"/>
              <w:ind w:firstLine="0" w:firstLineChars="0"/>
              <w:rPr>
                <w:rFonts w:hint="eastAsia" w:ascii="宋体" w:hAnsi="宋体" w:cs="宋体"/>
                <w:color w:val="auto"/>
                <w:sz w:val="24"/>
                <w:szCs w:val="24"/>
                <w:highlight w:val="none"/>
              </w:rPr>
            </w:pPr>
            <w:r>
              <w:rPr>
                <w:rFonts w:hint="eastAsia" w:ascii="宋体" w:hAnsi="宋体" w:cs="宋体"/>
                <w:b/>
                <w:color w:val="auto"/>
                <w:sz w:val="24"/>
                <w:szCs w:val="24"/>
                <w:highlight w:val="none"/>
              </w:rPr>
              <w:t>2.上述规定的控股、管理关系仅限于直接控股、直接管理关系，不包括间接的控股或管理关系。</w:t>
            </w:r>
          </w:p>
        </w:tc>
      </w:tr>
    </w:tbl>
    <w:p>
      <w:pPr>
        <w:snapToGrid w:val="0"/>
        <w:rPr>
          <w:rFonts w:hint="eastAsia" w:ascii="宋体" w:hAnsi="宋体" w:cs="宋体"/>
          <w:b/>
          <w:color w:val="auto"/>
          <w:sz w:val="24"/>
          <w:highlight w:val="none"/>
        </w:rPr>
      </w:pPr>
      <w:r>
        <w:rPr>
          <w:rFonts w:hint="eastAsia" w:ascii="宋体" w:hAnsi="宋体" w:cs="宋体"/>
          <w:b/>
          <w:color w:val="auto"/>
          <w:sz w:val="24"/>
          <w:highlight w:val="none"/>
        </w:rPr>
        <w:t>备注：注明“必填项”的必须填写；未注明“必填项”的，如供应商未填写则视为未安排（或无）。</w:t>
      </w:r>
    </w:p>
    <w:p>
      <w:pPr>
        <w:widowControl/>
        <w:snapToGrid w:val="0"/>
        <w:rPr>
          <w:rFonts w:hint="eastAsia" w:ascii="宋体" w:hAnsi="宋体" w:cs="宋体"/>
          <w:b/>
          <w:color w:val="auto"/>
          <w:sz w:val="24"/>
          <w:highlight w:val="none"/>
        </w:rPr>
      </w:pPr>
    </w:p>
    <w:p>
      <w:pPr>
        <w:snapToGrid w:val="0"/>
        <w:rPr>
          <w:rFonts w:hint="eastAsia" w:ascii="宋体" w:hAnsi="宋体" w:cs="宋体"/>
          <w:b/>
          <w:color w:val="auto"/>
          <w:sz w:val="28"/>
          <w:szCs w:val="28"/>
          <w:highlight w:val="none"/>
        </w:rPr>
      </w:pPr>
      <w:r>
        <w:rPr>
          <w:rFonts w:hint="eastAsia" w:ascii="宋体" w:hAnsi="宋体" w:cs="宋体"/>
          <w:b/>
          <w:color w:val="auto"/>
          <w:sz w:val="28"/>
          <w:szCs w:val="28"/>
          <w:highlight w:val="none"/>
        </w:rPr>
        <w:t>2.社保</w:t>
      </w:r>
      <w:bookmarkStart w:id="77" w:name="OLE_LINK9"/>
      <w:r>
        <w:rPr>
          <w:rFonts w:hint="eastAsia" w:ascii="宋体" w:hAnsi="宋体" w:cs="宋体"/>
          <w:b/>
          <w:color w:val="auto"/>
          <w:sz w:val="28"/>
          <w:szCs w:val="28"/>
          <w:highlight w:val="none"/>
        </w:rPr>
        <w:t>证明</w:t>
      </w:r>
      <w:bookmarkEnd w:id="77"/>
      <w:r>
        <w:rPr>
          <w:rFonts w:hint="eastAsia" w:ascii="宋体" w:hAnsi="宋体" w:cs="宋体"/>
          <w:b/>
          <w:color w:val="auto"/>
          <w:sz w:val="28"/>
          <w:szCs w:val="28"/>
          <w:highlight w:val="none"/>
        </w:rPr>
        <w:t>材料：</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（1）法定代表人/单位负责人/主要经营负责人</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7"/>
        <w:widowControl/>
        <w:ind w:firstLine="480"/>
        <w:rPr>
          <w:rFonts w:hint="eastAsia" w:ascii="宋体" w:hAnsi="宋体" w:cs="宋体"/>
          <w:bCs/>
          <w:color w:val="auto"/>
          <w:sz w:val="24"/>
          <w:szCs w:val="24"/>
          <w:highlight w:val="none"/>
        </w:rPr>
      </w:pP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（2）投标授权代表人</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身份证复印件（正反面）：</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7"/>
        <w:widowControl/>
        <w:ind w:firstLine="480"/>
        <w:rPr>
          <w:rFonts w:hint="eastAsia" w:ascii="宋体" w:hAnsi="宋体" w:cs="宋体"/>
          <w:bCs/>
          <w:color w:val="auto"/>
          <w:sz w:val="24"/>
          <w:szCs w:val="24"/>
          <w:highlight w:val="none"/>
        </w:rPr>
      </w:pP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（3）项目负责人（如本项目未安排，可不提供）</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7"/>
        <w:widowControl/>
        <w:ind w:firstLine="480"/>
        <w:rPr>
          <w:rFonts w:hint="eastAsia" w:ascii="宋体" w:hAnsi="宋体" w:cs="宋体"/>
          <w:bCs/>
          <w:color w:val="auto"/>
          <w:sz w:val="24"/>
          <w:szCs w:val="24"/>
          <w:highlight w:val="none"/>
        </w:rPr>
      </w:pP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（4）主要技术人员（如本项目未安排，可不提供）</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身份证复印件（正反面）：</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7"/>
        <w:widowControl/>
        <w:ind w:firstLine="480"/>
        <w:rPr>
          <w:rFonts w:hint="eastAsia" w:ascii="宋体" w:hAnsi="宋体" w:cs="宋体"/>
          <w:bCs/>
          <w:color w:val="auto"/>
          <w:sz w:val="24"/>
          <w:szCs w:val="24"/>
          <w:highlight w:val="none"/>
        </w:rPr>
      </w:pPr>
    </w:p>
    <w:p>
      <w:pPr>
        <w:widowControl/>
        <w:numPr>
          <w:ilvl w:val="0"/>
          <w:numId w:val="13"/>
        </w:numPr>
        <w:snapToGrid w:val="0"/>
        <w:rPr>
          <w:rFonts w:hint="eastAsia" w:ascii="宋体" w:hAnsi="宋体" w:cs="宋体"/>
          <w:bCs/>
          <w:color w:val="auto"/>
          <w:sz w:val="24"/>
          <w:highlight w:val="none"/>
        </w:rPr>
      </w:pPr>
      <w:r>
        <w:rPr>
          <w:rFonts w:hint="eastAsia" w:ascii="宋体" w:hAnsi="宋体" w:cs="宋体"/>
          <w:bCs/>
          <w:color w:val="auto"/>
          <w:sz w:val="24"/>
          <w:highlight w:val="none"/>
        </w:rPr>
        <w:t>投标文件编制人员</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身份证复印件（正反面）：</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7"/>
        <w:widowControl/>
        <w:ind w:firstLine="480"/>
        <w:rPr>
          <w:rFonts w:hint="eastAsia" w:ascii="宋体" w:hAnsi="宋体" w:cs="宋体"/>
          <w:color w:val="auto"/>
          <w:sz w:val="24"/>
          <w:szCs w:val="24"/>
          <w:highlight w:val="none"/>
        </w:rPr>
      </w:pP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注：</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3.如无法按上述要求提供人员社会保险证明材料的，提交以下材料亦视为符合：</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auto"/>
          <w:sz w:val="28"/>
          <w:szCs w:val="28"/>
          <w:highlight w:val="none"/>
        </w:rPr>
      </w:pPr>
    </w:p>
    <w:p>
      <w:pPr>
        <w:snapToGrid w:val="0"/>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3.</w:t>
      </w:r>
      <w:bookmarkStart w:id="78" w:name="OLE_LINK10"/>
      <w:r>
        <w:rPr>
          <w:rFonts w:hint="eastAsia" w:ascii="宋体" w:hAnsi="宋体" w:cs="宋体"/>
          <w:b/>
          <w:color w:val="auto"/>
          <w:sz w:val="28"/>
          <w:szCs w:val="28"/>
          <w:highlight w:val="none"/>
        </w:rPr>
        <w:t>股权关系证明</w:t>
      </w:r>
      <w:bookmarkEnd w:id="78"/>
      <w:r>
        <w:rPr>
          <w:rFonts w:hint="eastAsia" w:ascii="宋体" w:hAnsi="宋体" w:cs="宋体"/>
          <w:b/>
          <w:color w:val="auto"/>
          <w:sz w:val="28"/>
          <w:szCs w:val="28"/>
          <w:highlight w:val="none"/>
        </w:rPr>
        <w:t>材料：</w:t>
      </w:r>
    </w:p>
    <w:p>
      <w:pPr>
        <w:widowControl/>
        <w:snapToGrid w:val="0"/>
        <w:rPr>
          <w:rFonts w:hint="eastAsia" w:ascii="宋体" w:hAnsi="宋体" w:cs="宋体"/>
          <w:b/>
          <w:color w:val="auto"/>
          <w:sz w:val="24"/>
          <w:highlight w:val="none"/>
        </w:rPr>
      </w:pPr>
      <w:r>
        <w:rPr>
          <w:rFonts w:hint="eastAsia" w:ascii="宋体" w:hAnsi="宋体" w:cs="宋体"/>
          <w:b/>
          <w:color w:val="auto"/>
          <w:sz w:val="24"/>
          <w:highlight w:val="none"/>
        </w:rPr>
        <w:t>（1）股权（或管理）关系证明材料：</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auto"/>
          <w:sz w:val="24"/>
          <w:highlight w:val="none"/>
        </w:rPr>
      </w:pPr>
    </w:p>
    <w:p>
      <w:pPr>
        <w:widowControl/>
        <w:snapToGrid w:val="0"/>
        <w:jc w:val="left"/>
        <w:rPr>
          <w:rFonts w:hint="eastAsia" w:ascii="宋体" w:hAnsi="宋体" w:cs="宋体"/>
          <w:b/>
          <w:color w:val="auto"/>
          <w:sz w:val="24"/>
          <w:highlight w:val="none"/>
        </w:rPr>
      </w:pPr>
      <w:r>
        <w:rPr>
          <w:rFonts w:hint="eastAsia" w:ascii="宋体" w:hAnsi="宋体" w:cs="宋体"/>
          <w:b/>
          <w:color w:val="auto"/>
          <w:sz w:val="24"/>
          <w:highlight w:val="none"/>
        </w:rPr>
        <w:t>（2）股权关系情况承诺函</w:t>
      </w:r>
    </w:p>
    <w:p>
      <w:pPr>
        <w:widowControl/>
        <w:snapToGrid w:val="0"/>
        <w:ind w:firstLine="482" w:firstLineChars="200"/>
        <w:jc w:val="center"/>
        <w:rPr>
          <w:rFonts w:hint="eastAsia" w:ascii="宋体" w:hAnsi="宋体" w:cs="宋体"/>
          <w:bCs/>
          <w:color w:val="auto"/>
          <w:sz w:val="24"/>
          <w:highlight w:val="none"/>
        </w:rPr>
      </w:pPr>
      <w:r>
        <w:rPr>
          <w:rFonts w:hint="eastAsia" w:ascii="宋体" w:hAnsi="宋体" w:cs="宋体"/>
          <w:b/>
          <w:color w:val="auto"/>
          <w:sz w:val="24"/>
          <w:highlight w:val="none"/>
        </w:rPr>
        <w:t>《股权关系情况承诺函》</w:t>
      </w:r>
    </w:p>
    <w:p>
      <w:pPr>
        <w:widowControl/>
        <w:snapToGrid w:val="0"/>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我公司申请参加</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项目（项目编号为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）的投标，并作出如下承诺：</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我公司承诺所填的股权关系情况真实、准确、完整。</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特此承诺！</w:t>
      </w:r>
    </w:p>
    <w:p>
      <w:pPr>
        <w:widowControl/>
        <w:snapToGrid w:val="0"/>
        <w:rPr>
          <w:rFonts w:hint="eastAsia" w:ascii="宋体" w:hAnsi="宋体" w:cs="宋体"/>
          <w:bCs/>
          <w:color w:val="auto"/>
          <w:sz w:val="24"/>
          <w:highlight w:val="none"/>
        </w:rPr>
      </w:pP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 xml:space="preserve">                                供应商名称（加盖公章</w:t>
      </w:r>
      <w:r>
        <w:rPr>
          <w:rFonts w:hint="eastAsia" w:ascii="宋体" w:hAnsi="宋体" w:cs="宋体"/>
          <w:bCs/>
          <w:color w:val="auto"/>
          <w:sz w:val="24"/>
          <w:highlight w:val="none"/>
        </w:rPr>
        <w:tab/>
      </w:r>
      <w:r>
        <w:rPr>
          <w:rFonts w:hint="eastAsia" w:ascii="宋体" w:hAnsi="宋体" w:cs="宋体"/>
          <w:bCs/>
          <w:color w:val="auto"/>
          <w:sz w:val="24"/>
          <w:highlight w:val="none"/>
        </w:rPr>
        <w:t xml:space="preserve">）： </w:t>
      </w:r>
    </w:p>
    <w:p>
      <w:pPr>
        <w:widowControl/>
        <w:snapToGrid w:val="0"/>
        <w:ind w:firstLine="3840" w:firstLineChars="1600"/>
        <w:rPr>
          <w:rFonts w:hint="eastAsia" w:ascii="宋体" w:hAnsi="宋体" w:cs="宋体"/>
          <w:bCs/>
          <w:color w:val="auto"/>
          <w:sz w:val="24"/>
          <w:highlight w:val="none"/>
        </w:rPr>
      </w:pPr>
      <w:r>
        <w:rPr>
          <w:rFonts w:hint="eastAsia" w:ascii="宋体" w:hAnsi="宋体" w:cs="宋体"/>
          <w:bCs/>
          <w:color w:val="auto"/>
          <w:sz w:val="24"/>
          <w:highlight w:val="none"/>
        </w:rPr>
        <w:t>日  期：       年    月   日</w:t>
      </w:r>
    </w:p>
    <w:p>
      <w:pPr>
        <w:widowControl/>
        <w:snapToGrid w:val="0"/>
        <w:rPr>
          <w:rFonts w:hint="eastAsia" w:ascii="宋体" w:hAnsi="宋体" w:cs="宋体"/>
          <w:bCs/>
          <w:color w:val="auto"/>
          <w:sz w:val="24"/>
          <w:highlight w:val="none"/>
        </w:rPr>
      </w:pPr>
    </w:p>
    <w:p>
      <w:pPr>
        <w:tabs>
          <w:tab w:val="left" w:pos="640"/>
          <w:tab w:val="left" w:pos="840"/>
          <w:tab w:val="left" w:pos="1260"/>
          <w:tab w:val="left" w:pos="1418"/>
        </w:tabs>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注：代理机构将于截标当日同步通过上述网站进行查询，查询结果与供应商填报信息不一致的，以代理机构于截标当日的查询结果为准。</w:t>
      </w:r>
      <w:bookmarkEnd w:id="76"/>
    </w:p>
    <w:p>
      <w:pPr>
        <w:tabs>
          <w:tab w:val="left" w:pos="840"/>
          <w:tab w:val="left" w:pos="1119"/>
          <w:tab w:val="left" w:pos="1418"/>
        </w:tabs>
        <w:spacing w:line="360" w:lineRule="auto"/>
        <w:rPr>
          <w:rFonts w:hint="eastAsia" w:ascii="宋体" w:hAnsi="宋体" w:cs="宋体"/>
          <w:color w:val="auto"/>
          <w:sz w:val="24"/>
          <w:highlight w:val="none"/>
        </w:rPr>
      </w:pPr>
    </w:p>
    <w:p>
      <w:pPr>
        <w:rPr>
          <w:color w:val="auto"/>
          <w:highlight w:val="none"/>
        </w:rPr>
      </w:pP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rPr>
          <w:color w:val="auto"/>
          <w:highlight w:val="none"/>
        </w:rPr>
      </w:pP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投标人认为有必要提供的其他材料。</w:t>
      </w:r>
    </w:p>
    <w:p>
      <w:pPr>
        <w:spacing w:line="360" w:lineRule="auto"/>
        <w:rPr>
          <w:rFonts w:hint="eastAsia" w:ascii="宋体" w:hAnsi="宋体" w:cs="宋体"/>
          <w:color w:val="auto"/>
          <w:sz w:val="24"/>
          <w:highlight w:val="none"/>
        </w:rPr>
      </w:pPr>
    </w:p>
    <w:p>
      <w:pPr>
        <w:spacing w:line="360" w:lineRule="auto"/>
        <w:outlineLvl w:val="2"/>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（三）技术部分</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用户需求响应表；</w:t>
      </w:r>
    </w:p>
    <w:p>
      <w:pPr>
        <w:spacing w:after="78" w:line="360" w:lineRule="auto"/>
        <w:jc w:val="center"/>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用户需求响应表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pPr>
        <w:spacing w:after="78" w:line="360" w:lineRule="auto"/>
        <w:rPr>
          <w:rFonts w:hint="eastAsia" w:ascii="宋体" w:hAnsi="宋体" w:cs="宋体"/>
          <w:bCs/>
          <w:color w:val="auto"/>
          <w:sz w:val="24"/>
          <w:highlight w:val="none"/>
        </w:rPr>
      </w:pPr>
      <w:r>
        <w:rPr>
          <w:rFonts w:hint="eastAsia" w:ascii="宋体" w:hAnsi="宋体" w:cs="宋体"/>
          <w:bCs/>
          <w:color w:val="auto"/>
          <w:sz w:val="24"/>
          <w:highlight w:val="none"/>
        </w:rPr>
        <w:t>据招标文件要求，我公司承诺响应如下：</w:t>
      </w:r>
    </w:p>
    <w:tbl>
      <w:tblPr>
        <w:tblStyle w:val="19"/>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3507" w:type="dxa"/>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招标文件要求</w:t>
            </w:r>
          </w:p>
        </w:tc>
        <w:tc>
          <w:tcPr>
            <w:tcW w:w="3052" w:type="dxa"/>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投标文件响应</w:t>
            </w:r>
          </w:p>
        </w:tc>
        <w:tc>
          <w:tcPr>
            <w:tcW w:w="2106" w:type="dxa"/>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3507" w:type="dxa"/>
            <w:vAlign w:val="center"/>
          </w:tcPr>
          <w:p>
            <w:pPr>
              <w:spacing w:after="78" w:line="360" w:lineRule="auto"/>
              <w:rPr>
                <w:rFonts w:hint="eastAsia" w:ascii="宋体" w:hAnsi="宋体" w:cs="宋体"/>
                <w:bCs/>
                <w:color w:val="auto"/>
                <w:sz w:val="24"/>
                <w:highlight w:val="none"/>
              </w:rPr>
            </w:pPr>
            <w:r>
              <w:rPr>
                <w:rFonts w:hint="eastAsia" w:ascii="宋体" w:hAnsi="宋体" w:cs="宋体"/>
                <w:b/>
                <w:color w:val="auto"/>
                <w:sz w:val="24"/>
                <w:highlight w:val="none"/>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auto"/>
                <w:sz w:val="24"/>
                <w:highlight w:val="none"/>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无需另行编制填写内容。</w:t>
            </w:r>
          </w:p>
        </w:tc>
        <w:tc>
          <w:tcPr>
            <w:tcW w:w="2106" w:type="dxa"/>
            <w:vAlign w:val="center"/>
          </w:tcPr>
          <w:p>
            <w:pPr>
              <w:spacing w:line="360" w:lineRule="auto"/>
              <w:jc w:val="center"/>
              <w:rPr>
                <w:rFonts w:hint="eastAsia" w:ascii="宋体" w:hAnsi="宋体" w:cs="宋体"/>
                <w:bCs/>
                <w:color w:val="auto"/>
                <w:sz w:val="24"/>
                <w:highlight w:val="none"/>
              </w:rPr>
            </w:pPr>
          </w:p>
        </w:tc>
      </w:tr>
    </w:tbl>
    <w:p>
      <w:pPr>
        <w:spacing w:after="78" w:line="360" w:lineRule="auto"/>
        <w:rPr>
          <w:rFonts w:hint="eastAsia" w:ascii="宋体" w:hAnsi="宋体" w:cs="宋体"/>
          <w:bCs/>
          <w:color w:val="auto"/>
          <w:sz w:val="24"/>
          <w:highlight w:val="none"/>
        </w:rPr>
      </w:pPr>
    </w:p>
    <w:p>
      <w:pPr>
        <w:spacing w:after="78" w:line="360" w:lineRule="auto"/>
        <w:rPr>
          <w:rFonts w:hint="eastAsia" w:ascii="宋体" w:hAnsi="宋体" w:cs="宋体"/>
          <w:bCs/>
          <w:color w:val="auto"/>
          <w:sz w:val="24"/>
          <w:highlight w:val="none"/>
        </w:rPr>
      </w:pPr>
      <w:r>
        <w:rPr>
          <w:rFonts w:hint="eastAsia" w:ascii="宋体" w:hAnsi="宋体" w:cs="宋体"/>
          <w:bCs/>
          <w:color w:val="auto"/>
          <w:sz w:val="24"/>
          <w:highlight w:val="none"/>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9"/>
        <w:spacing w:line="360" w:lineRule="auto"/>
        <w:rPr>
          <w:color w:val="auto"/>
          <w:highlight w:val="none"/>
          <w:lang w:val="fr-CH"/>
        </w:rPr>
      </w:pP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sq-AL"/>
        </w:rPr>
      </w:pPr>
      <w:r>
        <w:rPr>
          <w:rFonts w:hint="eastAsia" w:ascii="宋体" w:hAnsi="宋体" w:cs="宋体"/>
          <w:color w:val="auto"/>
          <w:sz w:val="24"/>
          <w:highlight w:val="none"/>
          <w:lang w:val="sq-AL"/>
        </w:rPr>
        <w:br w:type="page"/>
      </w:r>
      <w:bookmarkStart w:id="79" w:name="OLE_LINK32"/>
      <w:r>
        <w:rPr>
          <w:rFonts w:hint="eastAsia" w:ascii="宋体" w:hAnsi="宋体" w:cs="宋体"/>
          <w:color w:val="auto"/>
          <w:sz w:val="24"/>
          <w:highlight w:val="none"/>
          <w:lang w:val="sq-AL"/>
        </w:rPr>
        <w:t>实施方案；</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sq-AL"/>
        </w:rPr>
      </w:pPr>
      <w:r>
        <w:rPr>
          <w:rFonts w:hint="eastAsia" w:ascii="宋体" w:hAnsi="宋体" w:cs="宋体"/>
          <w:color w:val="auto"/>
          <w:sz w:val="24"/>
          <w:highlight w:val="none"/>
          <w:lang w:val="sq-AL"/>
        </w:rPr>
        <w:t>项目重点难点分析、应对措施及相关的合理化建议；</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sq-AL"/>
        </w:rPr>
      </w:pPr>
      <w:r>
        <w:rPr>
          <w:rFonts w:hint="eastAsia" w:ascii="宋体" w:hAnsi="宋体" w:cs="宋体"/>
          <w:color w:val="auto"/>
          <w:sz w:val="24"/>
          <w:highlight w:val="none"/>
          <w:lang w:val="sq-AL"/>
        </w:rPr>
        <w:t>质量保障措施及方案；</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sq-AL"/>
        </w:rPr>
      </w:pPr>
      <w:r>
        <w:rPr>
          <w:rFonts w:hint="eastAsia" w:ascii="宋体" w:hAnsi="宋体" w:cs="宋体"/>
          <w:color w:val="auto"/>
          <w:sz w:val="24"/>
          <w:highlight w:val="none"/>
          <w:lang w:val="sq-AL"/>
        </w:rPr>
        <w:t>服务承诺；</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sq-AL"/>
        </w:rPr>
      </w:pPr>
      <w:r>
        <w:rPr>
          <w:rFonts w:hint="eastAsia" w:ascii="宋体" w:hAnsi="宋体" w:cs="宋体"/>
          <w:color w:val="auto"/>
          <w:sz w:val="24"/>
          <w:highlight w:val="none"/>
          <w:lang w:val="sq-AL"/>
        </w:rPr>
        <w:t>违约承诺；</w:t>
      </w:r>
      <w:bookmarkEnd w:id="79"/>
    </w:p>
    <w:p>
      <w:pPr>
        <w:tabs>
          <w:tab w:val="left" w:pos="640"/>
          <w:tab w:val="left" w:pos="1260"/>
          <w:tab w:val="left" w:pos="1418"/>
        </w:tabs>
        <w:jc w:val="center"/>
        <w:rPr>
          <w:rFonts w:hint="eastAsia" w:ascii="宋体" w:hAnsi="宋体" w:cs="宋体"/>
          <w:b/>
          <w:bCs/>
          <w:color w:val="auto"/>
          <w:sz w:val="24"/>
          <w:highlight w:val="none"/>
        </w:rPr>
      </w:pPr>
    </w:p>
    <w:p>
      <w:pPr>
        <w:tabs>
          <w:tab w:val="left" w:pos="640"/>
          <w:tab w:val="left" w:pos="1260"/>
          <w:tab w:val="left" w:pos="1418"/>
        </w:tabs>
        <w:jc w:val="center"/>
        <w:rPr>
          <w:rFonts w:hint="eastAsia" w:ascii="宋体" w:hAnsi="宋体" w:cs="宋体"/>
          <w:b/>
          <w:bCs/>
          <w:color w:val="auto"/>
          <w:sz w:val="24"/>
          <w:highlight w:val="none"/>
        </w:rPr>
      </w:pPr>
    </w:p>
    <w:p>
      <w:pPr>
        <w:tabs>
          <w:tab w:val="left" w:pos="640"/>
          <w:tab w:val="left" w:pos="1260"/>
          <w:tab w:val="left" w:pos="1418"/>
        </w:tabs>
        <w:jc w:val="center"/>
        <w:rPr>
          <w:rFonts w:hint="eastAsia" w:ascii="宋体" w:hAnsi="宋体" w:cs="宋体"/>
          <w:b/>
          <w:bCs/>
          <w:color w:val="auto"/>
          <w:sz w:val="24"/>
          <w:highlight w:val="none"/>
        </w:rPr>
      </w:pPr>
      <w:r>
        <w:rPr>
          <w:rFonts w:hint="eastAsia" w:ascii="宋体" w:hAnsi="宋体" w:cs="宋体"/>
          <w:b/>
          <w:bCs/>
          <w:color w:val="auto"/>
          <w:sz w:val="24"/>
          <w:highlight w:val="none"/>
        </w:rPr>
        <w:t>注：以上各项请根据“招标项目评分表”中的要求自行填写并提供相应的证明材料。</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投标人认为有必要提供的其他材料。</w:t>
      </w:r>
      <w:bookmarkEnd w:id="60"/>
    </w:p>
    <w:p>
      <w:pPr>
        <w:tabs>
          <w:tab w:val="left" w:pos="360"/>
        </w:tabs>
        <w:spacing w:line="300" w:lineRule="auto"/>
        <w:outlineLvl w:val="0"/>
        <w:rPr>
          <w:rFonts w:hint="eastAsia" w:ascii="宋体" w:hAnsi="宋体" w:cs="宋体"/>
          <w:b/>
          <w:bCs/>
          <w:color w:val="auto"/>
          <w:sz w:val="24"/>
          <w:highlight w:val="none"/>
        </w:rPr>
      </w:pPr>
      <w:r>
        <w:rPr>
          <w:rFonts w:hint="eastAsia" w:ascii="宋体" w:hAnsi="宋体" w:cs="宋体"/>
          <w:color w:val="auto"/>
          <w:sz w:val="24"/>
          <w:highlight w:val="none"/>
          <w:lang w:val="fr-CH"/>
        </w:rPr>
        <w:br w:type="page"/>
      </w:r>
      <w:bookmarkStart w:id="80" w:name="_Toc6251"/>
      <w:bookmarkStart w:id="81" w:name="_Toc742"/>
      <w:bookmarkStart w:id="82" w:name="_Toc2231"/>
      <w:r>
        <w:rPr>
          <w:rFonts w:hint="eastAsia" w:ascii="宋体" w:hAnsi="宋体" w:cs="宋体"/>
          <w:b/>
          <w:bCs/>
          <w:color w:val="auto"/>
          <w:sz w:val="24"/>
          <w:highlight w:val="none"/>
        </w:rPr>
        <w:t>附件：相关政策</w:t>
      </w:r>
      <w:bookmarkEnd w:id="80"/>
      <w:bookmarkEnd w:id="81"/>
      <w:bookmarkEnd w:id="82"/>
    </w:p>
    <w:p>
      <w:pPr>
        <w:tabs>
          <w:tab w:val="left" w:pos="360"/>
        </w:tabs>
        <w:outlineLvl w:val="1"/>
        <w:rPr>
          <w:rFonts w:hint="eastAsia" w:ascii="宋体" w:hAnsi="宋体" w:cs="宋体"/>
          <w:b/>
          <w:bCs/>
          <w:color w:val="auto"/>
          <w:sz w:val="24"/>
          <w:highlight w:val="none"/>
        </w:rPr>
      </w:pPr>
      <w:r>
        <w:rPr>
          <w:rFonts w:hint="eastAsia" w:ascii="宋体" w:hAnsi="宋体" w:cs="宋体"/>
          <w:b/>
          <w:bCs/>
          <w:color w:val="auto"/>
          <w:sz w:val="24"/>
          <w:highlight w:val="none"/>
        </w:rPr>
        <w:t>1、财政部、工业和信息化部《关于印发〈政府采购促进中小企业发展管理办法〉的通知》（财库〔2020〕46 号）</w:t>
      </w:r>
    </w:p>
    <w:p>
      <w:pPr>
        <w:pStyle w:val="9"/>
        <w:tabs>
          <w:tab w:val="left" w:pos="562"/>
          <w:tab w:val="left" w:pos="3372"/>
          <w:tab w:val="left" w:pos="3653"/>
        </w:tabs>
        <w:rPr>
          <w:rFonts w:hint="eastAsia" w:ascii="宋体" w:hAnsi="宋体" w:cs="宋体"/>
          <w:color w:val="auto"/>
          <w:highlight w:val="none"/>
        </w:rPr>
      </w:pPr>
    </w:p>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关于印发《政府采购促进中小企业发展管理办法》的通知</w:t>
      </w:r>
    </w:p>
    <w:p>
      <w:pPr>
        <w:widowControl/>
        <w:shd w:val="clear" w:color="auto" w:fill="FFFFFF"/>
        <w:spacing w:after="24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财库〔2020〕46号</w:t>
      </w:r>
    </w:p>
    <w:p>
      <w:pPr>
        <w:widowControl/>
        <w:shd w:val="clear" w:color="auto" w:fill="FFFFFF"/>
        <w:spacing w:after="2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附件：政府采购促进中小企业发展管理办法</w:t>
      </w:r>
    </w:p>
    <w:p>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财  政  部</w:t>
      </w:r>
    </w:p>
    <w:p>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工业和信息化部</w:t>
      </w:r>
    </w:p>
    <w:p>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2020年12月18日</w:t>
      </w:r>
    </w:p>
    <w:p>
      <w:pPr>
        <w:autoSpaceDE w:val="0"/>
        <w:autoSpaceDN w:val="0"/>
        <w:adjustRightInd w:val="0"/>
        <w:jc w:val="left"/>
        <w:rPr>
          <w:rFonts w:hint="eastAsia" w:ascii="宋体" w:hAnsi="宋体" w:cs="宋体"/>
          <w:color w:val="auto"/>
          <w:kern w:val="0"/>
          <w:sz w:val="24"/>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政府采购促进中小企业发展管理办法</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第一条 为了发挥政府采购的政策功能，促进中小企业健康发展，根据《中华人民共和国政府采购法》、《中华人民共和国中小企业促进法》等有关法律法规，制定本办法。</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第三条 采购人在政府采购活动中应当通过加强采购需求管理，落实预留采购份额、价格评审优惠、优先采购等 措施，提高中小企业在政府采购中的份额，支持中小企业发展。</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第四条 在政府采购活动中，供应商提供的货物、工程或者服务符合下列情形的，享受本办法规定的中小企业扶持政策：</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（一）在货物采购项目中，货物由中小企业制造，即货 物由中小企业生产且使用该中小企业商号或者注册商标；</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（二）在工程采购项目中，工程由中小企业承建，即工 程施工单位为中小企业；</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（三）在服务采购项目中，服务由中小企业承接，即提供服务的人员为中小企业依照《中华人民共和国劳动合同法》订立劳动合同的从业人员。</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在货物采购项目中，供应商提供的货物既有中小企业制造货物，也有大型企业制造货物的，不享受本办法规定的中小企业扶持政策。</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以联合体形式参加政府采购活动，联合体各方均为中小企业的，联合体视同中小企业。其中，联合体各方均为小微企业的，联合体视同小微企业。</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9"/>
        <w:tabs>
          <w:tab w:val="left" w:pos="562"/>
          <w:tab w:val="left" w:pos="3372"/>
          <w:tab w:val="left" w:pos="3653"/>
        </w:tabs>
        <w:ind w:firstLine="480" w:firstLineChars="200"/>
        <w:rPr>
          <w:rFonts w:hint="eastAsia" w:ascii="宋体" w:hAnsi="宋体" w:cs="宋体"/>
          <w:color w:val="auto"/>
          <w:highlight w:val="none"/>
        </w:rPr>
      </w:pPr>
      <w:r>
        <w:rPr>
          <w:rFonts w:hint="eastAsia" w:ascii="宋体" w:hAnsi="宋体" w:cs="宋体"/>
          <w:color w:val="auto"/>
          <w:kern w:val="0"/>
          <w:highlight w:val="none"/>
        </w:rPr>
        <w:t>符合下列情形之一的，可不专门面向中小企业预留采购</w:t>
      </w:r>
      <w:r>
        <w:rPr>
          <w:rFonts w:hint="eastAsia" w:ascii="宋体" w:hAnsi="宋体" w:cs="宋体"/>
          <w:color w:val="auto"/>
          <w:highlight w:val="none"/>
        </w:rPr>
        <w:t>份额：</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（一）法律法规和国家有关政策明确规定优先或者应当面向事业单位、社会组织等非企业主体采购的；</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（二）因确需使用不可替代的专利、专有技术，基础设施限制，或者提供特定公共服务等原因，只能从中小企业之外的供应商处采购的；</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（三）按照本办法规定预留采购份额无法确保充分供应、充分竞争，或者存在可能影响政府采购目标实现的情形；</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（四）框架协议采购项目；</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（五）省级以上人民政府财政部门规定的其他情形。 除上述情形外，其他均为适宜由中小企业提供的情形。</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第七条采购限额标准以上，200万元以下的货物和服务采购项目、400 万元以下的工程采购项目，适宜由中小企业提供的，采购人应当专门面向中小企业采购。</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（一）将采购项目整体或者设置采购包专门面向中小企业采购；</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（二）要求供应商以联合体形式参加采购活动，且联合体中中小企业承担的部分达到一定比例；</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（三）要求获得采购合同的供应商将采购项目中的一定比例分包给一家或者多家中小企业。</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组成联合体或者接受分包合同的中小企业与联合体内 其他企业、分包企业之间不得存在直接控股、管理关系。</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第十二条 采购项目涉及中小企业采购的，采购文件应当明确以下内容：</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（一）预留份额的采购项目或者采购包，明确该项目或相关采购包专门面向中小企业采购，以及相关标的及预算金额；</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（二）要求以联合体形式参加或者合同分包的，明确联合协议或者分包意向协议中中小企业合同金额应当达到的 比例，并作为供应商资格条件；</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（三）非预留份额的采购项目或者采购包，明确有关价格扣除比例或者价格分加分比例；</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（四）规定依据本办法规定享受扶持政策获得政府采购合同的，小微企业不得将合同分包给大中型企业，中型企业不得将合同分包给大型企业；</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（五）采购人认为具备相关条件的，明确对中小企业在资金支付期限、预付款比例等方面的优惠措施；</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（六）明确采购标的对应的中小企业划分标准所属行业；</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（七）法律法规和省级以上人民政府财政部门规定的其他事项。</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第十三条 中标、成交供应商享受本办法规定的中小企业扶持政策的，采购人、采购代理机构应当随中标、成交结果公开中标、成交供应商的《中小企业声明函》。</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适用招标投标法的政府采购工程建设项目，应当在公示中标候选人时公开中标候选人的《中小企业声明函》。</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第十六条 政府采购监督检查、投诉处理及政府采购行政处罚中对中小企业的认定，由货物制造商或者工程、服务供应商注册登记所在地的县级以上人民政府中小企业主管部门负责。</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中小企业主管部门应当在收到财政部门或者有关招标 投标行政监督部门关于协助开展中小企业认定函后 10 个工作日内做出书面答复。</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第二十条 供应商按照本办法规定提供声明函内容不实的，属于提供虚假材料谋取中标、成交，依照《中华人民共和国政府采购法》等国家有关规定追究相应责任。</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适用招标投标法的政府采购工程建设项目，投标人按照 本办法规定提供声明函内容不实的，属于弄虚作假骗取中标，依照《中华人民共和国招标投标法》等国家有关规定追究相应责任。</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第二十二条 对外援助项目、国家相关资格或者资质管理制度另有规定的项目，不适用本办法。</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第二十三条 关于视同中小企业的其他主体的政府采购扶持政策，由财政部会同有关部门另行规定。</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第二十四条 省级财政部门可以会同中小企业主管部门根据本办法的规定制定具体实施办法。</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第二十五条 本办法自 2021 年 1 月 1 日起施行。《财政部 工业和信息化部关于印发〈政府采购促进中小企业发展暂行办法〉的通知》（财库﹝2011﹞181 号）同时废止。</w:t>
      </w:r>
    </w:p>
    <w:p>
      <w:pPr>
        <w:pStyle w:val="9"/>
        <w:tabs>
          <w:tab w:val="left" w:pos="562"/>
          <w:tab w:val="left" w:pos="3372"/>
          <w:tab w:val="left" w:pos="3653"/>
        </w:tabs>
        <w:spacing w:before="5"/>
        <w:rPr>
          <w:rFonts w:hint="eastAsia" w:ascii="宋体" w:hAnsi="宋体" w:cs="宋体"/>
          <w:color w:val="auto"/>
          <w:highlight w:val="none"/>
        </w:rPr>
      </w:pPr>
    </w:p>
    <w:p>
      <w:pPr>
        <w:pStyle w:val="9"/>
        <w:tabs>
          <w:tab w:val="left" w:pos="562"/>
          <w:tab w:val="left" w:pos="3372"/>
          <w:tab w:val="left" w:pos="3653"/>
        </w:tabs>
        <w:ind w:firstLine="480" w:firstLineChars="200"/>
        <w:outlineLvl w:val="0"/>
        <w:rPr>
          <w:rFonts w:hint="eastAsia" w:ascii="宋体" w:hAnsi="宋体" w:cs="宋体"/>
          <w:color w:val="auto"/>
          <w:kern w:val="0"/>
          <w:highlight w:val="none"/>
        </w:rPr>
      </w:pPr>
      <w:r>
        <w:rPr>
          <w:rFonts w:hint="eastAsia" w:ascii="宋体" w:hAnsi="宋体" w:cs="宋体"/>
          <w:color w:val="auto"/>
          <w:kern w:val="0"/>
          <w:highlight w:val="none"/>
        </w:rPr>
        <w:t>附：1.中小企业声明函</w:t>
      </w:r>
    </w:p>
    <w:p>
      <w:pPr>
        <w:pStyle w:val="9"/>
        <w:tabs>
          <w:tab w:val="left" w:pos="562"/>
          <w:tab w:val="left" w:pos="3372"/>
          <w:tab w:val="left" w:pos="3653"/>
        </w:tabs>
        <w:ind w:firstLine="960" w:firstLineChars="400"/>
        <w:rPr>
          <w:rFonts w:hint="eastAsia" w:ascii="宋体" w:hAnsi="宋体" w:cs="宋体"/>
          <w:color w:val="auto"/>
          <w:kern w:val="0"/>
          <w:highlight w:val="none"/>
        </w:rPr>
      </w:pPr>
      <w:r>
        <w:rPr>
          <w:rFonts w:hint="eastAsia" w:ascii="宋体" w:hAnsi="宋体" w:cs="宋体"/>
          <w:color w:val="auto"/>
          <w:kern w:val="0"/>
          <w:highlight w:val="none"/>
        </w:rPr>
        <w:t>2.面向中小企业预留项目执行情况公告</w:t>
      </w:r>
    </w:p>
    <w:p>
      <w:pPr>
        <w:pStyle w:val="9"/>
        <w:tabs>
          <w:tab w:val="left" w:pos="562"/>
          <w:tab w:val="left" w:pos="3372"/>
          <w:tab w:val="left" w:pos="3653"/>
        </w:tabs>
        <w:spacing w:before="30"/>
        <w:outlineLvl w:val="0"/>
        <w:rPr>
          <w:rFonts w:hint="eastAsia" w:ascii="宋体" w:hAnsi="宋体" w:cs="宋体"/>
          <w:b/>
          <w:bCs/>
          <w:color w:val="auto"/>
          <w:highlight w:val="none"/>
        </w:rPr>
      </w:pPr>
      <w:r>
        <w:rPr>
          <w:rFonts w:hint="eastAsia" w:ascii="宋体" w:hAnsi="宋体" w:cs="宋体"/>
          <w:b/>
          <w:bCs/>
          <w:color w:val="auto"/>
          <w:highlight w:val="none"/>
        </w:rPr>
        <w:br w:type="page"/>
      </w:r>
      <w:r>
        <w:rPr>
          <w:rFonts w:hint="eastAsia" w:ascii="宋体" w:hAnsi="宋体" w:cs="宋体"/>
          <w:b/>
          <w:bCs/>
          <w:color w:val="auto"/>
          <w:highlight w:val="none"/>
        </w:rPr>
        <w:t>附 1</w:t>
      </w:r>
    </w:p>
    <w:p>
      <w:pPr>
        <w:spacing w:after="319" w:afterLines="100"/>
        <w:jc w:val="center"/>
        <w:rPr>
          <w:rFonts w:hint="eastAsia" w:ascii="宋体" w:hAnsi="宋体" w:cs="宋体"/>
          <w:color w:val="auto"/>
          <w:sz w:val="24"/>
          <w:highlight w:val="none"/>
        </w:rPr>
      </w:pPr>
      <w:r>
        <w:rPr>
          <w:rFonts w:hint="eastAsia" w:ascii="宋体" w:hAnsi="宋体" w:cs="宋体"/>
          <w:color w:val="auto"/>
          <w:sz w:val="24"/>
          <w:highlight w:val="none"/>
        </w:rPr>
        <w:t>中小企业声明函（货物）</w:t>
      </w:r>
    </w:p>
    <w:p>
      <w:pPr>
        <w:pStyle w:val="9"/>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本公司（联合体）郑重声明，根据《政府采购促进中小企业发展管理办法》（财库﹝2020﹞46 号）的规定，本公司（联合体）参加（</w:t>
      </w:r>
      <w:r>
        <w:rPr>
          <w:rFonts w:hint="eastAsia" w:ascii="宋体" w:hAnsi="宋体" w:cs="宋体"/>
          <w:color w:val="auto"/>
          <w:spacing w:val="-2"/>
          <w:highlight w:val="none"/>
          <w:u w:val="single"/>
        </w:rPr>
        <w:t>单位名称</w:t>
      </w:r>
      <w:r>
        <w:rPr>
          <w:rFonts w:hint="eastAsia" w:ascii="宋体" w:hAnsi="宋体" w:cs="宋体"/>
          <w:color w:val="auto"/>
          <w:spacing w:val="-2"/>
          <w:highlight w:val="none"/>
        </w:rPr>
        <w:t>）的（</w:t>
      </w:r>
      <w:r>
        <w:rPr>
          <w:rFonts w:hint="eastAsia" w:ascii="宋体" w:hAnsi="宋体" w:cs="宋体"/>
          <w:color w:val="auto"/>
          <w:spacing w:val="-2"/>
          <w:highlight w:val="none"/>
          <w:u w:val="single"/>
        </w:rPr>
        <w:t>项目名称</w:t>
      </w:r>
      <w:r>
        <w:rPr>
          <w:rFonts w:hint="eastAsia" w:ascii="宋体" w:hAnsi="宋体" w:cs="宋体"/>
          <w:color w:val="auto"/>
          <w:spacing w:val="-2"/>
          <w:highlight w:val="none"/>
        </w:rPr>
        <w:t>）采购活动，提供的货物全部由符合政策要求的中小企业制造。相关企业（含联合体中的中小企业、签订分包意向协议的中小企业） 的具体情况如下：</w:t>
      </w:r>
    </w:p>
    <w:p>
      <w:pPr>
        <w:pStyle w:val="9"/>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u w:val="single"/>
        </w:rPr>
        <w:t>标的名称</w:t>
      </w:r>
      <w:r>
        <w:rPr>
          <w:rFonts w:hint="eastAsia" w:ascii="宋体" w:hAnsi="宋体" w:cs="宋体"/>
          <w:color w:val="auto"/>
          <w:kern w:val="0"/>
          <w:highlight w:val="none"/>
        </w:rPr>
        <w:t>），属于（</w:t>
      </w:r>
      <w:r>
        <w:rPr>
          <w:rFonts w:hint="eastAsia" w:ascii="宋体" w:hAnsi="宋体" w:cs="宋体"/>
          <w:color w:val="auto"/>
          <w:kern w:val="0"/>
          <w:highlight w:val="none"/>
          <w:u w:val="single"/>
        </w:rPr>
        <w:t>采购文件中明确的所属行业</w:t>
      </w:r>
      <w:r>
        <w:rPr>
          <w:rFonts w:hint="eastAsia" w:ascii="宋体" w:hAnsi="宋体" w:cs="宋体"/>
          <w:color w:val="auto"/>
          <w:kern w:val="0"/>
          <w:highlight w:val="none"/>
        </w:rPr>
        <w:t>）；制造商为（</w:t>
      </w:r>
      <w:r>
        <w:rPr>
          <w:rFonts w:hint="eastAsia" w:ascii="宋体" w:hAnsi="宋体" w:cs="宋体"/>
          <w:color w:val="auto"/>
          <w:kern w:val="0"/>
          <w:highlight w:val="none"/>
          <w:u w:val="single"/>
        </w:rPr>
        <w:t>企业名称</w:t>
      </w:r>
      <w:r>
        <w:rPr>
          <w:rFonts w:hint="eastAsia" w:ascii="宋体" w:hAnsi="宋体" w:cs="宋体"/>
          <w:color w:val="auto"/>
          <w:kern w:val="0"/>
          <w:highlight w:val="none"/>
        </w:rPr>
        <w:t>），从业人员</w:t>
      </w:r>
      <w:r>
        <w:rPr>
          <w:rFonts w:hint="eastAsia" w:ascii="宋体" w:hAnsi="宋体" w:cs="宋体"/>
          <w:color w:val="auto"/>
          <w:kern w:val="0"/>
          <w:highlight w:val="none"/>
          <w:u w:val="single"/>
        </w:rPr>
        <w:tab/>
      </w:r>
      <w:r>
        <w:rPr>
          <w:rFonts w:hint="eastAsia" w:ascii="宋体" w:hAnsi="宋体" w:cs="宋体"/>
          <w:color w:val="auto"/>
          <w:kern w:val="0"/>
          <w:highlight w:val="none"/>
        </w:rPr>
        <w:t xml:space="preserve">人，营业收入为 </w:t>
      </w:r>
      <w:r>
        <w:rPr>
          <w:rFonts w:hint="eastAsia" w:ascii="宋体" w:hAnsi="宋体" w:cs="宋体"/>
          <w:color w:val="auto"/>
          <w:kern w:val="0"/>
          <w:highlight w:val="none"/>
          <w:u w:val="single"/>
        </w:rPr>
        <w:tab/>
      </w:r>
      <w:r>
        <w:rPr>
          <w:rFonts w:hint="eastAsia" w:ascii="宋体" w:hAnsi="宋体" w:cs="宋体"/>
          <w:color w:val="auto"/>
          <w:kern w:val="0"/>
          <w:highlight w:val="none"/>
        </w:rPr>
        <w:t>万元，资产总额为</w:t>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万元，属于（</w:t>
      </w:r>
      <w:r>
        <w:rPr>
          <w:rFonts w:hint="eastAsia" w:ascii="宋体" w:hAnsi="宋体" w:cs="宋体"/>
          <w:color w:val="auto"/>
          <w:kern w:val="0"/>
          <w:highlight w:val="none"/>
          <w:u w:val="single"/>
        </w:rPr>
        <w:t>中型企业、小型企业、微型企业</w:t>
      </w:r>
      <w:r>
        <w:rPr>
          <w:rFonts w:hint="eastAsia" w:ascii="宋体" w:hAnsi="宋体" w:cs="宋体"/>
          <w:color w:val="auto"/>
          <w:kern w:val="0"/>
          <w:highlight w:val="none"/>
        </w:rPr>
        <w:t>）；</w:t>
      </w:r>
    </w:p>
    <w:p>
      <w:pPr>
        <w:pStyle w:val="9"/>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2、（</w:t>
      </w:r>
      <w:r>
        <w:rPr>
          <w:rFonts w:hint="eastAsia" w:ascii="宋体" w:hAnsi="宋体" w:cs="宋体"/>
          <w:color w:val="auto"/>
          <w:spacing w:val="-2"/>
          <w:highlight w:val="none"/>
          <w:u w:val="single"/>
        </w:rPr>
        <w:t>标的名称</w:t>
      </w:r>
      <w:r>
        <w:rPr>
          <w:rFonts w:hint="eastAsia" w:ascii="宋体" w:hAnsi="宋体" w:cs="宋体"/>
          <w:color w:val="auto"/>
          <w:spacing w:val="-2"/>
          <w:highlight w:val="none"/>
        </w:rPr>
        <w:t>），属于（</w:t>
      </w:r>
      <w:r>
        <w:rPr>
          <w:rFonts w:hint="eastAsia" w:ascii="宋体" w:hAnsi="宋体" w:cs="宋体"/>
          <w:color w:val="auto"/>
          <w:spacing w:val="-2"/>
          <w:highlight w:val="none"/>
          <w:u w:val="single"/>
        </w:rPr>
        <w:t>采购文件中明确的所属行业</w:t>
      </w:r>
      <w:r>
        <w:rPr>
          <w:rFonts w:hint="eastAsia" w:ascii="宋体" w:hAnsi="宋体" w:cs="宋体"/>
          <w:color w:val="auto"/>
          <w:spacing w:val="-2"/>
          <w:highlight w:val="none"/>
        </w:rPr>
        <w:t>）；制造商为（</w:t>
      </w:r>
      <w:r>
        <w:rPr>
          <w:rFonts w:hint="eastAsia" w:ascii="宋体" w:hAnsi="宋体" w:cs="宋体"/>
          <w:color w:val="auto"/>
          <w:spacing w:val="-2"/>
          <w:highlight w:val="none"/>
          <w:u w:val="single"/>
        </w:rPr>
        <w:t>企业名称</w:t>
      </w:r>
      <w:r>
        <w:rPr>
          <w:rFonts w:hint="eastAsia" w:ascii="宋体" w:hAnsi="宋体" w:cs="宋体"/>
          <w:color w:val="auto"/>
          <w:spacing w:val="-2"/>
          <w:highlight w:val="none"/>
        </w:rPr>
        <w:t>），从业人员</w:t>
      </w:r>
      <w:r>
        <w:rPr>
          <w:rFonts w:hint="eastAsia" w:ascii="宋体" w:hAnsi="宋体" w:cs="宋体"/>
          <w:color w:val="auto"/>
          <w:spacing w:val="-2"/>
          <w:highlight w:val="none"/>
          <w:u w:val="single"/>
        </w:rPr>
        <w:t xml:space="preserve">    </w:t>
      </w:r>
      <w:r>
        <w:rPr>
          <w:rFonts w:hint="eastAsia" w:ascii="宋体" w:hAnsi="宋体" w:cs="宋体"/>
          <w:color w:val="auto"/>
          <w:spacing w:val="-2"/>
          <w:highlight w:val="none"/>
        </w:rPr>
        <w:t>人，营业收入为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万元，资产总额为</w:t>
      </w:r>
      <w:r>
        <w:rPr>
          <w:rFonts w:hint="eastAsia" w:ascii="宋体" w:hAnsi="宋体" w:cs="宋体"/>
          <w:color w:val="auto"/>
          <w:spacing w:val="-2"/>
          <w:highlight w:val="none"/>
          <w:u w:val="single"/>
        </w:rPr>
        <w:t xml:space="preserve">   </w:t>
      </w:r>
      <w:r>
        <w:rPr>
          <w:rFonts w:hint="eastAsia" w:ascii="宋体" w:hAnsi="宋体" w:cs="宋体"/>
          <w:color w:val="auto"/>
          <w:spacing w:val="-2"/>
          <w:highlight w:val="none"/>
        </w:rPr>
        <w:t>万元，属于（</w:t>
      </w:r>
      <w:r>
        <w:rPr>
          <w:rFonts w:hint="eastAsia" w:ascii="宋体" w:hAnsi="宋体" w:cs="宋体"/>
          <w:color w:val="auto"/>
          <w:spacing w:val="-2"/>
          <w:highlight w:val="none"/>
          <w:u w:val="single"/>
        </w:rPr>
        <w:t>中型企业、小型企业、微型企业</w:t>
      </w:r>
      <w:r>
        <w:rPr>
          <w:rFonts w:hint="eastAsia" w:ascii="宋体" w:hAnsi="宋体" w:cs="宋体"/>
          <w:color w:val="auto"/>
          <w:spacing w:val="-2"/>
          <w:highlight w:val="none"/>
        </w:rPr>
        <w:t>）；</w:t>
      </w:r>
    </w:p>
    <w:p>
      <w:pPr>
        <w:pStyle w:val="9"/>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w:t>
      </w:r>
    </w:p>
    <w:p>
      <w:pPr>
        <w:pStyle w:val="9"/>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以上企业，不属于大企业的分支机构，不存在控股股东为大企业的情形，也不存在与大企业的负责人为同一人的情形。</w:t>
      </w:r>
    </w:p>
    <w:p>
      <w:pPr>
        <w:pStyle w:val="9"/>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本企业对上述声明内容的真实性负责。如有虚假，将依法承担相应责任。</w:t>
      </w:r>
    </w:p>
    <w:p>
      <w:pPr>
        <w:pStyle w:val="9"/>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ind w:left="4200" w:leftChars="2000"/>
        <w:rPr>
          <w:rFonts w:hint="eastAsia" w:ascii="宋体" w:hAnsi="宋体" w:cs="宋体"/>
          <w:color w:val="auto"/>
          <w:highlight w:val="none"/>
        </w:rPr>
      </w:pPr>
      <w:r>
        <w:rPr>
          <w:rFonts w:hint="eastAsia" w:ascii="宋体" w:hAnsi="宋体" w:cs="宋体"/>
          <w:color w:val="auto"/>
          <w:spacing w:val="-2"/>
          <w:highlight w:val="none"/>
        </w:rPr>
        <w:t>企业名称（盖章）日期：</w:t>
      </w:r>
    </w:p>
    <w:p>
      <w:pPr>
        <w:pStyle w:val="9"/>
        <w:tabs>
          <w:tab w:val="left" w:pos="562"/>
          <w:tab w:val="left" w:pos="3372"/>
          <w:tab w:val="left" w:pos="3653"/>
        </w:tabs>
        <w:jc w:val="center"/>
        <w:rPr>
          <w:rFonts w:hint="eastAsia" w:ascii="宋体" w:hAnsi="宋体" w:cs="宋体"/>
          <w:color w:val="auto"/>
          <w:spacing w:val="-2"/>
          <w:highlight w:val="none"/>
        </w:rPr>
      </w:pPr>
      <w:r>
        <w:rPr>
          <w:rFonts w:hint="eastAsia" w:ascii="宋体" w:hAnsi="宋体" w:cs="宋体"/>
          <w:color w:val="auto"/>
          <w:spacing w:val="-2"/>
          <w:highlight w:val="none"/>
        </w:rPr>
        <w:t>从业人员、营业收入、资产总额填报上一年度数据，无上一年度数据的新成立企业可不填报。</w:t>
      </w:r>
    </w:p>
    <w:p>
      <w:pPr>
        <w:spacing w:after="319" w:afterLines="100"/>
        <w:jc w:val="center"/>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中小企业声明函（工程、服务）</w:t>
      </w:r>
    </w:p>
    <w:p>
      <w:pPr>
        <w:pStyle w:val="9"/>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本公司（联合体）郑重声明，根据《政府采购促进中小企业发展管理办法》（财库﹝2020﹞46 号）的规定，本公司（联合体）参加（</w:t>
      </w:r>
      <w:r>
        <w:rPr>
          <w:rFonts w:hint="eastAsia" w:ascii="宋体" w:hAnsi="宋体" w:cs="宋体"/>
          <w:color w:val="auto"/>
          <w:spacing w:val="-2"/>
          <w:highlight w:val="none"/>
          <w:u w:val="single"/>
        </w:rPr>
        <w:t>单位名称</w:t>
      </w:r>
      <w:r>
        <w:rPr>
          <w:rFonts w:hint="eastAsia" w:ascii="宋体" w:hAnsi="宋体" w:cs="宋体"/>
          <w:color w:val="auto"/>
          <w:spacing w:val="-2"/>
          <w:highlight w:val="none"/>
        </w:rPr>
        <w:t>）的（</w:t>
      </w:r>
      <w:r>
        <w:rPr>
          <w:rFonts w:hint="eastAsia" w:ascii="宋体" w:hAnsi="宋体" w:cs="宋体"/>
          <w:color w:val="auto"/>
          <w:spacing w:val="-2"/>
          <w:highlight w:val="none"/>
          <w:u w:val="single"/>
        </w:rPr>
        <w:t>项目名称</w:t>
      </w:r>
      <w:r>
        <w:rPr>
          <w:rFonts w:hint="eastAsia" w:ascii="宋体" w:hAnsi="宋体" w:cs="宋体"/>
          <w:color w:val="auto"/>
          <w:spacing w:val="-2"/>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9"/>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1、（</w:t>
      </w:r>
      <w:r>
        <w:rPr>
          <w:rFonts w:hint="eastAsia" w:ascii="宋体" w:hAnsi="宋体" w:cs="宋体"/>
          <w:color w:val="auto"/>
          <w:spacing w:val="-2"/>
          <w:highlight w:val="none"/>
          <w:u w:val="single"/>
        </w:rPr>
        <w:t>标的名称</w:t>
      </w:r>
      <w:r>
        <w:rPr>
          <w:rFonts w:hint="eastAsia" w:ascii="宋体" w:hAnsi="宋体" w:cs="宋体"/>
          <w:color w:val="auto"/>
          <w:spacing w:val="-2"/>
          <w:highlight w:val="none"/>
        </w:rPr>
        <w:t>），属于（</w:t>
      </w:r>
      <w:r>
        <w:rPr>
          <w:rFonts w:hint="eastAsia" w:ascii="宋体" w:hAnsi="宋体" w:cs="宋体"/>
          <w:color w:val="auto"/>
          <w:spacing w:val="-2"/>
          <w:highlight w:val="none"/>
          <w:u w:val="single"/>
        </w:rPr>
        <w:t>采购文件中明确的所属行业</w:t>
      </w:r>
      <w:r>
        <w:rPr>
          <w:rFonts w:hint="eastAsia" w:ascii="宋体" w:hAnsi="宋体" w:cs="宋体"/>
          <w:color w:val="auto"/>
          <w:spacing w:val="-2"/>
          <w:highlight w:val="none"/>
        </w:rPr>
        <w:t>）；承建（承接）企业为（</w:t>
      </w:r>
      <w:r>
        <w:rPr>
          <w:rFonts w:hint="eastAsia" w:ascii="宋体" w:hAnsi="宋体" w:cs="宋体"/>
          <w:color w:val="auto"/>
          <w:spacing w:val="-2"/>
          <w:highlight w:val="none"/>
          <w:u w:val="single"/>
        </w:rPr>
        <w:t>企业名称</w:t>
      </w:r>
      <w:r>
        <w:rPr>
          <w:rFonts w:hint="eastAsia" w:ascii="宋体" w:hAnsi="宋体" w:cs="宋体"/>
          <w:color w:val="auto"/>
          <w:spacing w:val="-2"/>
          <w:highlight w:val="none"/>
        </w:rPr>
        <w:t>），从业人员</w:t>
      </w:r>
      <w:r>
        <w:rPr>
          <w:rFonts w:hint="eastAsia" w:ascii="宋体" w:hAnsi="宋体" w:cs="宋体"/>
          <w:color w:val="auto"/>
          <w:spacing w:val="-2"/>
          <w:highlight w:val="none"/>
          <w:u w:val="single"/>
        </w:rPr>
        <w:tab/>
      </w:r>
      <w:r>
        <w:rPr>
          <w:rFonts w:hint="eastAsia" w:ascii="宋体" w:hAnsi="宋体" w:cs="宋体"/>
          <w:color w:val="auto"/>
          <w:spacing w:val="-2"/>
          <w:highlight w:val="none"/>
        </w:rPr>
        <w:t>人，营业收入为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万元，资产总额为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万元，属于（</w:t>
      </w:r>
      <w:r>
        <w:rPr>
          <w:rFonts w:hint="eastAsia" w:ascii="宋体" w:hAnsi="宋体" w:cs="宋体"/>
          <w:color w:val="auto"/>
          <w:spacing w:val="-2"/>
          <w:highlight w:val="none"/>
          <w:u w:val="single"/>
        </w:rPr>
        <w:t>中型企业、小型企业、微型企业</w:t>
      </w:r>
      <w:r>
        <w:rPr>
          <w:rFonts w:hint="eastAsia" w:ascii="宋体" w:hAnsi="宋体" w:cs="宋体"/>
          <w:color w:val="auto"/>
          <w:spacing w:val="-2"/>
          <w:highlight w:val="none"/>
        </w:rPr>
        <w:t>）。</w:t>
      </w:r>
    </w:p>
    <w:p>
      <w:pPr>
        <w:pStyle w:val="9"/>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2、（</w:t>
      </w:r>
      <w:r>
        <w:rPr>
          <w:rFonts w:hint="eastAsia" w:ascii="宋体" w:hAnsi="宋体" w:cs="宋体"/>
          <w:color w:val="auto"/>
          <w:spacing w:val="-2"/>
          <w:highlight w:val="none"/>
          <w:u w:val="single"/>
        </w:rPr>
        <w:t>标的名称</w:t>
      </w:r>
      <w:r>
        <w:rPr>
          <w:rFonts w:hint="eastAsia" w:ascii="宋体" w:hAnsi="宋体" w:cs="宋体"/>
          <w:color w:val="auto"/>
          <w:spacing w:val="-2"/>
          <w:highlight w:val="none"/>
        </w:rPr>
        <w:t>），属于（</w:t>
      </w:r>
      <w:r>
        <w:rPr>
          <w:rFonts w:hint="eastAsia" w:ascii="宋体" w:hAnsi="宋体" w:cs="宋体"/>
          <w:color w:val="auto"/>
          <w:spacing w:val="-2"/>
          <w:highlight w:val="none"/>
          <w:u w:val="single"/>
        </w:rPr>
        <w:t>采购文件中明确的所属行业</w:t>
      </w:r>
      <w:r>
        <w:rPr>
          <w:rFonts w:hint="eastAsia" w:ascii="宋体" w:hAnsi="宋体" w:cs="宋体"/>
          <w:color w:val="auto"/>
          <w:spacing w:val="-2"/>
          <w:highlight w:val="none"/>
        </w:rPr>
        <w:t>） ；承建（承接）企业为（</w:t>
      </w:r>
      <w:r>
        <w:rPr>
          <w:rFonts w:hint="eastAsia" w:ascii="宋体" w:hAnsi="宋体" w:cs="宋体"/>
          <w:color w:val="auto"/>
          <w:spacing w:val="-2"/>
          <w:highlight w:val="none"/>
          <w:u w:val="single"/>
        </w:rPr>
        <w:t>企业名称</w:t>
      </w:r>
      <w:r>
        <w:rPr>
          <w:rFonts w:hint="eastAsia" w:ascii="宋体" w:hAnsi="宋体" w:cs="宋体"/>
          <w:color w:val="auto"/>
          <w:spacing w:val="-2"/>
          <w:highlight w:val="none"/>
        </w:rPr>
        <w:t>），从业人员</w:t>
      </w:r>
      <w:r>
        <w:rPr>
          <w:rFonts w:hint="eastAsia" w:ascii="宋体" w:hAnsi="宋体" w:cs="宋体"/>
          <w:color w:val="auto"/>
          <w:spacing w:val="-2"/>
          <w:highlight w:val="none"/>
          <w:u w:val="single"/>
        </w:rPr>
        <w:tab/>
      </w:r>
      <w:r>
        <w:rPr>
          <w:rFonts w:hint="eastAsia" w:ascii="宋体" w:hAnsi="宋体" w:cs="宋体"/>
          <w:color w:val="auto"/>
          <w:spacing w:val="-2"/>
          <w:highlight w:val="none"/>
        </w:rPr>
        <w:t>人，营业收入为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万元，资产总额为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万元，属于（</w:t>
      </w:r>
      <w:r>
        <w:rPr>
          <w:rFonts w:hint="eastAsia" w:ascii="宋体" w:hAnsi="宋体" w:cs="宋体"/>
          <w:color w:val="auto"/>
          <w:spacing w:val="-2"/>
          <w:highlight w:val="none"/>
          <w:u w:val="single"/>
        </w:rPr>
        <w:t>中型企业、小型企业、微型企业</w:t>
      </w:r>
      <w:r>
        <w:rPr>
          <w:rFonts w:hint="eastAsia" w:ascii="宋体" w:hAnsi="宋体" w:cs="宋体"/>
          <w:color w:val="auto"/>
          <w:spacing w:val="-2"/>
          <w:highlight w:val="none"/>
        </w:rPr>
        <w:t>）；</w:t>
      </w:r>
    </w:p>
    <w:p>
      <w:pPr>
        <w:pStyle w:val="9"/>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w:t>
      </w:r>
    </w:p>
    <w:p>
      <w:pPr>
        <w:pStyle w:val="9"/>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以上企业，不属于大企业的分支机构，不存在控股股东为大企业的情形，也不存在与大企业的负责人为同一人的情形。</w:t>
      </w:r>
    </w:p>
    <w:p>
      <w:pPr>
        <w:pStyle w:val="9"/>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本企业对上述声明内容的真实性负责。如有虚假，将依法承担相应责任。</w:t>
      </w:r>
    </w:p>
    <w:p>
      <w:pPr>
        <w:pStyle w:val="9"/>
        <w:tabs>
          <w:tab w:val="left" w:pos="562"/>
          <w:tab w:val="left" w:pos="3372"/>
          <w:tab w:val="left" w:pos="3653"/>
        </w:tabs>
        <w:ind w:firstLine="472" w:firstLineChars="200"/>
        <w:rPr>
          <w:rFonts w:hint="eastAsia" w:ascii="宋体" w:hAnsi="宋体" w:cs="宋体"/>
          <w:color w:val="auto"/>
          <w:spacing w:val="-2"/>
          <w:highlight w:val="none"/>
        </w:rPr>
      </w:pPr>
    </w:p>
    <w:p>
      <w:pPr>
        <w:pStyle w:val="9"/>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注意事项：</w:t>
      </w:r>
    </w:p>
    <w:p>
      <w:pPr>
        <w:pStyle w:val="9"/>
        <w:tabs>
          <w:tab w:val="left" w:pos="562"/>
          <w:tab w:val="left" w:pos="3372"/>
          <w:tab w:val="left" w:pos="3653"/>
        </w:tabs>
        <w:spacing w:after="0"/>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1.从业人员、营业收入、资产总额填报上一年度数据，无上一年度数据的新成立企业可不填报。</w:t>
      </w:r>
    </w:p>
    <w:p>
      <w:pPr>
        <w:pStyle w:val="9"/>
        <w:tabs>
          <w:tab w:val="left" w:pos="562"/>
          <w:tab w:val="left" w:pos="3372"/>
          <w:tab w:val="left" w:pos="3653"/>
        </w:tabs>
        <w:spacing w:after="0"/>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9"/>
        <w:tabs>
          <w:tab w:val="left" w:pos="562"/>
          <w:tab w:val="left" w:pos="3372"/>
          <w:tab w:val="left" w:pos="3653"/>
        </w:tabs>
        <w:spacing w:after="0"/>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3.事业单位、社会组织等非企业主体不享受中小企业扶持政策，但事业单位、社会组织等非企业主体提供全部由中小企业制造的货物参加货物采购项目的除外。</w:t>
      </w:r>
    </w:p>
    <w:p>
      <w:pPr>
        <w:pStyle w:val="9"/>
        <w:tabs>
          <w:tab w:val="left" w:pos="562"/>
          <w:tab w:val="left" w:pos="3372"/>
          <w:tab w:val="left" w:pos="3653"/>
        </w:tabs>
        <w:spacing w:after="0"/>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4.相关承接/承建企业的所属行业应当与采购标的所属行业（采购文件中明确的行业）相一致。</w:t>
      </w:r>
    </w:p>
    <w:p>
      <w:pPr>
        <w:pStyle w:val="9"/>
        <w:tabs>
          <w:tab w:val="left" w:pos="562"/>
          <w:tab w:val="left" w:pos="3372"/>
          <w:tab w:val="left" w:pos="3653"/>
        </w:tabs>
        <w:spacing w:after="0"/>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ind w:left="4200" w:leftChars="2000"/>
        <w:rPr>
          <w:rFonts w:hint="eastAsia" w:ascii="宋体" w:hAnsi="宋体" w:cs="宋体"/>
          <w:color w:val="auto"/>
          <w:spacing w:val="-2"/>
          <w:highlight w:val="none"/>
        </w:rPr>
      </w:pPr>
    </w:p>
    <w:p>
      <w:pPr>
        <w:pStyle w:val="9"/>
        <w:tabs>
          <w:tab w:val="left" w:pos="562"/>
          <w:tab w:val="left" w:pos="3372"/>
          <w:tab w:val="left" w:pos="3653"/>
        </w:tabs>
        <w:ind w:left="4200" w:leftChars="2000"/>
        <w:rPr>
          <w:rFonts w:hint="eastAsia" w:ascii="宋体" w:hAnsi="宋体" w:cs="宋体"/>
          <w:color w:val="auto"/>
          <w:spacing w:val="-2"/>
          <w:highlight w:val="none"/>
        </w:rPr>
      </w:pPr>
      <w:r>
        <w:rPr>
          <w:rFonts w:hint="eastAsia" w:ascii="宋体" w:hAnsi="宋体" w:cs="宋体"/>
          <w:color w:val="auto"/>
          <w:spacing w:val="-2"/>
          <w:highlight w:val="none"/>
        </w:rPr>
        <w:t>企业名称（盖章）日期：</w:t>
      </w:r>
    </w:p>
    <w:p>
      <w:pPr>
        <w:pStyle w:val="9"/>
        <w:tabs>
          <w:tab w:val="left" w:pos="562"/>
          <w:tab w:val="left" w:pos="3372"/>
          <w:tab w:val="left" w:pos="3653"/>
        </w:tabs>
        <w:spacing w:before="30"/>
        <w:rPr>
          <w:rFonts w:hint="eastAsia" w:ascii="宋体" w:hAnsi="宋体" w:cs="宋体"/>
          <w:color w:val="auto"/>
          <w:highlight w:val="none"/>
        </w:rPr>
      </w:pPr>
      <w:r>
        <w:rPr>
          <w:rFonts w:hint="eastAsia" w:ascii="宋体" w:hAnsi="宋体" w:cs="宋体"/>
          <w:color w:val="auto"/>
          <w:spacing w:val="-2"/>
          <w:highlight w:val="none"/>
        </w:rPr>
        <w:t>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b/>
          <w:bCs/>
          <w:color w:val="auto"/>
          <w:highlight w:val="none"/>
        </w:rPr>
        <w:t>附 2</w:t>
      </w:r>
    </w:p>
    <w:p>
      <w:pPr>
        <w:jc w:val="center"/>
        <w:rPr>
          <w:rFonts w:hint="eastAsia" w:ascii="宋体" w:hAnsi="宋体" w:cs="宋体"/>
          <w:b/>
          <w:color w:val="auto"/>
          <w:sz w:val="24"/>
          <w:highlight w:val="none"/>
        </w:rPr>
      </w:pPr>
      <w:r>
        <w:rPr>
          <w:rFonts w:hint="eastAsia" w:ascii="宋体" w:hAnsi="宋体" w:cs="宋体"/>
          <w:color w:val="auto"/>
          <w:spacing w:val="-3"/>
          <w:sz w:val="24"/>
          <w:highlight w:val="none"/>
          <w:u w:val="single" w:color="000000"/>
        </w:rPr>
        <w:t>（单位名称）</w:t>
      </w:r>
      <w:r>
        <w:rPr>
          <w:rFonts w:hint="eastAsia" w:ascii="宋体" w:hAnsi="宋体" w:cs="宋体"/>
          <w:color w:val="auto"/>
          <w:spacing w:val="-29"/>
          <w:sz w:val="24"/>
          <w:highlight w:val="none"/>
        </w:rPr>
        <w:t>××</w:t>
      </w:r>
      <w:r>
        <w:rPr>
          <w:rFonts w:hint="eastAsia" w:ascii="宋体" w:hAnsi="宋体" w:cs="宋体"/>
          <w:b/>
          <w:color w:val="auto"/>
          <w:sz w:val="24"/>
          <w:highlight w:val="none"/>
        </w:rPr>
        <w:t>年面向中小企业预留项目执行情况公告</w:t>
      </w:r>
    </w:p>
    <w:p>
      <w:pPr>
        <w:pStyle w:val="9"/>
        <w:tabs>
          <w:tab w:val="left" w:pos="562"/>
          <w:tab w:val="left" w:pos="3372"/>
          <w:tab w:val="left" w:pos="3653"/>
        </w:tabs>
        <w:ind w:firstLine="480" w:firstLineChars="200"/>
        <w:rPr>
          <w:rFonts w:hint="eastAsia" w:ascii="宋体" w:hAnsi="宋体" w:cs="宋体"/>
          <w:color w:val="auto"/>
          <w:highlight w:val="none"/>
        </w:rPr>
      </w:pPr>
      <w:r>
        <w:rPr>
          <w:rFonts w:hint="eastAsia" w:ascii="宋体" w:hAnsi="宋体" w:cs="宋体"/>
          <w:color w:val="auto"/>
          <w:highlight w:val="none"/>
        </w:rPr>
        <w:t>根据《政府采购促进中小企业发展管理办法》（财库﹝2020﹞46</w:t>
      </w:r>
      <w:r>
        <w:rPr>
          <w:rFonts w:hint="eastAsia" w:ascii="宋体" w:hAnsi="宋体" w:cs="宋体"/>
          <w:color w:val="auto"/>
          <w:spacing w:val="-47"/>
          <w:highlight w:val="none"/>
        </w:rPr>
        <w:t xml:space="preserve"> 号</w:t>
      </w:r>
      <w:r>
        <w:rPr>
          <w:rFonts w:hint="eastAsia" w:ascii="宋体" w:hAnsi="宋体" w:cs="宋体"/>
          <w:color w:val="auto"/>
          <w:spacing w:val="-22"/>
          <w:highlight w:val="none"/>
        </w:rPr>
        <w:t>）</w:t>
      </w:r>
      <w:r>
        <w:rPr>
          <w:rFonts w:hint="eastAsia" w:ascii="宋体" w:hAnsi="宋体" w:cs="宋体"/>
          <w:color w:val="auto"/>
          <w:spacing w:val="-7"/>
          <w:highlight w:val="none"/>
        </w:rPr>
        <w:t>要求，现对本部门</w:t>
      </w:r>
      <w:r>
        <w:rPr>
          <w:rFonts w:hint="eastAsia" w:ascii="宋体" w:hAnsi="宋体" w:cs="宋体"/>
          <w:color w:val="auto"/>
          <w:spacing w:val="-3"/>
          <w:highlight w:val="none"/>
        </w:rPr>
        <w:t>（</w:t>
      </w:r>
      <w:r>
        <w:rPr>
          <w:rFonts w:hint="eastAsia" w:ascii="宋体" w:hAnsi="宋体" w:cs="宋体"/>
          <w:color w:val="auto"/>
          <w:highlight w:val="none"/>
        </w:rPr>
        <w:t>单位</w:t>
      </w:r>
      <w:r>
        <w:rPr>
          <w:rFonts w:hint="eastAsia" w:ascii="宋体" w:hAnsi="宋体" w:cs="宋体"/>
          <w:color w:val="auto"/>
          <w:spacing w:val="-7"/>
          <w:highlight w:val="none"/>
        </w:rPr>
        <w:t>）</w:t>
      </w:r>
      <w:r>
        <w:rPr>
          <w:rFonts w:hint="eastAsia" w:ascii="宋体" w:hAnsi="宋体" w:cs="宋体"/>
          <w:color w:val="auto"/>
          <w:spacing w:val="-4"/>
          <w:highlight w:val="none"/>
        </w:rPr>
        <w:t>××年面向中小企业预留项目执行情况公告如下：</w:t>
      </w:r>
    </w:p>
    <w:p>
      <w:pPr>
        <w:pStyle w:val="9"/>
        <w:tabs>
          <w:tab w:val="left" w:pos="562"/>
          <w:tab w:val="left" w:pos="3372"/>
          <w:tab w:val="left" w:pos="3653"/>
        </w:tabs>
        <w:ind w:firstLine="480" w:firstLineChars="200"/>
        <w:rPr>
          <w:rFonts w:hint="eastAsia" w:ascii="宋体" w:hAnsi="宋体" w:cs="宋体"/>
          <w:color w:val="auto"/>
          <w:highlight w:val="none"/>
        </w:rPr>
      </w:pPr>
      <w:r>
        <w:rPr>
          <w:rFonts w:hint="eastAsia" w:ascii="宋体" w:hAnsi="宋体" w:cs="宋体"/>
          <w:color w:val="auto"/>
          <w:highlight w:val="none"/>
        </w:rPr>
        <w:t>本部门（单位）××年预留项目面向中小企业采购共计××万元，其中，面向小微企业采购××万元，占××%。</w:t>
      </w:r>
    </w:p>
    <w:p>
      <w:pPr>
        <w:pStyle w:val="9"/>
        <w:tabs>
          <w:tab w:val="left" w:pos="562"/>
          <w:tab w:val="left" w:pos="3372"/>
          <w:tab w:val="left" w:pos="3653"/>
        </w:tabs>
        <w:jc w:val="center"/>
        <w:rPr>
          <w:rFonts w:hint="eastAsia" w:ascii="宋体" w:hAnsi="宋体" w:cs="宋体"/>
          <w:b/>
          <w:bCs/>
          <w:color w:val="auto"/>
          <w:highlight w:val="none"/>
        </w:rPr>
      </w:pPr>
      <w:r>
        <w:rPr>
          <w:rFonts w:hint="eastAsia" w:ascii="宋体" w:hAnsi="宋体" w:cs="宋体"/>
          <w:b/>
          <w:bCs/>
          <w:color w:val="auto"/>
          <w:highlight w:val="none"/>
        </w:rPr>
        <w:t>面向中小企业预留项目明细</w:t>
      </w:r>
    </w:p>
    <w:tbl>
      <w:tblPr>
        <w:tblStyle w:val="19"/>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6"/>
              <w:jc w:val="center"/>
              <w:rPr>
                <w:rFonts w:hint="eastAsia"/>
                <w:b/>
                <w:color w:val="auto"/>
                <w:sz w:val="24"/>
                <w:szCs w:val="24"/>
                <w:highlight w:val="none"/>
              </w:rPr>
            </w:pPr>
            <w:r>
              <w:rPr>
                <w:rFonts w:hint="eastAsia"/>
                <w:b/>
                <w:color w:val="auto"/>
                <w:sz w:val="24"/>
                <w:szCs w:val="24"/>
                <w:highlight w:val="none"/>
              </w:rPr>
              <w:t>序号</w:t>
            </w:r>
          </w:p>
        </w:tc>
        <w:tc>
          <w:tcPr>
            <w:tcW w:w="1866" w:type="dxa"/>
            <w:vAlign w:val="center"/>
          </w:tcPr>
          <w:p>
            <w:pPr>
              <w:pStyle w:val="36"/>
              <w:jc w:val="center"/>
              <w:rPr>
                <w:rFonts w:hint="eastAsia"/>
                <w:b/>
                <w:color w:val="auto"/>
                <w:sz w:val="24"/>
                <w:szCs w:val="24"/>
                <w:highlight w:val="none"/>
              </w:rPr>
            </w:pPr>
            <w:r>
              <w:rPr>
                <w:rFonts w:hint="eastAsia"/>
                <w:b/>
                <w:color w:val="auto"/>
                <w:sz w:val="24"/>
                <w:szCs w:val="24"/>
                <w:highlight w:val="none"/>
              </w:rPr>
              <w:t>项目名称</w:t>
            </w:r>
          </w:p>
        </w:tc>
        <w:tc>
          <w:tcPr>
            <w:tcW w:w="2010" w:type="dxa"/>
            <w:vAlign w:val="center"/>
          </w:tcPr>
          <w:p>
            <w:pPr>
              <w:pStyle w:val="36"/>
              <w:jc w:val="center"/>
              <w:rPr>
                <w:rFonts w:hint="eastAsia"/>
                <w:b/>
                <w:color w:val="auto"/>
                <w:sz w:val="24"/>
                <w:szCs w:val="24"/>
                <w:highlight w:val="none"/>
              </w:rPr>
            </w:pPr>
            <w:r>
              <w:rPr>
                <w:rFonts w:hint="eastAsia"/>
                <w:b/>
                <w:color w:val="auto"/>
                <w:sz w:val="24"/>
                <w:szCs w:val="24"/>
                <w:highlight w:val="none"/>
              </w:rPr>
              <w:t>预留选项</w:t>
            </w:r>
          </w:p>
        </w:tc>
        <w:tc>
          <w:tcPr>
            <w:tcW w:w="2296" w:type="dxa"/>
            <w:vAlign w:val="center"/>
          </w:tcPr>
          <w:p>
            <w:pPr>
              <w:pStyle w:val="36"/>
              <w:jc w:val="center"/>
              <w:rPr>
                <w:rFonts w:hint="eastAsia"/>
                <w:b/>
                <w:color w:val="auto"/>
                <w:sz w:val="24"/>
                <w:szCs w:val="24"/>
                <w:highlight w:val="none"/>
              </w:rPr>
            </w:pPr>
            <w:r>
              <w:rPr>
                <w:rFonts w:hint="eastAsia"/>
                <w:b/>
                <w:color w:val="auto"/>
                <w:sz w:val="24"/>
                <w:szCs w:val="24"/>
                <w:highlight w:val="none"/>
              </w:rPr>
              <w:t>面向中小企业采购金额</w:t>
            </w:r>
          </w:p>
        </w:tc>
        <w:tc>
          <w:tcPr>
            <w:tcW w:w="1784" w:type="dxa"/>
            <w:vAlign w:val="center"/>
          </w:tcPr>
          <w:p>
            <w:pPr>
              <w:pStyle w:val="36"/>
              <w:jc w:val="center"/>
              <w:rPr>
                <w:rFonts w:hint="eastAsia"/>
                <w:b/>
                <w:color w:val="auto"/>
                <w:sz w:val="24"/>
                <w:szCs w:val="24"/>
                <w:highlight w:val="none"/>
              </w:rPr>
            </w:pPr>
            <w:r>
              <w:rPr>
                <w:rFonts w:hint="eastAsia"/>
                <w:b/>
                <w:color w:val="auto"/>
                <w:sz w:val="24"/>
                <w:szCs w:val="24"/>
                <w:highlight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6"/>
              <w:jc w:val="center"/>
              <w:rPr>
                <w:rFonts w:hint="eastAsia"/>
                <w:color w:val="auto"/>
                <w:sz w:val="24"/>
                <w:szCs w:val="24"/>
                <w:highlight w:val="none"/>
              </w:rPr>
            </w:pPr>
          </w:p>
        </w:tc>
        <w:tc>
          <w:tcPr>
            <w:tcW w:w="1866" w:type="dxa"/>
            <w:tcBorders>
              <w:bottom w:val="nil"/>
            </w:tcBorders>
            <w:vAlign w:val="center"/>
          </w:tcPr>
          <w:p>
            <w:pPr>
              <w:pStyle w:val="36"/>
              <w:jc w:val="center"/>
              <w:rPr>
                <w:rFonts w:hint="eastAsia"/>
                <w:color w:val="auto"/>
                <w:sz w:val="24"/>
                <w:szCs w:val="24"/>
                <w:highlight w:val="none"/>
              </w:rPr>
            </w:pPr>
          </w:p>
        </w:tc>
        <w:tc>
          <w:tcPr>
            <w:tcW w:w="2010" w:type="dxa"/>
            <w:tcBorders>
              <w:bottom w:val="nil"/>
            </w:tcBorders>
            <w:vAlign w:val="center"/>
          </w:tcPr>
          <w:p>
            <w:pPr>
              <w:pStyle w:val="36"/>
              <w:jc w:val="center"/>
              <w:rPr>
                <w:rFonts w:hint="eastAsia"/>
                <w:color w:val="auto"/>
                <w:sz w:val="24"/>
                <w:szCs w:val="24"/>
                <w:highlight w:val="none"/>
              </w:rPr>
            </w:pPr>
            <w:r>
              <w:rPr>
                <w:rFonts w:hint="eastAsia"/>
                <w:color w:val="auto"/>
                <w:sz w:val="24"/>
                <w:szCs w:val="24"/>
                <w:highlight w:val="none"/>
              </w:rPr>
              <w:t>（填写“采购项</w:t>
            </w:r>
          </w:p>
        </w:tc>
        <w:tc>
          <w:tcPr>
            <w:tcW w:w="2296" w:type="dxa"/>
            <w:tcBorders>
              <w:bottom w:val="nil"/>
            </w:tcBorders>
            <w:vAlign w:val="center"/>
          </w:tcPr>
          <w:p>
            <w:pPr>
              <w:pStyle w:val="36"/>
              <w:jc w:val="center"/>
              <w:rPr>
                <w:rFonts w:hint="eastAsia"/>
                <w:color w:val="auto"/>
                <w:sz w:val="24"/>
                <w:szCs w:val="24"/>
                <w:highlight w:val="none"/>
              </w:rPr>
            </w:pPr>
          </w:p>
        </w:tc>
        <w:tc>
          <w:tcPr>
            <w:tcW w:w="1784" w:type="dxa"/>
            <w:vMerge w:val="restart"/>
            <w:vAlign w:val="center"/>
          </w:tcPr>
          <w:p>
            <w:pPr>
              <w:pStyle w:val="36"/>
              <w:jc w:val="center"/>
              <w:rPr>
                <w:rFonts w:hint="eastAsia"/>
                <w:color w:val="auto"/>
                <w:sz w:val="24"/>
                <w:szCs w:val="24"/>
                <w:highlight w:val="none"/>
              </w:rPr>
            </w:pPr>
          </w:p>
          <w:p>
            <w:pPr>
              <w:pStyle w:val="36"/>
              <w:jc w:val="center"/>
              <w:rPr>
                <w:rFonts w:hint="eastAsia"/>
                <w:color w:val="auto"/>
                <w:sz w:val="24"/>
                <w:szCs w:val="24"/>
                <w:highlight w:val="none"/>
              </w:rPr>
            </w:pPr>
          </w:p>
          <w:p>
            <w:pPr>
              <w:pStyle w:val="36"/>
              <w:jc w:val="center"/>
              <w:rPr>
                <w:rFonts w:hint="eastAsia"/>
                <w:color w:val="auto"/>
                <w:sz w:val="24"/>
                <w:szCs w:val="24"/>
                <w:highlight w:val="none"/>
              </w:rPr>
            </w:pPr>
            <w:r>
              <w:rPr>
                <w:rFonts w:hint="eastAsia"/>
                <w:color w:val="auto"/>
                <w:sz w:val="24"/>
                <w:szCs w:val="24"/>
                <w:highlight w:val="none"/>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6"/>
              <w:jc w:val="center"/>
              <w:rPr>
                <w:rFonts w:hint="eastAsia"/>
                <w:color w:val="auto"/>
                <w:sz w:val="24"/>
                <w:szCs w:val="24"/>
                <w:highlight w:val="none"/>
              </w:rPr>
            </w:pPr>
          </w:p>
        </w:tc>
        <w:tc>
          <w:tcPr>
            <w:tcW w:w="2010" w:type="dxa"/>
            <w:tcBorders>
              <w:top w:val="nil"/>
              <w:bottom w:val="nil"/>
            </w:tcBorders>
            <w:vAlign w:val="center"/>
          </w:tcPr>
          <w:p>
            <w:pPr>
              <w:pStyle w:val="36"/>
              <w:jc w:val="center"/>
              <w:rPr>
                <w:rFonts w:hint="eastAsia"/>
                <w:color w:val="auto"/>
                <w:sz w:val="24"/>
                <w:szCs w:val="24"/>
                <w:highlight w:val="none"/>
              </w:rPr>
            </w:pPr>
            <w:r>
              <w:rPr>
                <w:rFonts w:hint="eastAsia"/>
                <w:color w:val="auto"/>
                <w:sz w:val="24"/>
                <w:szCs w:val="24"/>
                <w:highlight w:val="none"/>
              </w:rPr>
              <w:t>目整体预留”、</w:t>
            </w:r>
          </w:p>
        </w:tc>
        <w:tc>
          <w:tcPr>
            <w:tcW w:w="2296" w:type="dxa"/>
            <w:tcBorders>
              <w:top w:val="nil"/>
              <w:bottom w:val="nil"/>
            </w:tcBorders>
            <w:vAlign w:val="center"/>
          </w:tcPr>
          <w:p>
            <w:pPr>
              <w:pStyle w:val="36"/>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6"/>
              <w:jc w:val="center"/>
              <w:rPr>
                <w:rFonts w:hint="eastAsia"/>
                <w:color w:val="auto"/>
                <w:sz w:val="24"/>
                <w:szCs w:val="24"/>
                <w:highlight w:val="none"/>
              </w:rPr>
            </w:pPr>
          </w:p>
        </w:tc>
        <w:tc>
          <w:tcPr>
            <w:tcW w:w="2010" w:type="dxa"/>
            <w:tcBorders>
              <w:top w:val="nil"/>
              <w:bottom w:val="nil"/>
            </w:tcBorders>
            <w:vAlign w:val="center"/>
          </w:tcPr>
          <w:p>
            <w:pPr>
              <w:pStyle w:val="36"/>
              <w:jc w:val="center"/>
              <w:rPr>
                <w:rFonts w:hint="eastAsia"/>
                <w:color w:val="auto"/>
                <w:sz w:val="24"/>
                <w:szCs w:val="24"/>
                <w:highlight w:val="none"/>
              </w:rPr>
            </w:pPr>
            <w:r>
              <w:rPr>
                <w:rFonts w:hint="eastAsia"/>
                <w:color w:val="auto"/>
                <w:sz w:val="24"/>
                <w:szCs w:val="24"/>
                <w:highlight w:val="none"/>
              </w:rPr>
              <w:t>“设置专门采购</w:t>
            </w:r>
          </w:p>
        </w:tc>
        <w:tc>
          <w:tcPr>
            <w:tcW w:w="2296" w:type="dxa"/>
            <w:tcBorders>
              <w:top w:val="nil"/>
              <w:bottom w:val="nil"/>
            </w:tcBorders>
            <w:vAlign w:val="center"/>
          </w:tcPr>
          <w:p>
            <w:pPr>
              <w:pStyle w:val="36"/>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6"/>
              <w:jc w:val="center"/>
              <w:rPr>
                <w:rFonts w:hint="eastAsia"/>
                <w:color w:val="auto"/>
                <w:sz w:val="24"/>
                <w:szCs w:val="24"/>
                <w:highlight w:val="none"/>
              </w:rPr>
            </w:pPr>
            <w:r>
              <w:rPr>
                <w:rFonts w:hint="eastAsia"/>
                <w:color w:val="auto"/>
                <w:sz w:val="24"/>
                <w:szCs w:val="24"/>
                <w:highlight w:val="none"/>
              </w:rPr>
              <w:t>（填写集中采</w:t>
            </w:r>
          </w:p>
        </w:tc>
        <w:tc>
          <w:tcPr>
            <w:tcW w:w="2010" w:type="dxa"/>
            <w:tcBorders>
              <w:top w:val="nil"/>
              <w:bottom w:val="nil"/>
            </w:tcBorders>
            <w:vAlign w:val="center"/>
          </w:tcPr>
          <w:p>
            <w:pPr>
              <w:pStyle w:val="36"/>
              <w:jc w:val="center"/>
              <w:rPr>
                <w:rFonts w:hint="eastAsia"/>
                <w:color w:val="auto"/>
                <w:sz w:val="24"/>
                <w:szCs w:val="24"/>
                <w:highlight w:val="none"/>
              </w:rPr>
            </w:pPr>
            <w:r>
              <w:rPr>
                <w:rFonts w:hint="eastAsia"/>
                <w:color w:val="auto"/>
                <w:sz w:val="24"/>
                <w:szCs w:val="24"/>
                <w:highlight w:val="none"/>
              </w:rPr>
              <w:t>包”、“要求以</w:t>
            </w:r>
          </w:p>
        </w:tc>
        <w:tc>
          <w:tcPr>
            <w:tcW w:w="2296" w:type="dxa"/>
            <w:tcBorders>
              <w:top w:val="nil"/>
              <w:bottom w:val="nil"/>
            </w:tcBorders>
            <w:vAlign w:val="center"/>
          </w:tcPr>
          <w:p>
            <w:pPr>
              <w:pStyle w:val="36"/>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6"/>
              <w:jc w:val="center"/>
              <w:rPr>
                <w:rFonts w:hint="eastAsia"/>
                <w:color w:val="auto"/>
                <w:sz w:val="24"/>
                <w:szCs w:val="24"/>
                <w:highlight w:val="none"/>
              </w:rPr>
            </w:pPr>
            <w:r>
              <w:rPr>
                <w:rFonts w:hint="eastAsia"/>
                <w:color w:val="auto"/>
                <w:sz w:val="24"/>
                <w:szCs w:val="24"/>
                <w:highlight w:val="none"/>
              </w:rPr>
              <w:t>购目录以内或</w:t>
            </w:r>
          </w:p>
        </w:tc>
        <w:tc>
          <w:tcPr>
            <w:tcW w:w="2010" w:type="dxa"/>
            <w:tcBorders>
              <w:top w:val="nil"/>
              <w:bottom w:val="nil"/>
            </w:tcBorders>
            <w:vAlign w:val="center"/>
          </w:tcPr>
          <w:p>
            <w:pPr>
              <w:pStyle w:val="36"/>
              <w:jc w:val="center"/>
              <w:rPr>
                <w:rFonts w:hint="eastAsia"/>
                <w:color w:val="auto"/>
                <w:sz w:val="24"/>
                <w:szCs w:val="24"/>
                <w:highlight w:val="none"/>
              </w:rPr>
            </w:pPr>
            <w:r>
              <w:rPr>
                <w:rFonts w:hint="eastAsia"/>
                <w:color w:val="auto"/>
                <w:sz w:val="24"/>
                <w:szCs w:val="24"/>
                <w:highlight w:val="none"/>
              </w:rPr>
              <w:t>联合体形式参</w:t>
            </w:r>
          </w:p>
        </w:tc>
        <w:tc>
          <w:tcPr>
            <w:tcW w:w="2296" w:type="dxa"/>
            <w:tcBorders>
              <w:top w:val="nil"/>
              <w:bottom w:val="nil"/>
            </w:tcBorders>
            <w:vAlign w:val="center"/>
          </w:tcPr>
          <w:p>
            <w:pPr>
              <w:pStyle w:val="36"/>
              <w:jc w:val="center"/>
              <w:rPr>
                <w:rFonts w:hint="eastAsia"/>
                <w:color w:val="auto"/>
                <w:sz w:val="24"/>
                <w:szCs w:val="24"/>
                <w:highlight w:val="none"/>
              </w:rPr>
            </w:pPr>
            <w:r>
              <w:rPr>
                <w:rFonts w:hint="eastAsia"/>
                <w:color w:val="auto"/>
                <w:sz w:val="24"/>
                <w:szCs w:val="24"/>
                <w:highlight w:val="none"/>
              </w:rPr>
              <w:t>（精确到万元）</w:t>
            </w: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6"/>
              <w:jc w:val="center"/>
              <w:rPr>
                <w:rFonts w:hint="eastAsia"/>
                <w:color w:val="auto"/>
                <w:sz w:val="24"/>
                <w:szCs w:val="24"/>
                <w:highlight w:val="none"/>
              </w:rPr>
            </w:pPr>
            <w:r>
              <w:rPr>
                <w:rFonts w:hint="eastAsia"/>
                <w:color w:val="auto"/>
                <w:sz w:val="24"/>
                <w:szCs w:val="24"/>
                <w:highlight w:val="none"/>
              </w:rPr>
              <w:t>者采购限额标</w:t>
            </w:r>
          </w:p>
        </w:tc>
        <w:tc>
          <w:tcPr>
            <w:tcW w:w="2010" w:type="dxa"/>
            <w:tcBorders>
              <w:top w:val="nil"/>
              <w:bottom w:val="nil"/>
            </w:tcBorders>
            <w:vAlign w:val="center"/>
          </w:tcPr>
          <w:p>
            <w:pPr>
              <w:pStyle w:val="36"/>
              <w:jc w:val="center"/>
              <w:rPr>
                <w:rFonts w:hint="eastAsia"/>
                <w:color w:val="auto"/>
                <w:sz w:val="24"/>
                <w:szCs w:val="24"/>
                <w:highlight w:val="none"/>
              </w:rPr>
            </w:pPr>
            <w:r>
              <w:rPr>
                <w:rFonts w:hint="eastAsia"/>
                <w:color w:val="auto"/>
                <w:sz w:val="24"/>
                <w:szCs w:val="24"/>
                <w:highlight w:val="none"/>
              </w:rPr>
              <w:t>加”或者“要求</w:t>
            </w:r>
          </w:p>
        </w:tc>
        <w:tc>
          <w:tcPr>
            <w:tcW w:w="2296" w:type="dxa"/>
            <w:tcBorders>
              <w:top w:val="nil"/>
              <w:bottom w:val="nil"/>
            </w:tcBorders>
            <w:vAlign w:val="center"/>
          </w:tcPr>
          <w:p>
            <w:pPr>
              <w:pStyle w:val="36"/>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6"/>
              <w:jc w:val="center"/>
              <w:rPr>
                <w:rFonts w:hint="eastAsia"/>
                <w:color w:val="auto"/>
                <w:sz w:val="24"/>
                <w:szCs w:val="24"/>
                <w:highlight w:val="none"/>
              </w:rPr>
            </w:pPr>
            <w:r>
              <w:rPr>
                <w:rFonts w:hint="eastAsia"/>
                <w:color w:val="auto"/>
                <w:sz w:val="24"/>
                <w:szCs w:val="24"/>
                <w:highlight w:val="none"/>
              </w:rPr>
              <w:t>准以上的采购项目</w:t>
            </w:r>
          </w:p>
        </w:tc>
        <w:tc>
          <w:tcPr>
            <w:tcW w:w="2010" w:type="dxa"/>
            <w:tcBorders>
              <w:top w:val="nil"/>
              <w:bottom w:val="nil"/>
            </w:tcBorders>
            <w:vAlign w:val="center"/>
          </w:tcPr>
          <w:p>
            <w:pPr>
              <w:pStyle w:val="36"/>
              <w:jc w:val="center"/>
              <w:rPr>
                <w:rFonts w:hint="eastAsia"/>
                <w:color w:val="auto"/>
                <w:sz w:val="24"/>
                <w:szCs w:val="24"/>
                <w:highlight w:val="none"/>
              </w:rPr>
            </w:pPr>
            <w:r>
              <w:rPr>
                <w:rFonts w:hint="eastAsia"/>
                <w:color w:val="auto"/>
                <w:sz w:val="24"/>
                <w:szCs w:val="24"/>
                <w:highlight w:val="none"/>
              </w:rPr>
              <w:t>合同分包”，除</w:t>
            </w:r>
          </w:p>
        </w:tc>
        <w:tc>
          <w:tcPr>
            <w:tcW w:w="2296" w:type="dxa"/>
            <w:tcBorders>
              <w:top w:val="nil"/>
              <w:bottom w:val="nil"/>
            </w:tcBorders>
            <w:vAlign w:val="center"/>
          </w:tcPr>
          <w:p>
            <w:pPr>
              <w:pStyle w:val="36"/>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6"/>
              <w:jc w:val="center"/>
              <w:rPr>
                <w:rFonts w:hint="eastAsia"/>
                <w:color w:val="auto"/>
                <w:sz w:val="24"/>
                <w:szCs w:val="24"/>
                <w:highlight w:val="none"/>
              </w:rPr>
            </w:pPr>
          </w:p>
        </w:tc>
        <w:tc>
          <w:tcPr>
            <w:tcW w:w="2010" w:type="dxa"/>
            <w:tcBorders>
              <w:top w:val="nil"/>
              <w:bottom w:val="nil"/>
            </w:tcBorders>
            <w:vAlign w:val="center"/>
          </w:tcPr>
          <w:p>
            <w:pPr>
              <w:pStyle w:val="36"/>
              <w:jc w:val="center"/>
              <w:rPr>
                <w:rFonts w:hint="eastAsia"/>
                <w:color w:val="auto"/>
                <w:sz w:val="24"/>
                <w:szCs w:val="24"/>
                <w:highlight w:val="none"/>
              </w:rPr>
            </w:pPr>
            <w:r>
              <w:rPr>
                <w:rFonts w:hint="eastAsia"/>
                <w:color w:val="auto"/>
                <w:sz w:val="24"/>
                <w:szCs w:val="24"/>
                <w:highlight w:val="none"/>
              </w:rPr>
              <w:t>“采购项目全部</w:t>
            </w:r>
          </w:p>
        </w:tc>
        <w:tc>
          <w:tcPr>
            <w:tcW w:w="2296" w:type="dxa"/>
            <w:tcBorders>
              <w:top w:val="nil"/>
              <w:bottom w:val="nil"/>
            </w:tcBorders>
            <w:vAlign w:val="center"/>
          </w:tcPr>
          <w:p>
            <w:pPr>
              <w:pStyle w:val="36"/>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6"/>
              <w:jc w:val="center"/>
              <w:rPr>
                <w:rFonts w:hint="eastAsia"/>
                <w:color w:val="auto"/>
                <w:sz w:val="24"/>
                <w:szCs w:val="24"/>
                <w:highlight w:val="none"/>
              </w:rPr>
            </w:pPr>
          </w:p>
        </w:tc>
        <w:tc>
          <w:tcPr>
            <w:tcW w:w="2010" w:type="dxa"/>
            <w:tcBorders>
              <w:top w:val="nil"/>
              <w:bottom w:val="nil"/>
            </w:tcBorders>
            <w:vAlign w:val="center"/>
          </w:tcPr>
          <w:p>
            <w:pPr>
              <w:pStyle w:val="36"/>
              <w:jc w:val="center"/>
              <w:rPr>
                <w:rFonts w:hint="eastAsia"/>
                <w:color w:val="auto"/>
                <w:sz w:val="24"/>
                <w:szCs w:val="24"/>
                <w:highlight w:val="none"/>
              </w:rPr>
            </w:pPr>
            <w:r>
              <w:rPr>
                <w:rFonts w:hint="eastAsia"/>
                <w:color w:val="auto"/>
                <w:sz w:val="24"/>
                <w:szCs w:val="24"/>
                <w:highlight w:val="none"/>
              </w:rPr>
              <w:t>预留”外，还应</w:t>
            </w:r>
          </w:p>
        </w:tc>
        <w:tc>
          <w:tcPr>
            <w:tcW w:w="2296" w:type="dxa"/>
            <w:tcBorders>
              <w:top w:val="nil"/>
              <w:bottom w:val="nil"/>
            </w:tcBorders>
            <w:vAlign w:val="center"/>
          </w:tcPr>
          <w:p>
            <w:pPr>
              <w:pStyle w:val="36"/>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6"/>
              <w:jc w:val="center"/>
              <w:rPr>
                <w:rFonts w:hint="eastAsia"/>
                <w:color w:val="auto"/>
                <w:sz w:val="24"/>
                <w:szCs w:val="24"/>
                <w:highlight w:val="none"/>
              </w:rPr>
            </w:pPr>
          </w:p>
        </w:tc>
        <w:tc>
          <w:tcPr>
            <w:tcW w:w="2010" w:type="dxa"/>
            <w:tcBorders>
              <w:top w:val="nil"/>
              <w:bottom w:val="nil"/>
            </w:tcBorders>
            <w:vAlign w:val="center"/>
          </w:tcPr>
          <w:p>
            <w:pPr>
              <w:pStyle w:val="36"/>
              <w:jc w:val="center"/>
              <w:rPr>
                <w:rFonts w:hint="eastAsia"/>
                <w:color w:val="auto"/>
                <w:sz w:val="24"/>
                <w:szCs w:val="24"/>
                <w:highlight w:val="none"/>
              </w:rPr>
            </w:pPr>
            <w:r>
              <w:rPr>
                <w:rFonts w:hint="eastAsia"/>
                <w:color w:val="auto"/>
                <w:sz w:val="24"/>
                <w:szCs w:val="24"/>
                <w:highlight w:val="none"/>
              </w:rPr>
              <w:t>当填写预留给中</w:t>
            </w:r>
          </w:p>
        </w:tc>
        <w:tc>
          <w:tcPr>
            <w:tcW w:w="2296" w:type="dxa"/>
            <w:tcBorders>
              <w:top w:val="nil"/>
              <w:bottom w:val="nil"/>
            </w:tcBorders>
            <w:vAlign w:val="center"/>
          </w:tcPr>
          <w:p>
            <w:pPr>
              <w:pStyle w:val="36"/>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tcBorders>
            <w:vAlign w:val="center"/>
          </w:tcPr>
          <w:p>
            <w:pPr>
              <w:pStyle w:val="36"/>
              <w:jc w:val="center"/>
              <w:rPr>
                <w:rFonts w:hint="eastAsia"/>
                <w:color w:val="auto"/>
                <w:sz w:val="24"/>
                <w:szCs w:val="24"/>
                <w:highlight w:val="none"/>
              </w:rPr>
            </w:pPr>
          </w:p>
        </w:tc>
        <w:tc>
          <w:tcPr>
            <w:tcW w:w="2010" w:type="dxa"/>
            <w:tcBorders>
              <w:top w:val="nil"/>
            </w:tcBorders>
            <w:vAlign w:val="center"/>
          </w:tcPr>
          <w:p>
            <w:pPr>
              <w:pStyle w:val="36"/>
              <w:jc w:val="center"/>
              <w:rPr>
                <w:rFonts w:hint="eastAsia"/>
                <w:color w:val="auto"/>
                <w:sz w:val="24"/>
                <w:szCs w:val="24"/>
                <w:highlight w:val="none"/>
              </w:rPr>
            </w:pPr>
            <w:r>
              <w:rPr>
                <w:rFonts w:hint="eastAsia"/>
                <w:color w:val="auto"/>
                <w:sz w:val="24"/>
                <w:szCs w:val="24"/>
                <w:highlight w:val="none"/>
              </w:rPr>
              <w:t>小企业的比例）</w:t>
            </w:r>
          </w:p>
        </w:tc>
        <w:tc>
          <w:tcPr>
            <w:tcW w:w="2296" w:type="dxa"/>
            <w:tcBorders>
              <w:top w:val="nil"/>
            </w:tcBorders>
            <w:vAlign w:val="center"/>
          </w:tcPr>
          <w:p>
            <w:pPr>
              <w:pStyle w:val="36"/>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6"/>
              <w:jc w:val="center"/>
              <w:rPr>
                <w:rFonts w:hint="eastAsia"/>
                <w:color w:val="auto"/>
                <w:sz w:val="24"/>
                <w:szCs w:val="24"/>
                <w:highlight w:val="none"/>
              </w:rPr>
            </w:pPr>
            <w:r>
              <w:rPr>
                <w:rFonts w:hint="eastAsia"/>
                <w:color w:val="auto"/>
                <w:sz w:val="24"/>
                <w:szCs w:val="24"/>
                <w:highlight w:val="none"/>
              </w:rPr>
              <w:t>……</w:t>
            </w:r>
          </w:p>
        </w:tc>
        <w:tc>
          <w:tcPr>
            <w:tcW w:w="1866" w:type="dxa"/>
            <w:vAlign w:val="center"/>
          </w:tcPr>
          <w:p>
            <w:pPr>
              <w:pStyle w:val="36"/>
              <w:jc w:val="center"/>
              <w:rPr>
                <w:rFonts w:hint="eastAsia"/>
                <w:color w:val="auto"/>
                <w:sz w:val="24"/>
                <w:szCs w:val="24"/>
                <w:highlight w:val="none"/>
              </w:rPr>
            </w:pPr>
            <w:r>
              <w:rPr>
                <w:rFonts w:hint="eastAsia"/>
                <w:color w:val="auto"/>
                <w:sz w:val="24"/>
                <w:szCs w:val="24"/>
                <w:highlight w:val="none"/>
              </w:rPr>
              <w:t>……</w:t>
            </w:r>
          </w:p>
        </w:tc>
        <w:tc>
          <w:tcPr>
            <w:tcW w:w="2010" w:type="dxa"/>
            <w:vAlign w:val="center"/>
          </w:tcPr>
          <w:p>
            <w:pPr>
              <w:pStyle w:val="36"/>
              <w:jc w:val="center"/>
              <w:rPr>
                <w:rFonts w:hint="eastAsia"/>
                <w:color w:val="auto"/>
                <w:sz w:val="24"/>
                <w:szCs w:val="24"/>
                <w:highlight w:val="none"/>
              </w:rPr>
            </w:pPr>
            <w:r>
              <w:rPr>
                <w:rFonts w:hint="eastAsia"/>
                <w:color w:val="auto"/>
                <w:sz w:val="24"/>
                <w:szCs w:val="24"/>
                <w:highlight w:val="none"/>
              </w:rPr>
              <w:t>……</w:t>
            </w:r>
          </w:p>
        </w:tc>
        <w:tc>
          <w:tcPr>
            <w:tcW w:w="2296" w:type="dxa"/>
            <w:vAlign w:val="center"/>
          </w:tcPr>
          <w:p>
            <w:pPr>
              <w:pStyle w:val="36"/>
              <w:jc w:val="center"/>
              <w:rPr>
                <w:rFonts w:hint="eastAsia"/>
                <w:color w:val="auto"/>
                <w:sz w:val="24"/>
                <w:szCs w:val="24"/>
                <w:highlight w:val="none"/>
              </w:rPr>
            </w:pPr>
            <w:r>
              <w:rPr>
                <w:rFonts w:hint="eastAsia"/>
                <w:color w:val="auto"/>
                <w:sz w:val="24"/>
                <w:szCs w:val="24"/>
                <w:highlight w:val="none"/>
              </w:rPr>
              <w:t>……</w:t>
            </w:r>
          </w:p>
        </w:tc>
        <w:tc>
          <w:tcPr>
            <w:tcW w:w="1784" w:type="dxa"/>
            <w:vAlign w:val="center"/>
          </w:tcPr>
          <w:p>
            <w:pPr>
              <w:pStyle w:val="36"/>
              <w:jc w:val="center"/>
              <w:rPr>
                <w:rFonts w:hint="eastAsia"/>
                <w:color w:val="auto"/>
                <w:sz w:val="24"/>
                <w:szCs w:val="24"/>
                <w:highlight w:val="none"/>
              </w:rPr>
            </w:pPr>
            <w:r>
              <w:rPr>
                <w:rFonts w:hint="eastAsia"/>
                <w:color w:val="auto"/>
                <w:sz w:val="24"/>
                <w:szCs w:val="24"/>
                <w:highlight w:val="none"/>
              </w:rPr>
              <w:t>……</w:t>
            </w:r>
          </w:p>
        </w:tc>
      </w:tr>
    </w:tbl>
    <w:p>
      <w:pPr>
        <w:pStyle w:val="9"/>
        <w:tabs>
          <w:tab w:val="left" w:pos="562"/>
          <w:tab w:val="left" w:pos="3372"/>
          <w:tab w:val="left" w:pos="3653"/>
        </w:tabs>
        <w:spacing w:before="128"/>
        <w:ind w:left="4220" w:right="1843"/>
        <w:rPr>
          <w:rFonts w:hint="eastAsia" w:ascii="宋体" w:hAnsi="宋体" w:cs="宋体"/>
          <w:color w:val="auto"/>
          <w:highlight w:val="none"/>
        </w:rPr>
      </w:pPr>
      <w:r>
        <w:rPr>
          <w:rFonts w:hint="eastAsia" w:ascii="宋体" w:hAnsi="宋体" w:cs="宋体"/>
          <w:color w:val="auto"/>
          <w:highlight w:val="none"/>
        </w:rPr>
        <w:t>部门（单位）名称： 日期：</w:t>
      </w:r>
    </w:p>
    <w:p>
      <w:pPr>
        <w:pStyle w:val="9"/>
        <w:tabs>
          <w:tab w:val="left" w:pos="562"/>
          <w:tab w:val="left" w:pos="3372"/>
          <w:tab w:val="left" w:pos="3653"/>
        </w:tabs>
        <w:rPr>
          <w:rFonts w:hint="eastAsia" w:ascii="宋体" w:hAnsi="宋体" w:cs="宋体"/>
          <w:color w:val="auto"/>
          <w:highlight w:val="none"/>
        </w:rPr>
      </w:pPr>
    </w:p>
    <w:p>
      <w:pPr>
        <w:pStyle w:val="17"/>
        <w:jc w:val="both"/>
        <w:outlineLvl w:val="9"/>
        <w:rPr>
          <w:rFonts w:hint="eastAsia" w:ascii="宋体" w:hAnsi="宋体" w:eastAsia="宋体" w:cs="宋体"/>
          <w:color w:val="auto"/>
          <w:sz w:val="24"/>
          <w:szCs w:val="24"/>
          <w:highlight w:val="none"/>
        </w:rPr>
      </w:pPr>
    </w:p>
    <w:p>
      <w:pPr>
        <w:tabs>
          <w:tab w:val="left" w:pos="360"/>
        </w:tabs>
        <w:outlineLvl w:val="1"/>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2、工业和信息化部、国家统计局、国家发展和改革委员会、财政部《关于印发〈中小企业划型标准规定〉的通知》（工信部联企〔2011〕300 号）</w:t>
      </w:r>
    </w:p>
    <w:p>
      <w:pPr>
        <w:pStyle w:val="9"/>
        <w:tabs>
          <w:tab w:val="left" w:pos="562"/>
          <w:tab w:val="left" w:pos="3372"/>
          <w:tab w:val="left" w:pos="3653"/>
        </w:tabs>
        <w:rPr>
          <w:rFonts w:hint="eastAsia" w:ascii="宋体" w:hAnsi="宋体" w:cs="宋体"/>
          <w:color w:val="auto"/>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关于印发中小企业划型标准规定的通知</w:t>
      </w:r>
    </w:p>
    <w:p>
      <w:pPr>
        <w:jc w:val="center"/>
        <w:rPr>
          <w:rFonts w:hint="eastAsia" w:ascii="宋体" w:hAnsi="宋体" w:cs="宋体"/>
          <w:color w:val="auto"/>
          <w:sz w:val="24"/>
          <w:highlight w:val="none"/>
        </w:rPr>
      </w:pPr>
      <w:r>
        <w:rPr>
          <w:rFonts w:hint="eastAsia" w:ascii="宋体" w:hAnsi="宋体" w:cs="宋体"/>
          <w:color w:val="auto"/>
          <w:sz w:val="24"/>
          <w:highlight w:val="none"/>
        </w:rPr>
        <w:t>工信部联企业〔2011〕300号</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各省、自治区、直辖市人民政府，国务院各部委、各直属机构及有关单位：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工业和信息化部 国家统计局</w:t>
      </w:r>
    </w:p>
    <w:p>
      <w:pPr>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国家发展和改革委员会 财政部</w:t>
      </w:r>
    </w:p>
    <w:p>
      <w:pPr>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二○一一年六月十八日</w:t>
      </w:r>
    </w:p>
    <w:p>
      <w:pPr>
        <w:ind w:firstLine="480" w:firstLineChars="200"/>
        <w:rPr>
          <w:rFonts w:hint="eastAsia" w:ascii="宋体" w:hAnsi="宋体" w:cs="宋体"/>
          <w:color w:val="auto"/>
          <w:sz w:val="24"/>
          <w:highlight w:val="none"/>
        </w:rPr>
      </w:pPr>
    </w:p>
    <w:p>
      <w:pPr>
        <w:ind w:firstLine="480" w:firstLineChars="200"/>
        <w:rPr>
          <w:rFonts w:hint="eastAsia" w:ascii="宋体" w:hAnsi="宋体" w:cs="宋体"/>
          <w:color w:val="auto"/>
          <w:sz w:val="24"/>
          <w:highlight w:val="none"/>
        </w:rPr>
      </w:pPr>
    </w:p>
    <w:p>
      <w:pPr>
        <w:ind w:firstLine="480" w:firstLineChars="200"/>
        <w:rPr>
          <w:rFonts w:hint="eastAsia" w:ascii="宋体" w:hAnsi="宋体" w:cs="宋体"/>
          <w:color w:val="auto"/>
          <w:sz w:val="24"/>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中小企业划型标准规定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四、各行业划型标准为：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五、企业类型的划分以统计部门的统计数据为依据。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九、本规定由工业和信息化部、国家统计局会同有关部门负责解释。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auto"/>
          <w:sz w:val="24"/>
          <w:highlight w:val="none"/>
        </w:rPr>
      </w:pPr>
    </w:p>
    <w:p>
      <w:pPr>
        <w:pStyle w:val="17"/>
        <w:jc w:val="both"/>
        <w:outlineLvl w:val="9"/>
        <w:rPr>
          <w:rFonts w:hint="eastAsia" w:ascii="宋体" w:hAnsi="宋体" w:eastAsia="宋体" w:cs="宋体"/>
          <w:color w:val="auto"/>
          <w:sz w:val="24"/>
          <w:szCs w:val="24"/>
          <w:highlight w:val="none"/>
        </w:rPr>
      </w:pPr>
    </w:p>
    <w:p>
      <w:pPr>
        <w:pStyle w:val="17"/>
        <w:jc w:val="both"/>
        <w:outlineLvl w:val="9"/>
        <w:rPr>
          <w:rFonts w:hint="eastAsia" w:ascii="宋体" w:hAnsi="宋体" w:eastAsia="宋体" w:cs="宋体"/>
          <w:color w:val="auto"/>
          <w:sz w:val="24"/>
          <w:szCs w:val="24"/>
          <w:highlight w:val="none"/>
        </w:rPr>
      </w:pPr>
    </w:p>
    <w:p>
      <w:pPr>
        <w:tabs>
          <w:tab w:val="left" w:pos="360"/>
        </w:tabs>
        <w:outlineLvl w:val="1"/>
        <w:rPr>
          <w:rFonts w:hint="eastAsia" w:ascii="宋体" w:hAnsi="宋体" w:cs="宋体"/>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3、国家统计局《关于印发〈统计上大中小微型企业划分办法（2017）〉的通知》</w:t>
      </w:r>
    </w:p>
    <w:p>
      <w:pPr>
        <w:widowControl/>
        <w:shd w:val="clear" w:color="auto" w:fill="FFFFFF"/>
        <w:jc w:val="center"/>
        <w:rPr>
          <w:rFonts w:hint="eastAsia" w:ascii="宋体" w:hAnsi="宋体" w:cs="宋体"/>
          <w:b/>
          <w:bCs/>
          <w:color w:val="auto"/>
          <w:kern w:val="0"/>
          <w:sz w:val="24"/>
          <w:highlight w:val="none"/>
        </w:rPr>
      </w:pPr>
    </w:p>
    <w:p>
      <w:pPr>
        <w:widowControl/>
        <w:shd w:val="clear" w:color="auto" w:fill="FFFFFF"/>
        <w:jc w:val="center"/>
        <w:rPr>
          <w:rFonts w:hint="eastAsia" w:ascii="宋体" w:hAnsi="宋体" w:cs="宋体"/>
          <w:b/>
          <w:color w:val="auto"/>
          <w:kern w:val="0"/>
          <w:sz w:val="24"/>
          <w:highlight w:val="none"/>
        </w:rPr>
      </w:pPr>
      <w:r>
        <w:rPr>
          <w:rFonts w:hint="eastAsia" w:ascii="宋体" w:hAnsi="宋体" w:cs="宋体"/>
          <w:b/>
          <w:bCs/>
          <w:color w:val="auto"/>
          <w:kern w:val="0"/>
          <w:sz w:val="24"/>
          <w:highlight w:val="none"/>
        </w:rPr>
        <w:t>国家统计局关于印发《统计上大中小微型企业划分办法（2017）》的通知</w:t>
      </w:r>
    </w:p>
    <w:p>
      <w:pPr>
        <w:widowControl/>
        <w:shd w:val="clear" w:color="auto" w:fill="FFFFFF"/>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附件：《统计上大中小微型企业划分办法（2017）》修订说明</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国家统计局</w:t>
      </w:r>
    </w:p>
    <w:p>
      <w:pPr>
        <w:widowControl/>
        <w:shd w:val="clear" w:color="auto" w:fill="FFFFFF"/>
        <w:ind w:firstLine="480" w:firstLineChars="20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2017年12月28日</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统计上大中小微型企业划分办法（2017）</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附表：统计上大中小微型企业划分标准</w:t>
      </w:r>
    </w:p>
    <w:p>
      <w:pPr>
        <w:widowControl/>
        <w:jc w:val="left"/>
        <w:rPr>
          <w:rFonts w:hint="eastAsia" w:ascii="宋体" w:hAnsi="宋体" w:cs="宋体"/>
          <w:color w:val="auto"/>
          <w:kern w:val="0"/>
          <w:sz w:val="24"/>
          <w:highlight w:val="none"/>
        </w:rPr>
      </w:pPr>
      <w:r>
        <w:rPr>
          <w:rFonts w:ascii="宋体" w:hAnsi="宋体" w:cs="宋体"/>
          <w:color w:val="auto"/>
          <w:kern w:val="0"/>
          <w:sz w:val="24"/>
          <w:highlight w:val="none"/>
        </w:rPr>
        <w:br w:type="page"/>
      </w:r>
      <w:r>
        <w:rPr>
          <w:rFonts w:hint="eastAsia" w:ascii="宋体" w:hAnsi="宋体" w:cs="宋体"/>
          <w:color w:val="auto"/>
          <w:kern w:val="0"/>
          <w:sz w:val="24"/>
          <w:highlight w:val="none"/>
        </w:rPr>
        <w:t>附表：</w:t>
      </w:r>
    </w:p>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统计上大中小微型企业划分标准</w:t>
      </w:r>
    </w:p>
    <w:tbl>
      <w:tblPr>
        <w:tblStyle w:val="1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行业名称</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指标名称</w:t>
            </w:r>
          </w:p>
        </w:tc>
        <w:tc>
          <w:tcPr>
            <w:tcW w:w="727" w:type="dxa"/>
            <w:vAlign w:val="center"/>
          </w:tcPr>
          <w:p>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计量</w:t>
            </w:r>
          </w:p>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单位</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大型</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中型</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小型</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农、林、牧、渔业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50≤Y＜500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工业 *</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2000≤Y＜40000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300≤Y＜2000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建筑业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Y≥80000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6000≤Y＜80000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300≤Y＜6000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Z≥80000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5000≤Z＜80000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300≤Z＜5000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批发业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20≤X＜200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5≤X＜20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5000≤Y＜40000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1000≤Y＜5000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零售业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10≤X＜50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100≤Y＜500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交通运输业 *</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3000≤Y＜30000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200≤Y＜3000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仓储业*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100≤X＜200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1000≤Y＜30000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邮政业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2000≤Y＜30000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住宿业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餐饮业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信息传输业 *</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100≤X＜2000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1000≤Y＜100000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软件和信息技术服务业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1000≤Y＜10000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50≤Y＜1000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房地产开发经营</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1000≤Y＜200000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Z≥10000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5000≤Z＜10000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2000≤Z＜5000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物业管理</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1000≤Y＜5000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500≤Y＜1000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租赁和商务服务业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Z≥120000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8000≤Z＜120000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100≤Z＜8000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其他未列明行业 *</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bl>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说明：</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9"/>
        <w:tabs>
          <w:tab w:val="left" w:pos="562"/>
          <w:tab w:val="left" w:pos="3372"/>
          <w:tab w:val="left" w:pos="3653"/>
        </w:tabs>
        <w:rPr>
          <w:rFonts w:hint="eastAsia" w:ascii="宋体" w:hAnsi="宋体" w:cs="宋体"/>
          <w:color w:val="auto"/>
          <w:highlight w:val="none"/>
        </w:rPr>
      </w:pPr>
    </w:p>
    <w:p>
      <w:pPr>
        <w:pStyle w:val="17"/>
        <w:outlineLvl w:val="9"/>
        <w:rPr>
          <w:rFonts w:hint="eastAsia" w:ascii="宋体" w:hAnsi="宋体" w:eastAsia="宋体" w:cs="宋体"/>
          <w:color w:val="auto"/>
          <w:sz w:val="24"/>
          <w:szCs w:val="24"/>
          <w:highlight w:val="none"/>
        </w:rPr>
      </w:pPr>
    </w:p>
    <w:p>
      <w:pPr>
        <w:tabs>
          <w:tab w:val="left" w:pos="360"/>
        </w:tabs>
        <w:outlineLvl w:val="1"/>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4、财政部、民政部、中国残联《关于促进残疾人就业政府采购政策的通知》（财库〔2017〕141 号）</w:t>
      </w:r>
    </w:p>
    <w:p>
      <w:pPr>
        <w:shd w:val="clear" w:color="auto" w:fill="FFFFFF"/>
        <w:rPr>
          <w:rFonts w:hint="eastAsia" w:ascii="宋体" w:hAnsi="宋体" w:cs="宋体"/>
          <w:bCs/>
          <w:color w:val="auto"/>
          <w:sz w:val="24"/>
          <w:highlight w:val="none"/>
        </w:rPr>
      </w:pPr>
    </w:p>
    <w:p>
      <w:pPr>
        <w:shd w:val="clear" w:color="auto" w:fill="FFFFFF"/>
        <w:jc w:val="center"/>
        <w:rPr>
          <w:rFonts w:hint="eastAsia" w:ascii="宋体" w:hAnsi="宋体" w:cs="宋体"/>
          <w:bCs/>
          <w:color w:val="auto"/>
          <w:sz w:val="24"/>
          <w:highlight w:val="none"/>
        </w:rPr>
      </w:pPr>
      <w:r>
        <w:rPr>
          <w:rFonts w:hint="eastAsia" w:ascii="宋体" w:hAnsi="宋体" w:cs="宋体"/>
          <w:bCs/>
          <w:color w:val="auto"/>
          <w:sz w:val="24"/>
          <w:highlight w:val="none"/>
        </w:rPr>
        <w:t>关于促进残疾人就业政府采购政策的通知</w:t>
      </w:r>
    </w:p>
    <w:p>
      <w:pPr>
        <w:pStyle w:val="16"/>
        <w:shd w:val="clear" w:color="auto" w:fill="FFFFFF"/>
        <w:spacing w:before="0" w:beforeAutospacing="0" w:after="0" w:afterAutospacing="0"/>
        <w:jc w:val="center"/>
        <w:rPr>
          <w:rFonts w:hint="eastAsia"/>
          <w:color w:val="auto"/>
          <w:highlight w:val="none"/>
        </w:rPr>
      </w:pPr>
      <w:r>
        <w:rPr>
          <w:rFonts w:hint="eastAsia"/>
          <w:color w:val="auto"/>
          <w:highlight w:val="none"/>
        </w:rPr>
        <w:t>　　</w:t>
      </w:r>
      <w:bookmarkStart w:id="83" w:name="sendNo"/>
      <w:r>
        <w:rPr>
          <w:rFonts w:hint="eastAsia"/>
          <w:color w:val="auto"/>
          <w:highlight w:val="none"/>
        </w:rPr>
        <w:t>财库〔</w:t>
      </w:r>
      <w:bookmarkEnd w:id="83"/>
      <w:r>
        <w:rPr>
          <w:rFonts w:hint="eastAsia"/>
          <w:color w:val="auto"/>
          <w:highlight w:val="none"/>
        </w:rPr>
        <w:t>2017〕141号</w:t>
      </w:r>
    </w:p>
    <w:p>
      <w:pPr>
        <w:pStyle w:val="16"/>
        <w:shd w:val="clear" w:color="auto" w:fill="FFFFFF"/>
        <w:spacing w:before="0" w:beforeAutospacing="0" w:after="0" w:afterAutospacing="0"/>
        <w:ind w:firstLine="480" w:firstLineChars="200"/>
        <w:rPr>
          <w:rFonts w:hint="eastAsia"/>
          <w:color w:val="auto"/>
          <w:highlight w:val="none"/>
        </w:rPr>
      </w:pPr>
      <w:bookmarkStart w:id="84" w:name="toDeptId"/>
      <w:r>
        <w:rPr>
          <w:rFonts w:hint="eastAsia"/>
          <w:color w:val="auto"/>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84"/>
      <w:r>
        <w:rPr>
          <w:rFonts w:hint="eastAsia"/>
          <w:color w:val="auto"/>
          <w:highlight w:val="none"/>
        </w:rPr>
        <w:t>：</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为了发挥政府采购促进残疾人就业的作用，进一步保障残疾人权益，依照《政府采购法》、《残疾人保障法》等法律法规及相关规定，现就促进残疾人就业政府采购政策通知如下：</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一、享受政府采购支持政策的残疾人福利性单位应当同时满足以下条件：</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（一）安置的残疾人占本单位在职职工人数的比例不低于25%（含25%），并且安置的残疾人人数不少于10人（含10人）；</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（二）依法与安置的每位残疾人签订了一年以上（含一年）的劳动合同或服务协议；</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（三）为安置的每位残疾人按月足额缴纳了基本养老保险、基本医疗保险、失业保险、工伤保险和生育保险等社会保险费；</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（四）通过银行等金融机构向安置的每位残疾人，按月支付了不低于单位所在区县适用的经省级人民政府批准的月最低工资标准的工资；</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（五）提供本单位制造的货物、承担的工程或者服务（以下简称产品），或者提供其他残疾人福利性单位制造的货物（不包括使用非残疾人福利性单位注册商标的货物）。</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中标、成交供应商为残疾人福利性单位的，采购人或者其委托的采购代理机构应当随中标、成交结果同时公告其《残疾人福利性单位声明函》，接受社会监督。</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供应商提供的《残疾人福利性单位声明函》与事实不符的，依照《政府采购法》第七十七条第一款的规定追究法律责任。</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四、采购人采购公开招标数额标准以上的货物或者服务，因落实促进残疾人就业政策的需要，依法履行有关报批程序后，可采用公开招标以外的采购方式。</w:t>
      </w:r>
    </w:p>
    <w:p>
      <w:pPr>
        <w:pStyle w:val="16"/>
        <w:shd w:val="clear" w:color="auto" w:fill="FFFFFF"/>
        <w:spacing w:before="0" w:beforeAutospacing="0" w:after="0" w:afterAutospacing="0" w:line="560" w:lineRule="exact"/>
        <w:ind w:firstLine="480" w:firstLineChars="200"/>
        <w:rPr>
          <w:rFonts w:hint="eastAsia"/>
          <w:color w:val="auto"/>
          <w:highlight w:val="none"/>
        </w:rPr>
      </w:pPr>
      <w:r>
        <w:rPr>
          <w:rFonts w:hint="eastAsia"/>
          <w:color w:val="auto"/>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6"/>
        <w:shd w:val="clear" w:color="auto" w:fill="FFFFFF"/>
        <w:spacing w:before="0" w:beforeAutospacing="0" w:after="0" w:afterAutospacing="0" w:line="560" w:lineRule="exact"/>
        <w:ind w:firstLine="480" w:firstLineChars="200"/>
        <w:rPr>
          <w:rFonts w:hint="eastAsia"/>
          <w:color w:val="auto"/>
          <w:highlight w:val="none"/>
        </w:rPr>
      </w:pPr>
      <w:r>
        <w:rPr>
          <w:rFonts w:hint="eastAsia"/>
          <w:color w:val="auto"/>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6"/>
        <w:shd w:val="clear" w:color="auto" w:fill="FFFFFF"/>
        <w:spacing w:before="0" w:beforeAutospacing="0" w:after="0" w:afterAutospacing="0" w:line="560" w:lineRule="exact"/>
        <w:ind w:firstLine="480" w:firstLineChars="200"/>
        <w:rPr>
          <w:rFonts w:hint="eastAsia"/>
          <w:color w:val="auto"/>
          <w:highlight w:val="none"/>
        </w:rPr>
      </w:pPr>
      <w:r>
        <w:rPr>
          <w:rFonts w:hint="eastAsia"/>
          <w:color w:val="auto"/>
          <w:highlight w:val="none"/>
        </w:rPr>
        <w:t>七、本通知自2017年10月1日起执行。</w:t>
      </w:r>
    </w:p>
    <w:p>
      <w:pPr>
        <w:pStyle w:val="16"/>
        <w:shd w:val="clear" w:color="auto" w:fill="FFFFFF"/>
        <w:spacing w:before="0" w:beforeAutospacing="0" w:after="0" w:afterAutospacing="0" w:line="560" w:lineRule="exact"/>
        <w:ind w:firstLine="480" w:firstLineChars="200"/>
        <w:jc w:val="right"/>
        <w:rPr>
          <w:rFonts w:hint="eastAsia"/>
          <w:color w:val="auto"/>
          <w:highlight w:val="none"/>
        </w:rPr>
      </w:pPr>
      <w:r>
        <w:rPr>
          <w:rFonts w:hint="eastAsia"/>
          <w:color w:val="auto"/>
          <w:highlight w:val="none"/>
        </w:rPr>
        <w:t>财政部 民政部 中国残疾人联合会</w:t>
      </w:r>
    </w:p>
    <w:p>
      <w:pPr>
        <w:pStyle w:val="16"/>
        <w:shd w:val="clear" w:color="auto" w:fill="FFFFFF"/>
        <w:spacing w:before="0" w:beforeAutospacing="0" w:after="0" w:afterAutospacing="0" w:line="560" w:lineRule="exact"/>
        <w:ind w:firstLine="480" w:firstLineChars="200"/>
        <w:jc w:val="right"/>
        <w:rPr>
          <w:rFonts w:hint="eastAsia"/>
          <w:color w:val="auto"/>
          <w:highlight w:val="none"/>
        </w:rPr>
      </w:pPr>
      <w:r>
        <w:rPr>
          <w:rFonts w:hint="eastAsia"/>
          <w:color w:val="auto"/>
          <w:highlight w:val="none"/>
        </w:rPr>
        <w:t>2017年8月22日</w:t>
      </w:r>
    </w:p>
    <w:p>
      <w:pPr>
        <w:pStyle w:val="37"/>
        <w:shd w:val="clear" w:color="auto" w:fill="FFFFFF"/>
        <w:spacing w:before="0" w:beforeAutospacing="0" w:after="0" w:afterAutospacing="0" w:line="560" w:lineRule="exact"/>
        <w:jc w:val="both"/>
        <w:rPr>
          <w:rFonts w:hint="eastAsia"/>
          <w:color w:val="auto"/>
          <w:highlight w:val="none"/>
        </w:rPr>
      </w:pPr>
      <w:r>
        <w:rPr>
          <w:rFonts w:hint="eastAsia"/>
          <w:color w:val="auto"/>
          <w:highlight w:val="none"/>
        </w:rPr>
        <w:t>附件：</w:t>
      </w:r>
    </w:p>
    <w:p>
      <w:pPr>
        <w:pStyle w:val="37"/>
        <w:shd w:val="clear" w:color="auto" w:fill="FFFFFF"/>
        <w:spacing w:before="0" w:beforeAutospacing="0" w:after="0" w:afterAutospacing="0" w:line="560" w:lineRule="exact"/>
        <w:ind w:firstLine="482" w:firstLineChars="200"/>
        <w:jc w:val="center"/>
        <w:rPr>
          <w:rFonts w:hint="eastAsia"/>
          <w:color w:val="auto"/>
          <w:highlight w:val="none"/>
        </w:rPr>
      </w:pPr>
      <w:r>
        <w:rPr>
          <w:rStyle w:val="38"/>
          <w:rFonts w:hint="eastAsia"/>
          <w:b/>
          <w:bCs/>
          <w:color w:val="auto"/>
          <w:highlight w:val="none"/>
        </w:rPr>
        <w:t>残疾人福利性单位声明函</w:t>
      </w:r>
    </w:p>
    <w:p>
      <w:pPr>
        <w:pStyle w:val="37"/>
        <w:shd w:val="clear" w:color="auto" w:fill="FFFFFF"/>
        <w:spacing w:before="0" w:beforeAutospacing="0" w:after="0" w:afterAutospacing="0" w:line="560" w:lineRule="exact"/>
        <w:ind w:firstLine="480" w:firstLineChars="200"/>
        <w:jc w:val="both"/>
        <w:rPr>
          <w:rFonts w:hint="eastAsia"/>
          <w:color w:val="auto"/>
          <w:highlight w:val="none"/>
        </w:rPr>
      </w:pPr>
      <w:r>
        <w:rPr>
          <w:rStyle w:val="38"/>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7"/>
        <w:shd w:val="clear" w:color="auto" w:fill="FFFFFF"/>
        <w:spacing w:before="0" w:beforeAutospacing="0" w:after="0" w:afterAutospacing="0" w:line="560" w:lineRule="exact"/>
        <w:ind w:firstLine="480" w:firstLineChars="200"/>
        <w:jc w:val="both"/>
        <w:rPr>
          <w:rFonts w:hint="eastAsia"/>
          <w:color w:val="auto"/>
          <w:highlight w:val="none"/>
        </w:rPr>
      </w:pPr>
      <w:r>
        <w:rPr>
          <w:rStyle w:val="38"/>
          <w:rFonts w:hint="eastAsia"/>
          <w:color w:val="auto"/>
          <w:highlight w:val="none"/>
        </w:rPr>
        <w:t>本单位对上述声明的真实性负责。如有虚假，将依法承担相应责任。</w:t>
      </w:r>
    </w:p>
    <w:p>
      <w:pPr>
        <w:pStyle w:val="37"/>
        <w:shd w:val="clear" w:color="auto" w:fill="FFFFFF"/>
        <w:spacing w:before="0" w:beforeAutospacing="0" w:after="0" w:afterAutospacing="0" w:line="560" w:lineRule="exact"/>
        <w:ind w:firstLine="480" w:firstLineChars="200"/>
        <w:jc w:val="both"/>
        <w:rPr>
          <w:rFonts w:hint="eastAsia"/>
          <w:color w:val="auto"/>
          <w:highlight w:val="none"/>
        </w:rPr>
      </w:pPr>
      <w:r>
        <w:rPr>
          <w:rFonts w:hint="eastAsia"/>
          <w:color w:val="auto"/>
          <w:highlight w:val="none"/>
        </w:rPr>
        <w:t>投标人已知悉《关于促进残疾人就业政府采购政策的通知》（财库〔2017〕141 号）的规定，承诺提供的声明函内容是真实的，如提供声明函内容不实，则依法追究相关法律责任。</w:t>
      </w:r>
    </w:p>
    <w:p>
      <w:pPr>
        <w:pStyle w:val="37"/>
        <w:shd w:val="clear" w:color="auto" w:fill="FFFFFF"/>
        <w:spacing w:before="0" w:beforeAutospacing="0" w:after="0" w:afterAutospacing="0" w:line="560" w:lineRule="exact"/>
        <w:ind w:right="2100" w:rightChars="1000"/>
        <w:jc w:val="right"/>
        <w:rPr>
          <w:rFonts w:hint="eastAsia"/>
          <w:color w:val="auto"/>
          <w:highlight w:val="none"/>
        </w:rPr>
      </w:pPr>
      <w:r>
        <w:rPr>
          <w:rStyle w:val="38"/>
          <w:rFonts w:hint="eastAsia"/>
          <w:color w:val="auto"/>
          <w:highlight w:val="none"/>
        </w:rPr>
        <w:t>单位名称（盖章）：</w:t>
      </w:r>
    </w:p>
    <w:p>
      <w:pPr>
        <w:pStyle w:val="37"/>
        <w:shd w:val="clear" w:color="auto" w:fill="FFFFFF"/>
        <w:spacing w:before="0" w:beforeAutospacing="0" w:after="0" w:afterAutospacing="0" w:line="560" w:lineRule="exact"/>
        <w:ind w:right="2100" w:rightChars="1000"/>
        <w:jc w:val="right"/>
        <w:rPr>
          <w:rFonts w:hint="eastAsia"/>
          <w:color w:val="auto"/>
          <w:highlight w:val="none"/>
          <w:lang w:val="fr-CH"/>
        </w:rPr>
      </w:pPr>
      <w:r>
        <w:rPr>
          <w:rStyle w:val="38"/>
          <w:rFonts w:hint="eastAsia"/>
          <w:color w:val="auto"/>
          <w:highlight w:val="none"/>
        </w:rPr>
        <w:t>日 期：</w:t>
      </w:r>
    </w:p>
    <w:p>
      <w:pPr>
        <w:pStyle w:val="32"/>
        <w:rPr>
          <w:color w:val="auto"/>
          <w:highlight w:val="none"/>
          <w:lang w:val="fr-CH"/>
        </w:rPr>
      </w:pPr>
    </w:p>
    <w:p>
      <w:pPr>
        <w:rPr>
          <w:color w:val="auto"/>
          <w:highlight w:val="none"/>
        </w:rPr>
      </w:pPr>
    </w:p>
    <w:sectPr>
      <w:headerReference r:id="rId7" w:type="first"/>
      <w:headerReference r:id="rId5" w:type="default"/>
      <w:headerReference r:id="rId6" w:type="even"/>
      <w:pgSz w:w="11906" w:h="16838"/>
      <w:pgMar w:top="1270" w:right="1803" w:bottom="1288"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隶书">
    <w:altName w:val="宋体"/>
    <w:panose1 w:val="02010509060101010101"/>
    <w:charset w:val="86"/>
    <w:family w:val="modern"/>
    <w:pitch w:val="default"/>
    <w:sig w:usb0="00000000" w:usb1="00000000" w:usb2="00000010" w:usb3="00000000" w:csb0="00040000" w:csb1="00000000"/>
  </w:font>
  <w:font w:name="长城仿宋">
    <w:altName w:val="仿宋"/>
    <w:panose1 w:val="00000000000000000000"/>
    <w:charset w:val="00"/>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Narrow">
    <w:altName w:val="Times New Roman"/>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1026"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1025"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00000009"/>
    <w:multiLevelType w:val="singleLevel"/>
    <w:tmpl w:val="00000009"/>
    <w:lvl w:ilvl="0" w:tentative="0">
      <w:start w:val="1"/>
      <w:numFmt w:val="chineseCounting"/>
      <w:suff w:val="nothing"/>
      <w:lvlText w:val="%1、"/>
      <w:lvlJc w:val="left"/>
    </w:lvl>
  </w:abstractNum>
  <w:abstractNum w:abstractNumId="8">
    <w:nsid w:val="200A2FAF"/>
    <w:multiLevelType w:val="singleLevel"/>
    <w:tmpl w:val="200A2FAF"/>
    <w:lvl w:ilvl="0" w:tentative="0">
      <w:start w:val="5"/>
      <w:numFmt w:val="decimal"/>
      <w:suff w:val="nothing"/>
      <w:lvlText w:val="（%1）"/>
      <w:lvlJc w:val="left"/>
    </w:lvl>
  </w:abstractNum>
  <w:abstractNum w:abstractNumId="9">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0">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1">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2">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3">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3"/>
  </w:num>
  <w:num w:numId="2">
    <w:abstractNumId w:val="4"/>
  </w:num>
  <w:num w:numId="3">
    <w:abstractNumId w:val="2"/>
  </w:num>
  <w:num w:numId="4">
    <w:abstractNumId w:val="9"/>
  </w:num>
  <w:num w:numId="5">
    <w:abstractNumId w:val="7"/>
  </w:num>
  <w:num w:numId="6">
    <w:abstractNumId w:val="10"/>
  </w:num>
  <w:num w:numId="7">
    <w:abstractNumId w:val="3"/>
  </w:num>
  <w:num w:numId="8">
    <w:abstractNumId w:val="5"/>
  </w:num>
  <w:num w:numId="9">
    <w:abstractNumId w:val="1"/>
  </w:num>
  <w:num w:numId="10">
    <w:abstractNumId w:val="0"/>
  </w:num>
  <w:num w:numId="11">
    <w:abstractNumId w:val="6"/>
  </w:num>
  <w:num w:numId="12">
    <w:abstractNumId w:val="1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 w:name="KSO_WPS_MARK_KEY" w:val="6c52a594-fa24-4eda-8bdf-1df5baad3362"/>
  </w:docVars>
  <w:rsids>
    <w:rsidRoot w:val="6F152D9A"/>
    <w:rsid w:val="000404DC"/>
    <w:rsid w:val="000821F1"/>
    <w:rsid w:val="001109FF"/>
    <w:rsid w:val="001F7F7E"/>
    <w:rsid w:val="00291AA1"/>
    <w:rsid w:val="00304B53"/>
    <w:rsid w:val="003168D7"/>
    <w:rsid w:val="00350E7B"/>
    <w:rsid w:val="0041778A"/>
    <w:rsid w:val="0046340A"/>
    <w:rsid w:val="004819BA"/>
    <w:rsid w:val="004B5B75"/>
    <w:rsid w:val="004E616D"/>
    <w:rsid w:val="00576960"/>
    <w:rsid w:val="00591ED4"/>
    <w:rsid w:val="005B3EB6"/>
    <w:rsid w:val="006A5E20"/>
    <w:rsid w:val="007743C7"/>
    <w:rsid w:val="00785F49"/>
    <w:rsid w:val="007F6682"/>
    <w:rsid w:val="00832935"/>
    <w:rsid w:val="00870BFD"/>
    <w:rsid w:val="008E095A"/>
    <w:rsid w:val="00924AE0"/>
    <w:rsid w:val="00927745"/>
    <w:rsid w:val="009C337D"/>
    <w:rsid w:val="009D033E"/>
    <w:rsid w:val="009E70F5"/>
    <w:rsid w:val="009F1B47"/>
    <w:rsid w:val="00A73F84"/>
    <w:rsid w:val="00A81D22"/>
    <w:rsid w:val="00A955D9"/>
    <w:rsid w:val="00AC7D6D"/>
    <w:rsid w:val="00BE0740"/>
    <w:rsid w:val="00BF1095"/>
    <w:rsid w:val="00C33D8C"/>
    <w:rsid w:val="00C7677C"/>
    <w:rsid w:val="00CA5316"/>
    <w:rsid w:val="00D2452C"/>
    <w:rsid w:val="00DE5743"/>
    <w:rsid w:val="00DF15AF"/>
    <w:rsid w:val="00E6198E"/>
    <w:rsid w:val="00E66DBA"/>
    <w:rsid w:val="00F3460E"/>
    <w:rsid w:val="00F52A8D"/>
    <w:rsid w:val="00F80C5D"/>
    <w:rsid w:val="00F87FEB"/>
    <w:rsid w:val="00FB3B46"/>
    <w:rsid w:val="00FC1BE0"/>
    <w:rsid w:val="01070590"/>
    <w:rsid w:val="011D7606"/>
    <w:rsid w:val="01211AD4"/>
    <w:rsid w:val="012952B3"/>
    <w:rsid w:val="012B1DC1"/>
    <w:rsid w:val="013B4944"/>
    <w:rsid w:val="0140411C"/>
    <w:rsid w:val="014E4E03"/>
    <w:rsid w:val="0159301C"/>
    <w:rsid w:val="01623C7B"/>
    <w:rsid w:val="01683444"/>
    <w:rsid w:val="017E0CD4"/>
    <w:rsid w:val="018C0929"/>
    <w:rsid w:val="018F6A3E"/>
    <w:rsid w:val="019978BC"/>
    <w:rsid w:val="01AA3877"/>
    <w:rsid w:val="01AF6971"/>
    <w:rsid w:val="01B12E58"/>
    <w:rsid w:val="01B8192A"/>
    <w:rsid w:val="01BA0A50"/>
    <w:rsid w:val="01CC1A40"/>
    <w:rsid w:val="01E27A17"/>
    <w:rsid w:val="022618D2"/>
    <w:rsid w:val="02274EC8"/>
    <w:rsid w:val="02306473"/>
    <w:rsid w:val="023A5F04"/>
    <w:rsid w:val="023C49C6"/>
    <w:rsid w:val="02555717"/>
    <w:rsid w:val="026305F6"/>
    <w:rsid w:val="02685C0C"/>
    <w:rsid w:val="02881E0B"/>
    <w:rsid w:val="02947948"/>
    <w:rsid w:val="02A92B78"/>
    <w:rsid w:val="02AD5464"/>
    <w:rsid w:val="02CB7F49"/>
    <w:rsid w:val="02CC7BBA"/>
    <w:rsid w:val="02DC6BB1"/>
    <w:rsid w:val="02DE4536"/>
    <w:rsid w:val="02EB738D"/>
    <w:rsid w:val="031134B4"/>
    <w:rsid w:val="031C47EB"/>
    <w:rsid w:val="0334777F"/>
    <w:rsid w:val="0341645D"/>
    <w:rsid w:val="03634626"/>
    <w:rsid w:val="036D53D0"/>
    <w:rsid w:val="0375269E"/>
    <w:rsid w:val="0375603F"/>
    <w:rsid w:val="037A0E7B"/>
    <w:rsid w:val="038A0222"/>
    <w:rsid w:val="03990047"/>
    <w:rsid w:val="03A82039"/>
    <w:rsid w:val="03BE360A"/>
    <w:rsid w:val="03D96696"/>
    <w:rsid w:val="03DD6186"/>
    <w:rsid w:val="03DF1EFE"/>
    <w:rsid w:val="03E219EE"/>
    <w:rsid w:val="03EC2D32"/>
    <w:rsid w:val="03F5191B"/>
    <w:rsid w:val="04001E75"/>
    <w:rsid w:val="040556DD"/>
    <w:rsid w:val="04137DFA"/>
    <w:rsid w:val="04152DE3"/>
    <w:rsid w:val="041A1188"/>
    <w:rsid w:val="04213AC4"/>
    <w:rsid w:val="042277B0"/>
    <w:rsid w:val="0433224A"/>
    <w:rsid w:val="043343BF"/>
    <w:rsid w:val="044004C3"/>
    <w:rsid w:val="0442248D"/>
    <w:rsid w:val="04474B37"/>
    <w:rsid w:val="044E4D6E"/>
    <w:rsid w:val="04567CE7"/>
    <w:rsid w:val="04724631"/>
    <w:rsid w:val="049E5173"/>
    <w:rsid w:val="04A005CC"/>
    <w:rsid w:val="04A35474"/>
    <w:rsid w:val="04B50EB1"/>
    <w:rsid w:val="04C63705"/>
    <w:rsid w:val="04E377CC"/>
    <w:rsid w:val="04EE6171"/>
    <w:rsid w:val="04FF037E"/>
    <w:rsid w:val="05062697"/>
    <w:rsid w:val="051A4FE6"/>
    <w:rsid w:val="052E47BF"/>
    <w:rsid w:val="053973EC"/>
    <w:rsid w:val="054239F3"/>
    <w:rsid w:val="054B35C3"/>
    <w:rsid w:val="055E50A5"/>
    <w:rsid w:val="05695981"/>
    <w:rsid w:val="056D52E8"/>
    <w:rsid w:val="057C4BBE"/>
    <w:rsid w:val="057E6B51"/>
    <w:rsid w:val="05804BC2"/>
    <w:rsid w:val="058E7EB0"/>
    <w:rsid w:val="0594022D"/>
    <w:rsid w:val="05C80C71"/>
    <w:rsid w:val="05CD1439"/>
    <w:rsid w:val="05D74AE1"/>
    <w:rsid w:val="05D9775C"/>
    <w:rsid w:val="06336033"/>
    <w:rsid w:val="068A098C"/>
    <w:rsid w:val="069E458D"/>
    <w:rsid w:val="06A74AA2"/>
    <w:rsid w:val="06BC14B2"/>
    <w:rsid w:val="06BE2A9A"/>
    <w:rsid w:val="06C44D16"/>
    <w:rsid w:val="06C50397"/>
    <w:rsid w:val="06CC4290"/>
    <w:rsid w:val="06D00EEB"/>
    <w:rsid w:val="06D51397"/>
    <w:rsid w:val="06E23AB3"/>
    <w:rsid w:val="06E332E1"/>
    <w:rsid w:val="06F30D45"/>
    <w:rsid w:val="06F32700"/>
    <w:rsid w:val="07046BC9"/>
    <w:rsid w:val="070D6D82"/>
    <w:rsid w:val="070E3767"/>
    <w:rsid w:val="07235607"/>
    <w:rsid w:val="072A7934"/>
    <w:rsid w:val="072D6233"/>
    <w:rsid w:val="072F63A4"/>
    <w:rsid w:val="07397904"/>
    <w:rsid w:val="07521B5C"/>
    <w:rsid w:val="07593D76"/>
    <w:rsid w:val="0769037B"/>
    <w:rsid w:val="07787DB5"/>
    <w:rsid w:val="077961C6"/>
    <w:rsid w:val="079648D0"/>
    <w:rsid w:val="07994850"/>
    <w:rsid w:val="07AA45D1"/>
    <w:rsid w:val="07AC659B"/>
    <w:rsid w:val="07B13BB2"/>
    <w:rsid w:val="07CB4548"/>
    <w:rsid w:val="07E75482"/>
    <w:rsid w:val="07E8334B"/>
    <w:rsid w:val="07FD54F6"/>
    <w:rsid w:val="080A32D3"/>
    <w:rsid w:val="08206FE1"/>
    <w:rsid w:val="082A04D3"/>
    <w:rsid w:val="08497AA6"/>
    <w:rsid w:val="087C541A"/>
    <w:rsid w:val="088300A5"/>
    <w:rsid w:val="088F5575"/>
    <w:rsid w:val="08920DDF"/>
    <w:rsid w:val="08950582"/>
    <w:rsid w:val="08CA6A34"/>
    <w:rsid w:val="08CE609D"/>
    <w:rsid w:val="08E57A87"/>
    <w:rsid w:val="08E92ED7"/>
    <w:rsid w:val="08F43C68"/>
    <w:rsid w:val="090306E4"/>
    <w:rsid w:val="090931C4"/>
    <w:rsid w:val="090A34E0"/>
    <w:rsid w:val="090C38B9"/>
    <w:rsid w:val="09300B06"/>
    <w:rsid w:val="093305F6"/>
    <w:rsid w:val="09336848"/>
    <w:rsid w:val="093822B1"/>
    <w:rsid w:val="09491BC8"/>
    <w:rsid w:val="09575898"/>
    <w:rsid w:val="09592469"/>
    <w:rsid w:val="09695D52"/>
    <w:rsid w:val="096F55F7"/>
    <w:rsid w:val="097B41C8"/>
    <w:rsid w:val="097D1872"/>
    <w:rsid w:val="09823515"/>
    <w:rsid w:val="09A42169"/>
    <w:rsid w:val="09AF2373"/>
    <w:rsid w:val="09C84ED3"/>
    <w:rsid w:val="09F33C46"/>
    <w:rsid w:val="09F77876"/>
    <w:rsid w:val="0A0C5A96"/>
    <w:rsid w:val="0A2A768E"/>
    <w:rsid w:val="0A3B3C06"/>
    <w:rsid w:val="0A466A41"/>
    <w:rsid w:val="0A570F70"/>
    <w:rsid w:val="0A5B7D15"/>
    <w:rsid w:val="0A5E16A3"/>
    <w:rsid w:val="0A602146"/>
    <w:rsid w:val="0A6A44EC"/>
    <w:rsid w:val="0A7809B7"/>
    <w:rsid w:val="0A896457"/>
    <w:rsid w:val="0A8A693C"/>
    <w:rsid w:val="0A97236A"/>
    <w:rsid w:val="0A99092D"/>
    <w:rsid w:val="0AA51080"/>
    <w:rsid w:val="0AA72E75"/>
    <w:rsid w:val="0AB80AEB"/>
    <w:rsid w:val="0AB85257"/>
    <w:rsid w:val="0ACC485F"/>
    <w:rsid w:val="0AD731CB"/>
    <w:rsid w:val="0AE20526"/>
    <w:rsid w:val="0B0C40B2"/>
    <w:rsid w:val="0B140280"/>
    <w:rsid w:val="0B246449"/>
    <w:rsid w:val="0B260413"/>
    <w:rsid w:val="0B352F5D"/>
    <w:rsid w:val="0B445AA4"/>
    <w:rsid w:val="0B7B37EB"/>
    <w:rsid w:val="0B7F5D75"/>
    <w:rsid w:val="0B925AA8"/>
    <w:rsid w:val="0B984E94"/>
    <w:rsid w:val="0BAB25C9"/>
    <w:rsid w:val="0BAE21B6"/>
    <w:rsid w:val="0BAF665A"/>
    <w:rsid w:val="0BB275A6"/>
    <w:rsid w:val="0BB91DF1"/>
    <w:rsid w:val="0BCB4B16"/>
    <w:rsid w:val="0BD240F7"/>
    <w:rsid w:val="0BD31C1D"/>
    <w:rsid w:val="0BE62205"/>
    <w:rsid w:val="0BF92B66"/>
    <w:rsid w:val="0C0D68D1"/>
    <w:rsid w:val="0C115BEF"/>
    <w:rsid w:val="0C2B0B3A"/>
    <w:rsid w:val="0C3E38D0"/>
    <w:rsid w:val="0C45359F"/>
    <w:rsid w:val="0C68338A"/>
    <w:rsid w:val="0C70493E"/>
    <w:rsid w:val="0C7A124E"/>
    <w:rsid w:val="0C822ACA"/>
    <w:rsid w:val="0C946488"/>
    <w:rsid w:val="0CAB21EE"/>
    <w:rsid w:val="0CAC4948"/>
    <w:rsid w:val="0CB0538F"/>
    <w:rsid w:val="0CB70393"/>
    <w:rsid w:val="0CBB0F79"/>
    <w:rsid w:val="0CBB2DDD"/>
    <w:rsid w:val="0CCE0642"/>
    <w:rsid w:val="0CE56A55"/>
    <w:rsid w:val="0CEF0CD8"/>
    <w:rsid w:val="0CF93490"/>
    <w:rsid w:val="0CF956B3"/>
    <w:rsid w:val="0CFA3905"/>
    <w:rsid w:val="0D0429D6"/>
    <w:rsid w:val="0D046532"/>
    <w:rsid w:val="0D1954AC"/>
    <w:rsid w:val="0D1F336B"/>
    <w:rsid w:val="0D200E92"/>
    <w:rsid w:val="0D2C7836"/>
    <w:rsid w:val="0D31309F"/>
    <w:rsid w:val="0D396D82"/>
    <w:rsid w:val="0D3F1CF7"/>
    <w:rsid w:val="0D4402D3"/>
    <w:rsid w:val="0D447276"/>
    <w:rsid w:val="0D5374B9"/>
    <w:rsid w:val="0D5C54A5"/>
    <w:rsid w:val="0D624FA8"/>
    <w:rsid w:val="0D6E7E4F"/>
    <w:rsid w:val="0D703A54"/>
    <w:rsid w:val="0D7E4CC4"/>
    <w:rsid w:val="0D9B4B4C"/>
    <w:rsid w:val="0D9F3011"/>
    <w:rsid w:val="0DC34AA9"/>
    <w:rsid w:val="0DD46C7B"/>
    <w:rsid w:val="0DD67766"/>
    <w:rsid w:val="0DDA3736"/>
    <w:rsid w:val="0DDC6E3D"/>
    <w:rsid w:val="0DF052B3"/>
    <w:rsid w:val="0E01691E"/>
    <w:rsid w:val="0E303356"/>
    <w:rsid w:val="0E3C1CFB"/>
    <w:rsid w:val="0E430BBB"/>
    <w:rsid w:val="0E4B0853"/>
    <w:rsid w:val="0E59465B"/>
    <w:rsid w:val="0E6800DA"/>
    <w:rsid w:val="0E731448"/>
    <w:rsid w:val="0E745939"/>
    <w:rsid w:val="0E9953A0"/>
    <w:rsid w:val="0EA37FCC"/>
    <w:rsid w:val="0EA53D44"/>
    <w:rsid w:val="0EA77ABC"/>
    <w:rsid w:val="0EB6623E"/>
    <w:rsid w:val="0EB66783"/>
    <w:rsid w:val="0EB86C56"/>
    <w:rsid w:val="0EC73CBB"/>
    <w:rsid w:val="0ED40186"/>
    <w:rsid w:val="0EDC703A"/>
    <w:rsid w:val="0EDF7256"/>
    <w:rsid w:val="0EE83D6C"/>
    <w:rsid w:val="0EE85080"/>
    <w:rsid w:val="0EEE550D"/>
    <w:rsid w:val="0F18170A"/>
    <w:rsid w:val="0F274759"/>
    <w:rsid w:val="0F2A5DFB"/>
    <w:rsid w:val="0F3570A3"/>
    <w:rsid w:val="0F474BA3"/>
    <w:rsid w:val="0F601A19"/>
    <w:rsid w:val="0F6063AF"/>
    <w:rsid w:val="0F670FFA"/>
    <w:rsid w:val="0F7D081D"/>
    <w:rsid w:val="0F8605B0"/>
    <w:rsid w:val="0F932761"/>
    <w:rsid w:val="0FAC4C5F"/>
    <w:rsid w:val="0FB3724D"/>
    <w:rsid w:val="0FDF48E7"/>
    <w:rsid w:val="0FE254EF"/>
    <w:rsid w:val="0FE96BFE"/>
    <w:rsid w:val="0FF5D091"/>
    <w:rsid w:val="0FF73826"/>
    <w:rsid w:val="0FFF663B"/>
    <w:rsid w:val="10134CDE"/>
    <w:rsid w:val="102C5B1A"/>
    <w:rsid w:val="102D2243"/>
    <w:rsid w:val="10365E2E"/>
    <w:rsid w:val="10394744"/>
    <w:rsid w:val="105B0B5E"/>
    <w:rsid w:val="105B405A"/>
    <w:rsid w:val="105E064F"/>
    <w:rsid w:val="10634BF3"/>
    <w:rsid w:val="10655A74"/>
    <w:rsid w:val="10661611"/>
    <w:rsid w:val="10686DD7"/>
    <w:rsid w:val="10792762"/>
    <w:rsid w:val="10795E9B"/>
    <w:rsid w:val="10813049"/>
    <w:rsid w:val="10857989"/>
    <w:rsid w:val="108B0D18"/>
    <w:rsid w:val="108B4148"/>
    <w:rsid w:val="10B0301F"/>
    <w:rsid w:val="10B40C48"/>
    <w:rsid w:val="10DB1C9F"/>
    <w:rsid w:val="10EA0134"/>
    <w:rsid w:val="10FB7C09"/>
    <w:rsid w:val="111B2557"/>
    <w:rsid w:val="112A3AAF"/>
    <w:rsid w:val="1130036A"/>
    <w:rsid w:val="113F222E"/>
    <w:rsid w:val="116E61A6"/>
    <w:rsid w:val="117D68B3"/>
    <w:rsid w:val="11933975"/>
    <w:rsid w:val="119473B4"/>
    <w:rsid w:val="119F4A7B"/>
    <w:rsid w:val="11C113C0"/>
    <w:rsid w:val="11CF6607"/>
    <w:rsid w:val="11D42AA6"/>
    <w:rsid w:val="11DC5CCF"/>
    <w:rsid w:val="11E20E0C"/>
    <w:rsid w:val="11E60541"/>
    <w:rsid w:val="11E626AA"/>
    <w:rsid w:val="11E64EC6"/>
    <w:rsid w:val="11FE3E97"/>
    <w:rsid w:val="1209283C"/>
    <w:rsid w:val="12220029"/>
    <w:rsid w:val="123376EC"/>
    <w:rsid w:val="12431D83"/>
    <w:rsid w:val="12437AFC"/>
    <w:rsid w:val="12522CB6"/>
    <w:rsid w:val="125B755A"/>
    <w:rsid w:val="125C6E10"/>
    <w:rsid w:val="12723F3D"/>
    <w:rsid w:val="12771554"/>
    <w:rsid w:val="12820336"/>
    <w:rsid w:val="128B66A0"/>
    <w:rsid w:val="12AA7B7B"/>
    <w:rsid w:val="12D149BF"/>
    <w:rsid w:val="12D65CA8"/>
    <w:rsid w:val="12E0359D"/>
    <w:rsid w:val="12E91C37"/>
    <w:rsid w:val="12FC6E07"/>
    <w:rsid w:val="13000F86"/>
    <w:rsid w:val="13021765"/>
    <w:rsid w:val="130D18FD"/>
    <w:rsid w:val="130F4553"/>
    <w:rsid w:val="13160D6D"/>
    <w:rsid w:val="13242E4C"/>
    <w:rsid w:val="13426006"/>
    <w:rsid w:val="13441D7E"/>
    <w:rsid w:val="13623D17"/>
    <w:rsid w:val="1369544C"/>
    <w:rsid w:val="137139FA"/>
    <w:rsid w:val="1373154F"/>
    <w:rsid w:val="13732C15"/>
    <w:rsid w:val="137B2173"/>
    <w:rsid w:val="137FA8DD"/>
    <w:rsid w:val="138A5087"/>
    <w:rsid w:val="13951544"/>
    <w:rsid w:val="139B74C4"/>
    <w:rsid w:val="13A1291C"/>
    <w:rsid w:val="13CE1647"/>
    <w:rsid w:val="13D76995"/>
    <w:rsid w:val="13DA0C71"/>
    <w:rsid w:val="13E90B4A"/>
    <w:rsid w:val="13F57F6C"/>
    <w:rsid w:val="14096B23"/>
    <w:rsid w:val="140D14B5"/>
    <w:rsid w:val="140E7C96"/>
    <w:rsid w:val="14207760"/>
    <w:rsid w:val="14263231"/>
    <w:rsid w:val="142C0FF0"/>
    <w:rsid w:val="14362E80"/>
    <w:rsid w:val="144E5BAF"/>
    <w:rsid w:val="145911D3"/>
    <w:rsid w:val="145B077C"/>
    <w:rsid w:val="14691987"/>
    <w:rsid w:val="146A5583"/>
    <w:rsid w:val="146A69C0"/>
    <w:rsid w:val="14721A72"/>
    <w:rsid w:val="147D7C24"/>
    <w:rsid w:val="148E53CB"/>
    <w:rsid w:val="148F7029"/>
    <w:rsid w:val="14904B4F"/>
    <w:rsid w:val="149363ED"/>
    <w:rsid w:val="149A5B83"/>
    <w:rsid w:val="14BE346A"/>
    <w:rsid w:val="14C64A14"/>
    <w:rsid w:val="14CF4106"/>
    <w:rsid w:val="14D17C89"/>
    <w:rsid w:val="14D83808"/>
    <w:rsid w:val="14D94748"/>
    <w:rsid w:val="14FE7D0A"/>
    <w:rsid w:val="15153347"/>
    <w:rsid w:val="1528122B"/>
    <w:rsid w:val="15293404"/>
    <w:rsid w:val="152D2403"/>
    <w:rsid w:val="15334DC3"/>
    <w:rsid w:val="15347304"/>
    <w:rsid w:val="15392B59"/>
    <w:rsid w:val="153B4ABB"/>
    <w:rsid w:val="15567B46"/>
    <w:rsid w:val="15610299"/>
    <w:rsid w:val="1569013A"/>
    <w:rsid w:val="15897F1C"/>
    <w:rsid w:val="1597466A"/>
    <w:rsid w:val="15A52514"/>
    <w:rsid w:val="15BC1451"/>
    <w:rsid w:val="15C70A44"/>
    <w:rsid w:val="15E05662"/>
    <w:rsid w:val="15F12E86"/>
    <w:rsid w:val="16027A14"/>
    <w:rsid w:val="160C1181"/>
    <w:rsid w:val="162A366D"/>
    <w:rsid w:val="16322361"/>
    <w:rsid w:val="1633052E"/>
    <w:rsid w:val="163F247B"/>
    <w:rsid w:val="164B3423"/>
    <w:rsid w:val="16610551"/>
    <w:rsid w:val="167A7865"/>
    <w:rsid w:val="16817906"/>
    <w:rsid w:val="16B46578"/>
    <w:rsid w:val="16C3745D"/>
    <w:rsid w:val="16C52AF8"/>
    <w:rsid w:val="16CF7BB0"/>
    <w:rsid w:val="16D8450A"/>
    <w:rsid w:val="16E62092"/>
    <w:rsid w:val="17033CFE"/>
    <w:rsid w:val="171D5762"/>
    <w:rsid w:val="171F4A71"/>
    <w:rsid w:val="1732767F"/>
    <w:rsid w:val="17361B83"/>
    <w:rsid w:val="17396DCE"/>
    <w:rsid w:val="173F4503"/>
    <w:rsid w:val="174A0D2D"/>
    <w:rsid w:val="176431CF"/>
    <w:rsid w:val="178A03DE"/>
    <w:rsid w:val="17A322AC"/>
    <w:rsid w:val="17A4103D"/>
    <w:rsid w:val="17B01E78"/>
    <w:rsid w:val="17C70A77"/>
    <w:rsid w:val="17EC24A9"/>
    <w:rsid w:val="17EE22B8"/>
    <w:rsid w:val="17FD60AF"/>
    <w:rsid w:val="180C2F5C"/>
    <w:rsid w:val="180D7774"/>
    <w:rsid w:val="184B770B"/>
    <w:rsid w:val="184F0D8B"/>
    <w:rsid w:val="186A4456"/>
    <w:rsid w:val="18822A00"/>
    <w:rsid w:val="18A72F8C"/>
    <w:rsid w:val="18B169F7"/>
    <w:rsid w:val="18C46036"/>
    <w:rsid w:val="18D25736"/>
    <w:rsid w:val="18E667DE"/>
    <w:rsid w:val="19045FB6"/>
    <w:rsid w:val="190B1AB7"/>
    <w:rsid w:val="190E1E92"/>
    <w:rsid w:val="190E4E8A"/>
    <w:rsid w:val="191E2C88"/>
    <w:rsid w:val="191E47AE"/>
    <w:rsid w:val="19213D00"/>
    <w:rsid w:val="192E19B5"/>
    <w:rsid w:val="193E2DCB"/>
    <w:rsid w:val="194A5C14"/>
    <w:rsid w:val="194B4539"/>
    <w:rsid w:val="19524450"/>
    <w:rsid w:val="195A7AB6"/>
    <w:rsid w:val="19677F5C"/>
    <w:rsid w:val="196D6F0D"/>
    <w:rsid w:val="198729C4"/>
    <w:rsid w:val="199367A5"/>
    <w:rsid w:val="199FA76B"/>
    <w:rsid w:val="19A15F01"/>
    <w:rsid w:val="19A170D7"/>
    <w:rsid w:val="19A8293B"/>
    <w:rsid w:val="19AA0461"/>
    <w:rsid w:val="19B1216E"/>
    <w:rsid w:val="19C137C8"/>
    <w:rsid w:val="19D63004"/>
    <w:rsid w:val="19ED121F"/>
    <w:rsid w:val="19EF3664"/>
    <w:rsid w:val="1A0256C7"/>
    <w:rsid w:val="1A0F6EBC"/>
    <w:rsid w:val="1A1D6E85"/>
    <w:rsid w:val="1A3C3E2A"/>
    <w:rsid w:val="1A3D12D5"/>
    <w:rsid w:val="1A571CAA"/>
    <w:rsid w:val="1A680537"/>
    <w:rsid w:val="1A8A3DEE"/>
    <w:rsid w:val="1A8E78C8"/>
    <w:rsid w:val="1A914D5C"/>
    <w:rsid w:val="1A9609E5"/>
    <w:rsid w:val="1A9A2283"/>
    <w:rsid w:val="1A9B5FFB"/>
    <w:rsid w:val="1AAE5E28"/>
    <w:rsid w:val="1AC27A2C"/>
    <w:rsid w:val="1AD46734"/>
    <w:rsid w:val="1AD87250"/>
    <w:rsid w:val="1ADF413A"/>
    <w:rsid w:val="1AED4941"/>
    <w:rsid w:val="1AED6666"/>
    <w:rsid w:val="1AF264E1"/>
    <w:rsid w:val="1AF745BC"/>
    <w:rsid w:val="1B155DAE"/>
    <w:rsid w:val="1B417F7A"/>
    <w:rsid w:val="1B5508A0"/>
    <w:rsid w:val="1B5E1503"/>
    <w:rsid w:val="1B5E3AB8"/>
    <w:rsid w:val="1B822B4E"/>
    <w:rsid w:val="1B834AAE"/>
    <w:rsid w:val="1B9637E8"/>
    <w:rsid w:val="1BB235FD"/>
    <w:rsid w:val="1BB9498B"/>
    <w:rsid w:val="1BC947C4"/>
    <w:rsid w:val="1BCA47EE"/>
    <w:rsid w:val="1BD27C70"/>
    <w:rsid w:val="1BD96DDB"/>
    <w:rsid w:val="1BDB6FF7"/>
    <w:rsid w:val="1C00080C"/>
    <w:rsid w:val="1C0F6CA1"/>
    <w:rsid w:val="1C2344FA"/>
    <w:rsid w:val="1C2529FF"/>
    <w:rsid w:val="1C27223D"/>
    <w:rsid w:val="1C2C33AF"/>
    <w:rsid w:val="1C427076"/>
    <w:rsid w:val="1C522596"/>
    <w:rsid w:val="1C5648D0"/>
    <w:rsid w:val="1C5B5A42"/>
    <w:rsid w:val="1C6F14EE"/>
    <w:rsid w:val="1C735482"/>
    <w:rsid w:val="1C7A4DC8"/>
    <w:rsid w:val="1C9211BE"/>
    <w:rsid w:val="1CA23671"/>
    <w:rsid w:val="1CA266AD"/>
    <w:rsid w:val="1CAA52F6"/>
    <w:rsid w:val="1CB425E3"/>
    <w:rsid w:val="1CB43DBF"/>
    <w:rsid w:val="1CC5619F"/>
    <w:rsid w:val="1CD31A7D"/>
    <w:rsid w:val="1CEF358F"/>
    <w:rsid w:val="1CF7709A"/>
    <w:rsid w:val="1D0B56BA"/>
    <w:rsid w:val="1D174D30"/>
    <w:rsid w:val="1D274825"/>
    <w:rsid w:val="1D2B18B9"/>
    <w:rsid w:val="1D2E12C2"/>
    <w:rsid w:val="1D44297A"/>
    <w:rsid w:val="1D552DD9"/>
    <w:rsid w:val="1D734FE3"/>
    <w:rsid w:val="1D7414B2"/>
    <w:rsid w:val="1D815FCC"/>
    <w:rsid w:val="1D927B8A"/>
    <w:rsid w:val="1D9D43F0"/>
    <w:rsid w:val="1DAF2AC9"/>
    <w:rsid w:val="1DB26E14"/>
    <w:rsid w:val="1DC42A0B"/>
    <w:rsid w:val="1DCA2E80"/>
    <w:rsid w:val="1DCF4116"/>
    <w:rsid w:val="1DEC593A"/>
    <w:rsid w:val="1DFB6F31"/>
    <w:rsid w:val="1E024641"/>
    <w:rsid w:val="1E03038B"/>
    <w:rsid w:val="1E25455A"/>
    <w:rsid w:val="1E2F362A"/>
    <w:rsid w:val="1E340C41"/>
    <w:rsid w:val="1E403142"/>
    <w:rsid w:val="1E533D63"/>
    <w:rsid w:val="1E6B7566"/>
    <w:rsid w:val="1E781388"/>
    <w:rsid w:val="1E851C27"/>
    <w:rsid w:val="1E923BA9"/>
    <w:rsid w:val="1E9B2886"/>
    <w:rsid w:val="1EA47B74"/>
    <w:rsid w:val="1EAE454F"/>
    <w:rsid w:val="1EB234A9"/>
    <w:rsid w:val="1EB25197"/>
    <w:rsid w:val="1EC51899"/>
    <w:rsid w:val="1ECC5479"/>
    <w:rsid w:val="1EEF7754"/>
    <w:rsid w:val="1EF46E21"/>
    <w:rsid w:val="1F18526B"/>
    <w:rsid w:val="1F237321"/>
    <w:rsid w:val="1F27593E"/>
    <w:rsid w:val="1F394761"/>
    <w:rsid w:val="1F4D21A9"/>
    <w:rsid w:val="1F4F2B8D"/>
    <w:rsid w:val="1F6A2B6C"/>
    <w:rsid w:val="1F902E99"/>
    <w:rsid w:val="1F9BB067"/>
    <w:rsid w:val="1FA31BDA"/>
    <w:rsid w:val="1FB47A5D"/>
    <w:rsid w:val="1FCF0C21"/>
    <w:rsid w:val="1FF42436"/>
    <w:rsid w:val="1FFF00F8"/>
    <w:rsid w:val="200655C0"/>
    <w:rsid w:val="200E78F3"/>
    <w:rsid w:val="20126D60"/>
    <w:rsid w:val="201C198C"/>
    <w:rsid w:val="20266068"/>
    <w:rsid w:val="20717F2A"/>
    <w:rsid w:val="207417C9"/>
    <w:rsid w:val="207A09B0"/>
    <w:rsid w:val="2094622D"/>
    <w:rsid w:val="209C776B"/>
    <w:rsid w:val="20AA3CDC"/>
    <w:rsid w:val="20B23D8A"/>
    <w:rsid w:val="20C56C00"/>
    <w:rsid w:val="20D54766"/>
    <w:rsid w:val="20D626D7"/>
    <w:rsid w:val="20DD55C0"/>
    <w:rsid w:val="20F546B7"/>
    <w:rsid w:val="20F86993"/>
    <w:rsid w:val="20FD531A"/>
    <w:rsid w:val="21037F10"/>
    <w:rsid w:val="213760C2"/>
    <w:rsid w:val="213D22F1"/>
    <w:rsid w:val="213F6706"/>
    <w:rsid w:val="2165078C"/>
    <w:rsid w:val="21667363"/>
    <w:rsid w:val="216A647F"/>
    <w:rsid w:val="217557F8"/>
    <w:rsid w:val="218B0B78"/>
    <w:rsid w:val="21A63C04"/>
    <w:rsid w:val="21A734D8"/>
    <w:rsid w:val="21C8784B"/>
    <w:rsid w:val="21CF315A"/>
    <w:rsid w:val="21F030D1"/>
    <w:rsid w:val="220646A2"/>
    <w:rsid w:val="22180E56"/>
    <w:rsid w:val="221C2372"/>
    <w:rsid w:val="2221328A"/>
    <w:rsid w:val="22235254"/>
    <w:rsid w:val="22266AF2"/>
    <w:rsid w:val="22274D44"/>
    <w:rsid w:val="222F3BF9"/>
    <w:rsid w:val="2245341D"/>
    <w:rsid w:val="22462A8A"/>
    <w:rsid w:val="22543B20"/>
    <w:rsid w:val="22574EFE"/>
    <w:rsid w:val="22631AF5"/>
    <w:rsid w:val="22696FF6"/>
    <w:rsid w:val="22916066"/>
    <w:rsid w:val="22993768"/>
    <w:rsid w:val="229B431D"/>
    <w:rsid w:val="229F2035"/>
    <w:rsid w:val="229F66F7"/>
    <w:rsid w:val="22B67E76"/>
    <w:rsid w:val="22B7264E"/>
    <w:rsid w:val="22B73217"/>
    <w:rsid w:val="22C87E82"/>
    <w:rsid w:val="22D03538"/>
    <w:rsid w:val="22D12F02"/>
    <w:rsid w:val="22E03145"/>
    <w:rsid w:val="22E83DA8"/>
    <w:rsid w:val="22E9024C"/>
    <w:rsid w:val="23006025"/>
    <w:rsid w:val="230102D9"/>
    <w:rsid w:val="23052BAC"/>
    <w:rsid w:val="230B7162"/>
    <w:rsid w:val="230C1C0F"/>
    <w:rsid w:val="231A1DBF"/>
    <w:rsid w:val="232748D0"/>
    <w:rsid w:val="23353491"/>
    <w:rsid w:val="23445482"/>
    <w:rsid w:val="23517B9F"/>
    <w:rsid w:val="23531B69"/>
    <w:rsid w:val="235F43F3"/>
    <w:rsid w:val="23664217"/>
    <w:rsid w:val="236B0C61"/>
    <w:rsid w:val="238E2BA1"/>
    <w:rsid w:val="23915FA1"/>
    <w:rsid w:val="23A14774"/>
    <w:rsid w:val="23A5639B"/>
    <w:rsid w:val="23A67435"/>
    <w:rsid w:val="23B61558"/>
    <w:rsid w:val="23BC770E"/>
    <w:rsid w:val="23C9141B"/>
    <w:rsid w:val="23FE3883"/>
    <w:rsid w:val="23FF75FB"/>
    <w:rsid w:val="240708CD"/>
    <w:rsid w:val="240F5A90"/>
    <w:rsid w:val="24106476"/>
    <w:rsid w:val="24162D28"/>
    <w:rsid w:val="24293F8F"/>
    <w:rsid w:val="243674C1"/>
    <w:rsid w:val="24380CC8"/>
    <w:rsid w:val="243A63CC"/>
    <w:rsid w:val="243C084F"/>
    <w:rsid w:val="246C10ED"/>
    <w:rsid w:val="247E49C4"/>
    <w:rsid w:val="24904744"/>
    <w:rsid w:val="249F3FA9"/>
    <w:rsid w:val="24C745BD"/>
    <w:rsid w:val="24D83DB6"/>
    <w:rsid w:val="2505221B"/>
    <w:rsid w:val="25066BAB"/>
    <w:rsid w:val="25181323"/>
    <w:rsid w:val="251913F0"/>
    <w:rsid w:val="251F222D"/>
    <w:rsid w:val="25235572"/>
    <w:rsid w:val="252F6C1F"/>
    <w:rsid w:val="25333A00"/>
    <w:rsid w:val="25457290"/>
    <w:rsid w:val="25561143"/>
    <w:rsid w:val="25676DE9"/>
    <w:rsid w:val="256F64AA"/>
    <w:rsid w:val="257B7047"/>
    <w:rsid w:val="2584600A"/>
    <w:rsid w:val="25AC5561"/>
    <w:rsid w:val="25B43E15"/>
    <w:rsid w:val="25B44CD6"/>
    <w:rsid w:val="25D53C59"/>
    <w:rsid w:val="25DF401E"/>
    <w:rsid w:val="25DF4AD8"/>
    <w:rsid w:val="25E75A1D"/>
    <w:rsid w:val="25E76599"/>
    <w:rsid w:val="25F07BA6"/>
    <w:rsid w:val="25FA2770"/>
    <w:rsid w:val="25FC2044"/>
    <w:rsid w:val="26025181"/>
    <w:rsid w:val="260F2A28"/>
    <w:rsid w:val="26176E7E"/>
    <w:rsid w:val="26201D24"/>
    <w:rsid w:val="263107B3"/>
    <w:rsid w:val="26322643"/>
    <w:rsid w:val="263631A5"/>
    <w:rsid w:val="2637667A"/>
    <w:rsid w:val="26655E3B"/>
    <w:rsid w:val="268C3FB5"/>
    <w:rsid w:val="26912233"/>
    <w:rsid w:val="269F15EB"/>
    <w:rsid w:val="26A26863"/>
    <w:rsid w:val="26AA7CF2"/>
    <w:rsid w:val="26BE19EF"/>
    <w:rsid w:val="26C143D2"/>
    <w:rsid w:val="26D7485F"/>
    <w:rsid w:val="26E24FAE"/>
    <w:rsid w:val="26EF739B"/>
    <w:rsid w:val="26F326F6"/>
    <w:rsid w:val="26F7280B"/>
    <w:rsid w:val="26FD42C6"/>
    <w:rsid w:val="27167136"/>
    <w:rsid w:val="273048EF"/>
    <w:rsid w:val="274A5031"/>
    <w:rsid w:val="27545EB0"/>
    <w:rsid w:val="2769150F"/>
    <w:rsid w:val="27734588"/>
    <w:rsid w:val="27781B9E"/>
    <w:rsid w:val="277F4CDB"/>
    <w:rsid w:val="2780146B"/>
    <w:rsid w:val="2786250D"/>
    <w:rsid w:val="278B2E18"/>
    <w:rsid w:val="27914CC8"/>
    <w:rsid w:val="27985D9D"/>
    <w:rsid w:val="27A42993"/>
    <w:rsid w:val="27AA2337"/>
    <w:rsid w:val="27AC7A9A"/>
    <w:rsid w:val="27C923FA"/>
    <w:rsid w:val="27CF7A19"/>
    <w:rsid w:val="27D019DA"/>
    <w:rsid w:val="27D52687"/>
    <w:rsid w:val="27D6739B"/>
    <w:rsid w:val="27DA0163"/>
    <w:rsid w:val="27E45F94"/>
    <w:rsid w:val="27F373E3"/>
    <w:rsid w:val="28131C63"/>
    <w:rsid w:val="28150C75"/>
    <w:rsid w:val="282464EB"/>
    <w:rsid w:val="282F222C"/>
    <w:rsid w:val="28626D75"/>
    <w:rsid w:val="286F3F95"/>
    <w:rsid w:val="287B7F79"/>
    <w:rsid w:val="28821E43"/>
    <w:rsid w:val="28916BE7"/>
    <w:rsid w:val="28A4024E"/>
    <w:rsid w:val="28B135BA"/>
    <w:rsid w:val="28B9528A"/>
    <w:rsid w:val="28BC481A"/>
    <w:rsid w:val="28C01A4F"/>
    <w:rsid w:val="28C1259F"/>
    <w:rsid w:val="28D92B11"/>
    <w:rsid w:val="28F0032A"/>
    <w:rsid w:val="28F24E95"/>
    <w:rsid w:val="28F434A6"/>
    <w:rsid w:val="28F93763"/>
    <w:rsid w:val="28FC23EA"/>
    <w:rsid w:val="29053273"/>
    <w:rsid w:val="290C61FF"/>
    <w:rsid w:val="291458F7"/>
    <w:rsid w:val="291E06B3"/>
    <w:rsid w:val="291E2E7B"/>
    <w:rsid w:val="29290FE4"/>
    <w:rsid w:val="292F7188"/>
    <w:rsid w:val="29376315"/>
    <w:rsid w:val="29501633"/>
    <w:rsid w:val="29567BFF"/>
    <w:rsid w:val="295F5B00"/>
    <w:rsid w:val="2973086F"/>
    <w:rsid w:val="298249CF"/>
    <w:rsid w:val="29980BDA"/>
    <w:rsid w:val="29A0362E"/>
    <w:rsid w:val="29AA3515"/>
    <w:rsid w:val="29AC50CB"/>
    <w:rsid w:val="29C25353"/>
    <w:rsid w:val="29CD4DD1"/>
    <w:rsid w:val="29D62BAC"/>
    <w:rsid w:val="29D86924"/>
    <w:rsid w:val="29DA6B40"/>
    <w:rsid w:val="29ED6BDD"/>
    <w:rsid w:val="29EF3D8C"/>
    <w:rsid w:val="29FA073B"/>
    <w:rsid w:val="2A042187"/>
    <w:rsid w:val="2A133DC8"/>
    <w:rsid w:val="2A200E38"/>
    <w:rsid w:val="2A350021"/>
    <w:rsid w:val="2A431C41"/>
    <w:rsid w:val="2A445BEE"/>
    <w:rsid w:val="2A5341FD"/>
    <w:rsid w:val="2A5A1A2F"/>
    <w:rsid w:val="2A602202"/>
    <w:rsid w:val="2A6237E6"/>
    <w:rsid w:val="2A777F01"/>
    <w:rsid w:val="2A7FF3BA"/>
    <w:rsid w:val="2A85159C"/>
    <w:rsid w:val="2A97058D"/>
    <w:rsid w:val="2AA1533C"/>
    <w:rsid w:val="2AAA7F7A"/>
    <w:rsid w:val="2ABE1FBE"/>
    <w:rsid w:val="2AC670C5"/>
    <w:rsid w:val="2ACB0237"/>
    <w:rsid w:val="2B004385"/>
    <w:rsid w:val="2B033E75"/>
    <w:rsid w:val="2B0674C1"/>
    <w:rsid w:val="2B1716CE"/>
    <w:rsid w:val="2B353322"/>
    <w:rsid w:val="2B37239C"/>
    <w:rsid w:val="2B3D7387"/>
    <w:rsid w:val="2B3E6C5B"/>
    <w:rsid w:val="2B5400F2"/>
    <w:rsid w:val="2B6A63EC"/>
    <w:rsid w:val="2B7348A5"/>
    <w:rsid w:val="2B94791E"/>
    <w:rsid w:val="2BB9468C"/>
    <w:rsid w:val="2BC2163A"/>
    <w:rsid w:val="2BC51EC5"/>
    <w:rsid w:val="2BD55811"/>
    <w:rsid w:val="2BD73CFD"/>
    <w:rsid w:val="2C155109"/>
    <w:rsid w:val="2C2422F5"/>
    <w:rsid w:val="2C2474F0"/>
    <w:rsid w:val="2C2A71DF"/>
    <w:rsid w:val="2C3562B0"/>
    <w:rsid w:val="2C372028"/>
    <w:rsid w:val="2C41042A"/>
    <w:rsid w:val="2C642FEA"/>
    <w:rsid w:val="2C6B0F62"/>
    <w:rsid w:val="2C6F14EE"/>
    <w:rsid w:val="2C7C04FF"/>
    <w:rsid w:val="2C882884"/>
    <w:rsid w:val="2C892158"/>
    <w:rsid w:val="2C8F2CCE"/>
    <w:rsid w:val="2C9C632F"/>
    <w:rsid w:val="2CB71165"/>
    <w:rsid w:val="2CC278F0"/>
    <w:rsid w:val="2CC7543A"/>
    <w:rsid w:val="2CCF5161"/>
    <w:rsid w:val="2CDA6E57"/>
    <w:rsid w:val="2D0D0C0E"/>
    <w:rsid w:val="2D546C0A"/>
    <w:rsid w:val="2D5B7F98"/>
    <w:rsid w:val="2D614E83"/>
    <w:rsid w:val="2D6D7CCB"/>
    <w:rsid w:val="2D6E5CBA"/>
    <w:rsid w:val="2D8017AD"/>
    <w:rsid w:val="2D9708A4"/>
    <w:rsid w:val="2D973CBD"/>
    <w:rsid w:val="2DD077B2"/>
    <w:rsid w:val="2DF301D1"/>
    <w:rsid w:val="2DFC77E9"/>
    <w:rsid w:val="2E06340F"/>
    <w:rsid w:val="2E183793"/>
    <w:rsid w:val="2E1E4B22"/>
    <w:rsid w:val="2E220AB6"/>
    <w:rsid w:val="2E362C91"/>
    <w:rsid w:val="2E433D29"/>
    <w:rsid w:val="2E450CFC"/>
    <w:rsid w:val="2E615CCD"/>
    <w:rsid w:val="2E717347"/>
    <w:rsid w:val="2E9153AA"/>
    <w:rsid w:val="2EA35514"/>
    <w:rsid w:val="2EC01219"/>
    <w:rsid w:val="2EC34FDD"/>
    <w:rsid w:val="2EDFE9E8"/>
    <w:rsid w:val="2EF04710"/>
    <w:rsid w:val="2EF97A69"/>
    <w:rsid w:val="2F155F25"/>
    <w:rsid w:val="2F3445FD"/>
    <w:rsid w:val="2F37730B"/>
    <w:rsid w:val="2F4A02C4"/>
    <w:rsid w:val="2F4A1335"/>
    <w:rsid w:val="2F4D2835"/>
    <w:rsid w:val="2F7C41F6"/>
    <w:rsid w:val="2F827A5E"/>
    <w:rsid w:val="2F882261"/>
    <w:rsid w:val="2F8A6913"/>
    <w:rsid w:val="2F940B9B"/>
    <w:rsid w:val="2FAC3F69"/>
    <w:rsid w:val="2FAF6379"/>
    <w:rsid w:val="2FB83480"/>
    <w:rsid w:val="2FBE65BC"/>
    <w:rsid w:val="2FCE2B17"/>
    <w:rsid w:val="2FCF2577"/>
    <w:rsid w:val="2FE364D9"/>
    <w:rsid w:val="2FF11F73"/>
    <w:rsid w:val="2FF6EBD2"/>
    <w:rsid w:val="300761B5"/>
    <w:rsid w:val="30085A89"/>
    <w:rsid w:val="301E2414"/>
    <w:rsid w:val="302610FC"/>
    <w:rsid w:val="302E54F0"/>
    <w:rsid w:val="30403475"/>
    <w:rsid w:val="3043586B"/>
    <w:rsid w:val="30443CB5"/>
    <w:rsid w:val="304C5976"/>
    <w:rsid w:val="3058256D"/>
    <w:rsid w:val="305A38D0"/>
    <w:rsid w:val="306E648F"/>
    <w:rsid w:val="30766E97"/>
    <w:rsid w:val="308E41E1"/>
    <w:rsid w:val="309243C0"/>
    <w:rsid w:val="309511AA"/>
    <w:rsid w:val="309D2676"/>
    <w:rsid w:val="30A47610"/>
    <w:rsid w:val="30B33C47"/>
    <w:rsid w:val="30B71989"/>
    <w:rsid w:val="30C46588"/>
    <w:rsid w:val="30E33504"/>
    <w:rsid w:val="30F4201C"/>
    <w:rsid w:val="30F524B2"/>
    <w:rsid w:val="30FF4B22"/>
    <w:rsid w:val="31083126"/>
    <w:rsid w:val="310B6BF3"/>
    <w:rsid w:val="312B3FDA"/>
    <w:rsid w:val="3138414C"/>
    <w:rsid w:val="31501496"/>
    <w:rsid w:val="31532D34"/>
    <w:rsid w:val="315C727B"/>
    <w:rsid w:val="31666F0B"/>
    <w:rsid w:val="316B4522"/>
    <w:rsid w:val="316D0BA9"/>
    <w:rsid w:val="31A627B9"/>
    <w:rsid w:val="31A62D61"/>
    <w:rsid w:val="31BE28A4"/>
    <w:rsid w:val="31C630A7"/>
    <w:rsid w:val="31C72C9B"/>
    <w:rsid w:val="31C9211B"/>
    <w:rsid w:val="31CC628B"/>
    <w:rsid w:val="31EB31CE"/>
    <w:rsid w:val="31F60A7B"/>
    <w:rsid w:val="31FC517A"/>
    <w:rsid w:val="32024E86"/>
    <w:rsid w:val="32075FF9"/>
    <w:rsid w:val="321A7A9C"/>
    <w:rsid w:val="32236C2E"/>
    <w:rsid w:val="32496611"/>
    <w:rsid w:val="32607DFF"/>
    <w:rsid w:val="3281224F"/>
    <w:rsid w:val="328F502D"/>
    <w:rsid w:val="329B2BE5"/>
    <w:rsid w:val="329E6B50"/>
    <w:rsid w:val="329F256E"/>
    <w:rsid w:val="329F32EA"/>
    <w:rsid w:val="32BB5035"/>
    <w:rsid w:val="32C43EEA"/>
    <w:rsid w:val="32C65EB4"/>
    <w:rsid w:val="32EB0B99"/>
    <w:rsid w:val="32EE540A"/>
    <w:rsid w:val="33154745"/>
    <w:rsid w:val="331704BD"/>
    <w:rsid w:val="33237E07"/>
    <w:rsid w:val="33265EB1"/>
    <w:rsid w:val="3330332D"/>
    <w:rsid w:val="3332198B"/>
    <w:rsid w:val="333D443C"/>
    <w:rsid w:val="335A65FC"/>
    <w:rsid w:val="335A7075"/>
    <w:rsid w:val="335D7410"/>
    <w:rsid w:val="336D3EA4"/>
    <w:rsid w:val="33835B53"/>
    <w:rsid w:val="3384586B"/>
    <w:rsid w:val="33951EF8"/>
    <w:rsid w:val="339A10EE"/>
    <w:rsid w:val="339C1E4B"/>
    <w:rsid w:val="33A342A9"/>
    <w:rsid w:val="33AC6E70"/>
    <w:rsid w:val="33B66E47"/>
    <w:rsid w:val="33C64EB5"/>
    <w:rsid w:val="33D26E33"/>
    <w:rsid w:val="33D44600"/>
    <w:rsid w:val="33DB629F"/>
    <w:rsid w:val="33DC674E"/>
    <w:rsid w:val="33E74334"/>
    <w:rsid w:val="33EC6C5A"/>
    <w:rsid w:val="33EE1BA0"/>
    <w:rsid w:val="33F22CD8"/>
    <w:rsid w:val="33F9299F"/>
    <w:rsid w:val="33FE78CF"/>
    <w:rsid w:val="340622E0"/>
    <w:rsid w:val="34306838"/>
    <w:rsid w:val="34316ACF"/>
    <w:rsid w:val="343E641F"/>
    <w:rsid w:val="344468FB"/>
    <w:rsid w:val="344D4C35"/>
    <w:rsid w:val="34526541"/>
    <w:rsid w:val="3464195E"/>
    <w:rsid w:val="348854D0"/>
    <w:rsid w:val="34897199"/>
    <w:rsid w:val="34924BC9"/>
    <w:rsid w:val="349873DC"/>
    <w:rsid w:val="349879D5"/>
    <w:rsid w:val="34C3106B"/>
    <w:rsid w:val="34C74165"/>
    <w:rsid w:val="34E00D83"/>
    <w:rsid w:val="34E751DD"/>
    <w:rsid w:val="34E924AB"/>
    <w:rsid w:val="34EB5A9A"/>
    <w:rsid w:val="34F1756F"/>
    <w:rsid w:val="35066A3B"/>
    <w:rsid w:val="35270760"/>
    <w:rsid w:val="352F64C7"/>
    <w:rsid w:val="3532618A"/>
    <w:rsid w:val="35351167"/>
    <w:rsid w:val="353C7D87"/>
    <w:rsid w:val="355552CD"/>
    <w:rsid w:val="35615866"/>
    <w:rsid w:val="35703BE5"/>
    <w:rsid w:val="358A409C"/>
    <w:rsid w:val="35A57EBA"/>
    <w:rsid w:val="35BF6BEA"/>
    <w:rsid w:val="35C012AA"/>
    <w:rsid w:val="35C249F4"/>
    <w:rsid w:val="35D17237"/>
    <w:rsid w:val="35F30AB5"/>
    <w:rsid w:val="35FC3D7E"/>
    <w:rsid w:val="36145188"/>
    <w:rsid w:val="362058DB"/>
    <w:rsid w:val="36246BDF"/>
    <w:rsid w:val="36370634"/>
    <w:rsid w:val="363932F5"/>
    <w:rsid w:val="363D4FB8"/>
    <w:rsid w:val="363D6170"/>
    <w:rsid w:val="3642677E"/>
    <w:rsid w:val="36525CB0"/>
    <w:rsid w:val="3654343F"/>
    <w:rsid w:val="36570DD6"/>
    <w:rsid w:val="36590DED"/>
    <w:rsid w:val="367125DA"/>
    <w:rsid w:val="36760F87"/>
    <w:rsid w:val="36AF6603"/>
    <w:rsid w:val="36B87D9D"/>
    <w:rsid w:val="36C4095C"/>
    <w:rsid w:val="36C546D4"/>
    <w:rsid w:val="36D528EF"/>
    <w:rsid w:val="36F32FEF"/>
    <w:rsid w:val="37205FF6"/>
    <w:rsid w:val="372633C5"/>
    <w:rsid w:val="374E46CA"/>
    <w:rsid w:val="37602480"/>
    <w:rsid w:val="376676D7"/>
    <w:rsid w:val="3769770F"/>
    <w:rsid w:val="37865C12"/>
    <w:rsid w:val="379876F3"/>
    <w:rsid w:val="379A16BD"/>
    <w:rsid w:val="379F45EE"/>
    <w:rsid w:val="37CD1A92"/>
    <w:rsid w:val="37CE6DD4"/>
    <w:rsid w:val="37E06FFE"/>
    <w:rsid w:val="37E152F6"/>
    <w:rsid w:val="38233460"/>
    <w:rsid w:val="38287C31"/>
    <w:rsid w:val="3832770C"/>
    <w:rsid w:val="38387EA9"/>
    <w:rsid w:val="383907FA"/>
    <w:rsid w:val="383B1F8D"/>
    <w:rsid w:val="384855BD"/>
    <w:rsid w:val="386027CC"/>
    <w:rsid w:val="38624A88"/>
    <w:rsid w:val="38664899"/>
    <w:rsid w:val="386C12AB"/>
    <w:rsid w:val="38960E58"/>
    <w:rsid w:val="38A670D3"/>
    <w:rsid w:val="38AE714C"/>
    <w:rsid w:val="38B1729A"/>
    <w:rsid w:val="38B60778"/>
    <w:rsid w:val="38BC5693"/>
    <w:rsid w:val="38DC3EDC"/>
    <w:rsid w:val="38E5695C"/>
    <w:rsid w:val="38E92202"/>
    <w:rsid w:val="38F8669B"/>
    <w:rsid w:val="38FA68B7"/>
    <w:rsid w:val="38FB98C4"/>
    <w:rsid w:val="38FF20BA"/>
    <w:rsid w:val="39096AFA"/>
    <w:rsid w:val="391B4A7F"/>
    <w:rsid w:val="39202096"/>
    <w:rsid w:val="39394B01"/>
    <w:rsid w:val="39403675"/>
    <w:rsid w:val="39561E39"/>
    <w:rsid w:val="396E2E01"/>
    <w:rsid w:val="39777F08"/>
    <w:rsid w:val="39874323"/>
    <w:rsid w:val="398B661E"/>
    <w:rsid w:val="3999642E"/>
    <w:rsid w:val="399A1E48"/>
    <w:rsid w:val="399B57E9"/>
    <w:rsid w:val="39A10E34"/>
    <w:rsid w:val="39A64349"/>
    <w:rsid w:val="39B62C55"/>
    <w:rsid w:val="39C03AB0"/>
    <w:rsid w:val="39CD5D7A"/>
    <w:rsid w:val="39D62E7E"/>
    <w:rsid w:val="39F50E2C"/>
    <w:rsid w:val="39F63BBE"/>
    <w:rsid w:val="3A241712"/>
    <w:rsid w:val="3A335905"/>
    <w:rsid w:val="3A47599D"/>
    <w:rsid w:val="3A6477A9"/>
    <w:rsid w:val="3A7E52C6"/>
    <w:rsid w:val="3A8E4BF9"/>
    <w:rsid w:val="3A950543"/>
    <w:rsid w:val="3A9E7716"/>
    <w:rsid w:val="3AA23F47"/>
    <w:rsid w:val="3AAA1C17"/>
    <w:rsid w:val="3ABE2449"/>
    <w:rsid w:val="3ADA56C8"/>
    <w:rsid w:val="3AE35129"/>
    <w:rsid w:val="3AF37A62"/>
    <w:rsid w:val="3B00217F"/>
    <w:rsid w:val="3B082DE1"/>
    <w:rsid w:val="3B20012B"/>
    <w:rsid w:val="3B2A60E9"/>
    <w:rsid w:val="3B3360B0"/>
    <w:rsid w:val="3B4007CD"/>
    <w:rsid w:val="3B506A3A"/>
    <w:rsid w:val="3B561D9F"/>
    <w:rsid w:val="3B5B2B94"/>
    <w:rsid w:val="3B7566C9"/>
    <w:rsid w:val="3B7641EF"/>
    <w:rsid w:val="3B792ECF"/>
    <w:rsid w:val="3B8137F7"/>
    <w:rsid w:val="3B827166"/>
    <w:rsid w:val="3B855DC3"/>
    <w:rsid w:val="3B9052B1"/>
    <w:rsid w:val="3B974891"/>
    <w:rsid w:val="3B9D279F"/>
    <w:rsid w:val="3BB16FD5"/>
    <w:rsid w:val="3BD056AD"/>
    <w:rsid w:val="3BD21711"/>
    <w:rsid w:val="3BD54987"/>
    <w:rsid w:val="3BD80F0D"/>
    <w:rsid w:val="3BDA2944"/>
    <w:rsid w:val="3BDB85C8"/>
    <w:rsid w:val="3BE467D1"/>
    <w:rsid w:val="3BFE66BE"/>
    <w:rsid w:val="3BFF8581"/>
    <w:rsid w:val="3C1C38AF"/>
    <w:rsid w:val="3C1C4D96"/>
    <w:rsid w:val="3C215F09"/>
    <w:rsid w:val="3C256A70"/>
    <w:rsid w:val="3C31001D"/>
    <w:rsid w:val="3C3A6AB5"/>
    <w:rsid w:val="3C4165AB"/>
    <w:rsid w:val="3C4B11D8"/>
    <w:rsid w:val="3C5D6EFF"/>
    <w:rsid w:val="3C6605CE"/>
    <w:rsid w:val="3C676D43"/>
    <w:rsid w:val="3C6F5B2F"/>
    <w:rsid w:val="3C7249B6"/>
    <w:rsid w:val="3C881B0B"/>
    <w:rsid w:val="3C926E07"/>
    <w:rsid w:val="3CAD59EE"/>
    <w:rsid w:val="3CB26F41"/>
    <w:rsid w:val="3CC17DD4"/>
    <w:rsid w:val="3CDC4526"/>
    <w:rsid w:val="3CDD2778"/>
    <w:rsid w:val="3CDE204C"/>
    <w:rsid w:val="3CE277AA"/>
    <w:rsid w:val="3CE8111C"/>
    <w:rsid w:val="3CEA279F"/>
    <w:rsid w:val="3CEC177B"/>
    <w:rsid w:val="3CF46FDB"/>
    <w:rsid w:val="3D0A1E56"/>
    <w:rsid w:val="3D1B6DFC"/>
    <w:rsid w:val="3D2A2A77"/>
    <w:rsid w:val="3D42082D"/>
    <w:rsid w:val="3D5F3C0A"/>
    <w:rsid w:val="3D7164EB"/>
    <w:rsid w:val="3D7737D1"/>
    <w:rsid w:val="3D7F382F"/>
    <w:rsid w:val="3D8F31BA"/>
    <w:rsid w:val="3D9B4E64"/>
    <w:rsid w:val="3D9F76BF"/>
    <w:rsid w:val="3DA70690"/>
    <w:rsid w:val="3DC54FBA"/>
    <w:rsid w:val="3DFB09DB"/>
    <w:rsid w:val="3E0205C4"/>
    <w:rsid w:val="3E0C3BB5"/>
    <w:rsid w:val="3E12336F"/>
    <w:rsid w:val="3E154BCF"/>
    <w:rsid w:val="3E342BCE"/>
    <w:rsid w:val="3E3A37E1"/>
    <w:rsid w:val="3E6432A1"/>
    <w:rsid w:val="3E6842C3"/>
    <w:rsid w:val="3E6B3DB3"/>
    <w:rsid w:val="3E90273A"/>
    <w:rsid w:val="3E955132"/>
    <w:rsid w:val="3EA352FB"/>
    <w:rsid w:val="3EA846BF"/>
    <w:rsid w:val="3EAD6F0F"/>
    <w:rsid w:val="3EBE3EE3"/>
    <w:rsid w:val="3EC62D97"/>
    <w:rsid w:val="3ED16F9D"/>
    <w:rsid w:val="3ED835C0"/>
    <w:rsid w:val="3EE14075"/>
    <w:rsid w:val="3EE22D6A"/>
    <w:rsid w:val="3EE33949"/>
    <w:rsid w:val="3EF7239A"/>
    <w:rsid w:val="3EF97772"/>
    <w:rsid w:val="3EFF671D"/>
    <w:rsid w:val="3F033FEC"/>
    <w:rsid w:val="3F1A33BE"/>
    <w:rsid w:val="3F2859A4"/>
    <w:rsid w:val="3F2F48E2"/>
    <w:rsid w:val="3F3C7CCF"/>
    <w:rsid w:val="3F5D194E"/>
    <w:rsid w:val="3F6031EC"/>
    <w:rsid w:val="3F6251B6"/>
    <w:rsid w:val="3F7722E4"/>
    <w:rsid w:val="3F7B6278"/>
    <w:rsid w:val="3F8C5D8F"/>
    <w:rsid w:val="3FBBF901"/>
    <w:rsid w:val="3FC4377B"/>
    <w:rsid w:val="3FCC669D"/>
    <w:rsid w:val="3FD00372"/>
    <w:rsid w:val="3FD753EE"/>
    <w:rsid w:val="3FD80FD4"/>
    <w:rsid w:val="3FDD241B"/>
    <w:rsid w:val="3FDD483D"/>
    <w:rsid w:val="3FE07E89"/>
    <w:rsid w:val="3FE69656"/>
    <w:rsid w:val="3FEE56A1"/>
    <w:rsid w:val="3FF77793"/>
    <w:rsid w:val="3FFA12B7"/>
    <w:rsid w:val="3FFF2802"/>
    <w:rsid w:val="402F22B4"/>
    <w:rsid w:val="404405EC"/>
    <w:rsid w:val="405110D6"/>
    <w:rsid w:val="406D6805"/>
    <w:rsid w:val="407A652F"/>
    <w:rsid w:val="407D110C"/>
    <w:rsid w:val="40827192"/>
    <w:rsid w:val="40864ED4"/>
    <w:rsid w:val="408C3992"/>
    <w:rsid w:val="40915918"/>
    <w:rsid w:val="409E182D"/>
    <w:rsid w:val="40A05314"/>
    <w:rsid w:val="40B51B55"/>
    <w:rsid w:val="40B732E0"/>
    <w:rsid w:val="40E61FE6"/>
    <w:rsid w:val="40F71321"/>
    <w:rsid w:val="40F93BAB"/>
    <w:rsid w:val="41140064"/>
    <w:rsid w:val="411B561D"/>
    <w:rsid w:val="41200E85"/>
    <w:rsid w:val="412519DB"/>
    <w:rsid w:val="41326E0A"/>
    <w:rsid w:val="41361B95"/>
    <w:rsid w:val="41515EEF"/>
    <w:rsid w:val="41526B64"/>
    <w:rsid w:val="41546D80"/>
    <w:rsid w:val="418A09F4"/>
    <w:rsid w:val="418A27A2"/>
    <w:rsid w:val="418D4040"/>
    <w:rsid w:val="418E2292"/>
    <w:rsid w:val="41970AE1"/>
    <w:rsid w:val="419E624E"/>
    <w:rsid w:val="41A35612"/>
    <w:rsid w:val="41AE7C60"/>
    <w:rsid w:val="41B617E9"/>
    <w:rsid w:val="41C37A62"/>
    <w:rsid w:val="41CC6917"/>
    <w:rsid w:val="41CE08E1"/>
    <w:rsid w:val="41D35EF7"/>
    <w:rsid w:val="41DD0B24"/>
    <w:rsid w:val="41E87DEF"/>
    <w:rsid w:val="41F1637D"/>
    <w:rsid w:val="420A5691"/>
    <w:rsid w:val="421C7965"/>
    <w:rsid w:val="422619BB"/>
    <w:rsid w:val="422C150A"/>
    <w:rsid w:val="423773F7"/>
    <w:rsid w:val="423A7D24"/>
    <w:rsid w:val="42436F8A"/>
    <w:rsid w:val="425410BD"/>
    <w:rsid w:val="425F778B"/>
    <w:rsid w:val="426009C5"/>
    <w:rsid w:val="426221F8"/>
    <w:rsid w:val="426D63FE"/>
    <w:rsid w:val="42724A9B"/>
    <w:rsid w:val="428F6994"/>
    <w:rsid w:val="42957651"/>
    <w:rsid w:val="4297632A"/>
    <w:rsid w:val="429E4757"/>
    <w:rsid w:val="42A15FF5"/>
    <w:rsid w:val="42B21705"/>
    <w:rsid w:val="42B32E08"/>
    <w:rsid w:val="42D31F27"/>
    <w:rsid w:val="42D55690"/>
    <w:rsid w:val="42DE3E28"/>
    <w:rsid w:val="42DF22D8"/>
    <w:rsid w:val="42E3216A"/>
    <w:rsid w:val="431C567C"/>
    <w:rsid w:val="43266677"/>
    <w:rsid w:val="432D2509"/>
    <w:rsid w:val="434075BC"/>
    <w:rsid w:val="43421586"/>
    <w:rsid w:val="434370AD"/>
    <w:rsid w:val="43470AA6"/>
    <w:rsid w:val="436E5EB8"/>
    <w:rsid w:val="43900783"/>
    <w:rsid w:val="43947392"/>
    <w:rsid w:val="43986208"/>
    <w:rsid w:val="439971FA"/>
    <w:rsid w:val="43A833B4"/>
    <w:rsid w:val="43AC4C52"/>
    <w:rsid w:val="43B42418"/>
    <w:rsid w:val="43BD6E5F"/>
    <w:rsid w:val="43D16909"/>
    <w:rsid w:val="43D42766"/>
    <w:rsid w:val="43F213F1"/>
    <w:rsid w:val="43F41FD8"/>
    <w:rsid w:val="43FD1DA6"/>
    <w:rsid w:val="44006D4C"/>
    <w:rsid w:val="440209A9"/>
    <w:rsid w:val="441B3B85"/>
    <w:rsid w:val="443C7F5E"/>
    <w:rsid w:val="444B19C8"/>
    <w:rsid w:val="446C30C9"/>
    <w:rsid w:val="44774926"/>
    <w:rsid w:val="448B0BED"/>
    <w:rsid w:val="449B01B0"/>
    <w:rsid w:val="44D65FFB"/>
    <w:rsid w:val="44DE708D"/>
    <w:rsid w:val="44F06447"/>
    <w:rsid w:val="44F833E9"/>
    <w:rsid w:val="44FF34A7"/>
    <w:rsid w:val="45061A4C"/>
    <w:rsid w:val="45120AE5"/>
    <w:rsid w:val="451C7579"/>
    <w:rsid w:val="45237196"/>
    <w:rsid w:val="45244CBC"/>
    <w:rsid w:val="452541DF"/>
    <w:rsid w:val="452B268D"/>
    <w:rsid w:val="4535500F"/>
    <w:rsid w:val="457271D8"/>
    <w:rsid w:val="457F1EF2"/>
    <w:rsid w:val="45857508"/>
    <w:rsid w:val="458D79D2"/>
    <w:rsid w:val="459E4D98"/>
    <w:rsid w:val="45DE28D0"/>
    <w:rsid w:val="45F66658"/>
    <w:rsid w:val="46115240"/>
    <w:rsid w:val="461A0599"/>
    <w:rsid w:val="461B60BF"/>
    <w:rsid w:val="462C3E28"/>
    <w:rsid w:val="46362EF9"/>
    <w:rsid w:val="4649255C"/>
    <w:rsid w:val="467265C4"/>
    <w:rsid w:val="46765CB1"/>
    <w:rsid w:val="467965F9"/>
    <w:rsid w:val="467E27F8"/>
    <w:rsid w:val="46841EBD"/>
    <w:rsid w:val="46843C64"/>
    <w:rsid w:val="46974134"/>
    <w:rsid w:val="469C746C"/>
    <w:rsid w:val="46A92635"/>
    <w:rsid w:val="46B10E38"/>
    <w:rsid w:val="46B651A1"/>
    <w:rsid w:val="46BC33FE"/>
    <w:rsid w:val="46C03289"/>
    <w:rsid w:val="46C978C9"/>
    <w:rsid w:val="46F245F5"/>
    <w:rsid w:val="470114A9"/>
    <w:rsid w:val="470703F1"/>
    <w:rsid w:val="47113E40"/>
    <w:rsid w:val="47120309"/>
    <w:rsid w:val="472015A9"/>
    <w:rsid w:val="47234906"/>
    <w:rsid w:val="47354BD4"/>
    <w:rsid w:val="474C3E81"/>
    <w:rsid w:val="474E4E09"/>
    <w:rsid w:val="47867568"/>
    <w:rsid w:val="479A733C"/>
    <w:rsid w:val="479D7445"/>
    <w:rsid w:val="47A00374"/>
    <w:rsid w:val="47CB7C64"/>
    <w:rsid w:val="47E57A30"/>
    <w:rsid w:val="47E66258"/>
    <w:rsid w:val="480014B3"/>
    <w:rsid w:val="48083249"/>
    <w:rsid w:val="480E7A25"/>
    <w:rsid w:val="48180B08"/>
    <w:rsid w:val="48483421"/>
    <w:rsid w:val="484E4529"/>
    <w:rsid w:val="485D6071"/>
    <w:rsid w:val="48614BFD"/>
    <w:rsid w:val="487B4BF3"/>
    <w:rsid w:val="48B1532F"/>
    <w:rsid w:val="48C26B67"/>
    <w:rsid w:val="48C81442"/>
    <w:rsid w:val="48E23D57"/>
    <w:rsid w:val="48E350EB"/>
    <w:rsid w:val="48E85B1A"/>
    <w:rsid w:val="48F051D0"/>
    <w:rsid w:val="490168B9"/>
    <w:rsid w:val="49080B7C"/>
    <w:rsid w:val="49296384"/>
    <w:rsid w:val="49465201"/>
    <w:rsid w:val="49523359"/>
    <w:rsid w:val="496E7D41"/>
    <w:rsid w:val="4989333F"/>
    <w:rsid w:val="498A4BF8"/>
    <w:rsid w:val="49964EEA"/>
    <w:rsid w:val="49997A26"/>
    <w:rsid w:val="49A62143"/>
    <w:rsid w:val="49C36851"/>
    <w:rsid w:val="49D36A87"/>
    <w:rsid w:val="49DA72EC"/>
    <w:rsid w:val="49DE06CA"/>
    <w:rsid w:val="49EF3AEA"/>
    <w:rsid w:val="49EF5898"/>
    <w:rsid w:val="4A034605"/>
    <w:rsid w:val="4A050411"/>
    <w:rsid w:val="4A182C5B"/>
    <w:rsid w:val="4A1B40A3"/>
    <w:rsid w:val="4A301681"/>
    <w:rsid w:val="4A314103"/>
    <w:rsid w:val="4A396B13"/>
    <w:rsid w:val="4A496D91"/>
    <w:rsid w:val="4A5E4C5F"/>
    <w:rsid w:val="4A6022F2"/>
    <w:rsid w:val="4A6F3D98"/>
    <w:rsid w:val="4A8D2E6D"/>
    <w:rsid w:val="4A8F7FB7"/>
    <w:rsid w:val="4A9560CC"/>
    <w:rsid w:val="4AA04DE4"/>
    <w:rsid w:val="4AB8212E"/>
    <w:rsid w:val="4ABD14F2"/>
    <w:rsid w:val="4AC408E4"/>
    <w:rsid w:val="4ACC3E2B"/>
    <w:rsid w:val="4ADD3943"/>
    <w:rsid w:val="4AE5022F"/>
    <w:rsid w:val="4AE7656F"/>
    <w:rsid w:val="4AF313B8"/>
    <w:rsid w:val="4AFE15E2"/>
    <w:rsid w:val="4B0C4228"/>
    <w:rsid w:val="4B1B2C46"/>
    <w:rsid w:val="4B2279C7"/>
    <w:rsid w:val="4B272E10"/>
    <w:rsid w:val="4B417485"/>
    <w:rsid w:val="4B470B88"/>
    <w:rsid w:val="4B4E4840"/>
    <w:rsid w:val="4B582E12"/>
    <w:rsid w:val="4B713354"/>
    <w:rsid w:val="4B74348F"/>
    <w:rsid w:val="4B7778F3"/>
    <w:rsid w:val="4B79502C"/>
    <w:rsid w:val="4B7D6ED4"/>
    <w:rsid w:val="4BA60AB1"/>
    <w:rsid w:val="4BA95231"/>
    <w:rsid w:val="4BAF1783"/>
    <w:rsid w:val="4BB078CC"/>
    <w:rsid w:val="4BB2670B"/>
    <w:rsid w:val="4BB365B5"/>
    <w:rsid w:val="4BC114B6"/>
    <w:rsid w:val="4BCB7C3F"/>
    <w:rsid w:val="4BE34546"/>
    <w:rsid w:val="4BE76F02"/>
    <w:rsid w:val="4BEB02E1"/>
    <w:rsid w:val="4BED22AB"/>
    <w:rsid w:val="4BF37AF5"/>
    <w:rsid w:val="4BF60521"/>
    <w:rsid w:val="4BF74ED8"/>
    <w:rsid w:val="4BF94C2F"/>
    <w:rsid w:val="4C0C0983"/>
    <w:rsid w:val="4C0E7ECE"/>
    <w:rsid w:val="4C121D12"/>
    <w:rsid w:val="4C2832E3"/>
    <w:rsid w:val="4C40062D"/>
    <w:rsid w:val="4C545E87"/>
    <w:rsid w:val="4C5A0B23"/>
    <w:rsid w:val="4C6A56AA"/>
    <w:rsid w:val="4C906769"/>
    <w:rsid w:val="4C942D3E"/>
    <w:rsid w:val="4CA666C3"/>
    <w:rsid w:val="4CA80573"/>
    <w:rsid w:val="4CA961D2"/>
    <w:rsid w:val="4CB61515"/>
    <w:rsid w:val="4CBD7ED0"/>
    <w:rsid w:val="4CCA439B"/>
    <w:rsid w:val="4CD929E2"/>
    <w:rsid w:val="4CE40E7D"/>
    <w:rsid w:val="4CE74F4D"/>
    <w:rsid w:val="4CF07945"/>
    <w:rsid w:val="4D1473C4"/>
    <w:rsid w:val="4D1A2C2C"/>
    <w:rsid w:val="4D2E2B7B"/>
    <w:rsid w:val="4D346504"/>
    <w:rsid w:val="4D3B0DF4"/>
    <w:rsid w:val="4D61085B"/>
    <w:rsid w:val="4D882DB8"/>
    <w:rsid w:val="4DB35167"/>
    <w:rsid w:val="4DDF102B"/>
    <w:rsid w:val="4DE33966"/>
    <w:rsid w:val="4DE96C85"/>
    <w:rsid w:val="4DEB6377"/>
    <w:rsid w:val="4DEFB092"/>
    <w:rsid w:val="4E077171"/>
    <w:rsid w:val="4E1844A1"/>
    <w:rsid w:val="4E376C89"/>
    <w:rsid w:val="4E4179C0"/>
    <w:rsid w:val="4E4468A4"/>
    <w:rsid w:val="4E5B75AC"/>
    <w:rsid w:val="4E5E1120"/>
    <w:rsid w:val="4E5E5A81"/>
    <w:rsid w:val="4E6B6CEB"/>
    <w:rsid w:val="4E847155"/>
    <w:rsid w:val="4E9208C3"/>
    <w:rsid w:val="4EA62829"/>
    <w:rsid w:val="4ED35F6C"/>
    <w:rsid w:val="4ED46B7B"/>
    <w:rsid w:val="4ED60DD5"/>
    <w:rsid w:val="4EDE6657"/>
    <w:rsid w:val="4EE22FDD"/>
    <w:rsid w:val="4EFB6C2C"/>
    <w:rsid w:val="4EFE20DA"/>
    <w:rsid w:val="4F082F58"/>
    <w:rsid w:val="4F0A0AD1"/>
    <w:rsid w:val="4F0C76FA"/>
    <w:rsid w:val="4F165675"/>
    <w:rsid w:val="4F212F50"/>
    <w:rsid w:val="4F226DC8"/>
    <w:rsid w:val="4F234ACC"/>
    <w:rsid w:val="4F2A7373"/>
    <w:rsid w:val="4F3B36A9"/>
    <w:rsid w:val="4F3E697A"/>
    <w:rsid w:val="4F493C9D"/>
    <w:rsid w:val="4F5C1026"/>
    <w:rsid w:val="4F5E53C7"/>
    <w:rsid w:val="4F6351A5"/>
    <w:rsid w:val="4F7702AB"/>
    <w:rsid w:val="4F7EFCB4"/>
    <w:rsid w:val="4F7F44DF"/>
    <w:rsid w:val="4F854876"/>
    <w:rsid w:val="4F912F4E"/>
    <w:rsid w:val="4FA71C3F"/>
    <w:rsid w:val="4FAE5BAC"/>
    <w:rsid w:val="4FB01626"/>
    <w:rsid w:val="4FB11910"/>
    <w:rsid w:val="4FB84E80"/>
    <w:rsid w:val="4FB854F8"/>
    <w:rsid w:val="4FBA3692"/>
    <w:rsid w:val="4FDC1ACA"/>
    <w:rsid w:val="4FE985C7"/>
    <w:rsid w:val="500C08AC"/>
    <w:rsid w:val="500E56FC"/>
    <w:rsid w:val="501C6CBB"/>
    <w:rsid w:val="501F0559"/>
    <w:rsid w:val="502703FE"/>
    <w:rsid w:val="502768E9"/>
    <w:rsid w:val="505C668F"/>
    <w:rsid w:val="50601F36"/>
    <w:rsid w:val="507329BF"/>
    <w:rsid w:val="507E7976"/>
    <w:rsid w:val="50811214"/>
    <w:rsid w:val="50964CC0"/>
    <w:rsid w:val="50966A6E"/>
    <w:rsid w:val="50AB003F"/>
    <w:rsid w:val="50B36711"/>
    <w:rsid w:val="50CF4561"/>
    <w:rsid w:val="50D25854"/>
    <w:rsid w:val="50D852D8"/>
    <w:rsid w:val="50FE0AB7"/>
    <w:rsid w:val="51042AC7"/>
    <w:rsid w:val="51085492"/>
    <w:rsid w:val="512978E2"/>
    <w:rsid w:val="51346847"/>
    <w:rsid w:val="51475669"/>
    <w:rsid w:val="515D758B"/>
    <w:rsid w:val="5161537B"/>
    <w:rsid w:val="51655FC2"/>
    <w:rsid w:val="516A5418"/>
    <w:rsid w:val="516C5CF7"/>
    <w:rsid w:val="517174DB"/>
    <w:rsid w:val="517B1124"/>
    <w:rsid w:val="51866C59"/>
    <w:rsid w:val="51867B3E"/>
    <w:rsid w:val="51987112"/>
    <w:rsid w:val="519D3E2C"/>
    <w:rsid w:val="519D660F"/>
    <w:rsid w:val="51A56BA3"/>
    <w:rsid w:val="51A575B0"/>
    <w:rsid w:val="51C25FE7"/>
    <w:rsid w:val="51C969CF"/>
    <w:rsid w:val="51D33CF1"/>
    <w:rsid w:val="51FF4AE6"/>
    <w:rsid w:val="51FF6894"/>
    <w:rsid w:val="520677CB"/>
    <w:rsid w:val="520774F7"/>
    <w:rsid w:val="520C5A74"/>
    <w:rsid w:val="52555BF0"/>
    <w:rsid w:val="525564B4"/>
    <w:rsid w:val="525B75EF"/>
    <w:rsid w:val="526341EB"/>
    <w:rsid w:val="52666914"/>
    <w:rsid w:val="5267529D"/>
    <w:rsid w:val="5272350A"/>
    <w:rsid w:val="52732285"/>
    <w:rsid w:val="52741F4D"/>
    <w:rsid w:val="52902DFA"/>
    <w:rsid w:val="529B480F"/>
    <w:rsid w:val="52CC1C82"/>
    <w:rsid w:val="52DB2E5E"/>
    <w:rsid w:val="52DC2732"/>
    <w:rsid w:val="530E3233"/>
    <w:rsid w:val="53135B7C"/>
    <w:rsid w:val="5314011E"/>
    <w:rsid w:val="53146A66"/>
    <w:rsid w:val="531C0F71"/>
    <w:rsid w:val="53360094"/>
    <w:rsid w:val="5339302E"/>
    <w:rsid w:val="53490BB0"/>
    <w:rsid w:val="534F55FA"/>
    <w:rsid w:val="535521B1"/>
    <w:rsid w:val="536B200F"/>
    <w:rsid w:val="536B319B"/>
    <w:rsid w:val="536E11E4"/>
    <w:rsid w:val="53755060"/>
    <w:rsid w:val="537D2167"/>
    <w:rsid w:val="53A6051D"/>
    <w:rsid w:val="53AF2171"/>
    <w:rsid w:val="53B37937"/>
    <w:rsid w:val="53B60FA0"/>
    <w:rsid w:val="53B611D5"/>
    <w:rsid w:val="53B92BD0"/>
    <w:rsid w:val="53C27B7A"/>
    <w:rsid w:val="53C300EE"/>
    <w:rsid w:val="53D0016A"/>
    <w:rsid w:val="53E61F03"/>
    <w:rsid w:val="53E81EA7"/>
    <w:rsid w:val="53ED0769"/>
    <w:rsid w:val="53FB0263"/>
    <w:rsid w:val="540320E7"/>
    <w:rsid w:val="5406215C"/>
    <w:rsid w:val="5429289E"/>
    <w:rsid w:val="542E6C2A"/>
    <w:rsid w:val="54413194"/>
    <w:rsid w:val="546315F6"/>
    <w:rsid w:val="54640C31"/>
    <w:rsid w:val="547215A0"/>
    <w:rsid w:val="547C0308"/>
    <w:rsid w:val="549C03CB"/>
    <w:rsid w:val="54A71B6F"/>
    <w:rsid w:val="54BE47E5"/>
    <w:rsid w:val="54BE5581"/>
    <w:rsid w:val="54C3413E"/>
    <w:rsid w:val="54C343AC"/>
    <w:rsid w:val="54E202BD"/>
    <w:rsid w:val="54E3424B"/>
    <w:rsid w:val="54E67898"/>
    <w:rsid w:val="54FA66E5"/>
    <w:rsid w:val="5507618C"/>
    <w:rsid w:val="550C37A2"/>
    <w:rsid w:val="55120B89"/>
    <w:rsid w:val="55124B31"/>
    <w:rsid w:val="55195ED1"/>
    <w:rsid w:val="55341652"/>
    <w:rsid w:val="55356592"/>
    <w:rsid w:val="5536081F"/>
    <w:rsid w:val="55363B79"/>
    <w:rsid w:val="553757FC"/>
    <w:rsid w:val="553920BD"/>
    <w:rsid w:val="553B086B"/>
    <w:rsid w:val="55523CC0"/>
    <w:rsid w:val="55561A9C"/>
    <w:rsid w:val="55683C90"/>
    <w:rsid w:val="55690BF5"/>
    <w:rsid w:val="556E259A"/>
    <w:rsid w:val="55807CEC"/>
    <w:rsid w:val="5587547F"/>
    <w:rsid w:val="55886BA1"/>
    <w:rsid w:val="55893CEF"/>
    <w:rsid w:val="55A0038E"/>
    <w:rsid w:val="55A531BA"/>
    <w:rsid w:val="55AD7ACE"/>
    <w:rsid w:val="55B00149"/>
    <w:rsid w:val="55CC3275"/>
    <w:rsid w:val="55D37310"/>
    <w:rsid w:val="55E4027B"/>
    <w:rsid w:val="55F12998"/>
    <w:rsid w:val="55F85AD5"/>
    <w:rsid w:val="56102E1E"/>
    <w:rsid w:val="56113BC9"/>
    <w:rsid w:val="561F12B3"/>
    <w:rsid w:val="562C774E"/>
    <w:rsid w:val="56323B98"/>
    <w:rsid w:val="563A60ED"/>
    <w:rsid w:val="563F6BD5"/>
    <w:rsid w:val="56466E93"/>
    <w:rsid w:val="56567054"/>
    <w:rsid w:val="565E627F"/>
    <w:rsid w:val="56621F53"/>
    <w:rsid w:val="56625644"/>
    <w:rsid w:val="566500E3"/>
    <w:rsid w:val="566D4FAA"/>
    <w:rsid w:val="566D64C3"/>
    <w:rsid w:val="5677F382"/>
    <w:rsid w:val="568052DE"/>
    <w:rsid w:val="568245C0"/>
    <w:rsid w:val="56867584"/>
    <w:rsid w:val="56AC60A3"/>
    <w:rsid w:val="56AD68BF"/>
    <w:rsid w:val="56AF6ADB"/>
    <w:rsid w:val="56B2576C"/>
    <w:rsid w:val="56B9194B"/>
    <w:rsid w:val="56C33BDD"/>
    <w:rsid w:val="56C553EB"/>
    <w:rsid w:val="56CD6678"/>
    <w:rsid w:val="56DA167E"/>
    <w:rsid w:val="56E40324"/>
    <w:rsid w:val="56EFBCE7"/>
    <w:rsid w:val="56F269C8"/>
    <w:rsid w:val="56F79C35"/>
    <w:rsid w:val="56FF5614"/>
    <w:rsid w:val="571006E4"/>
    <w:rsid w:val="57191362"/>
    <w:rsid w:val="57785D2A"/>
    <w:rsid w:val="579F5351"/>
    <w:rsid w:val="57AA1051"/>
    <w:rsid w:val="57D32355"/>
    <w:rsid w:val="57E502DB"/>
    <w:rsid w:val="581B1F4E"/>
    <w:rsid w:val="581F559B"/>
    <w:rsid w:val="583D01CF"/>
    <w:rsid w:val="5844151B"/>
    <w:rsid w:val="586475A6"/>
    <w:rsid w:val="5866141B"/>
    <w:rsid w:val="58810003"/>
    <w:rsid w:val="588A3598"/>
    <w:rsid w:val="58C61EBA"/>
    <w:rsid w:val="58C63C68"/>
    <w:rsid w:val="58D50A2B"/>
    <w:rsid w:val="58DE5456"/>
    <w:rsid w:val="58E56A80"/>
    <w:rsid w:val="58EB36CF"/>
    <w:rsid w:val="58EC0D07"/>
    <w:rsid w:val="58F702C5"/>
    <w:rsid w:val="58FA1B64"/>
    <w:rsid w:val="59034EBC"/>
    <w:rsid w:val="591A2160"/>
    <w:rsid w:val="5928031A"/>
    <w:rsid w:val="59367040"/>
    <w:rsid w:val="593F501F"/>
    <w:rsid w:val="59401C6C"/>
    <w:rsid w:val="59487733"/>
    <w:rsid w:val="594B23BF"/>
    <w:rsid w:val="59524CDB"/>
    <w:rsid w:val="596949DD"/>
    <w:rsid w:val="59707498"/>
    <w:rsid w:val="597F1167"/>
    <w:rsid w:val="59AC3549"/>
    <w:rsid w:val="59BD3A9E"/>
    <w:rsid w:val="59C363FA"/>
    <w:rsid w:val="59C74AA1"/>
    <w:rsid w:val="59D66164"/>
    <w:rsid w:val="59E25784"/>
    <w:rsid w:val="59E60318"/>
    <w:rsid w:val="59F111B9"/>
    <w:rsid w:val="5A0013FC"/>
    <w:rsid w:val="5A096502"/>
    <w:rsid w:val="5A407A4A"/>
    <w:rsid w:val="5A4E09B0"/>
    <w:rsid w:val="5A56B2A4"/>
    <w:rsid w:val="5A6A4308"/>
    <w:rsid w:val="5A736072"/>
    <w:rsid w:val="5A7B0A82"/>
    <w:rsid w:val="5A876EE7"/>
    <w:rsid w:val="5A8E633F"/>
    <w:rsid w:val="5A975B2D"/>
    <w:rsid w:val="5AA13369"/>
    <w:rsid w:val="5AA44386"/>
    <w:rsid w:val="5AA94A6E"/>
    <w:rsid w:val="5AB05047"/>
    <w:rsid w:val="5AB10D5E"/>
    <w:rsid w:val="5ABA15AB"/>
    <w:rsid w:val="5AE26D53"/>
    <w:rsid w:val="5AE34FA5"/>
    <w:rsid w:val="5AE723C6"/>
    <w:rsid w:val="5AEA041D"/>
    <w:rsid w:val="5AED3131"/>
    <w:rsid w:val="5AF01470"/>
    <w:rsid w:val="5B116199"/>
    <w:rsid w:val="5B176FD5"/>
    <w:rsid w:val="5B1834F7"/>
    <w:rsid w:val="5B264E92"/>
    <w:rsid w:val="5B2F7039"/>
    <w:rsid w:val="5B3F76D1"/>
    <w:rsid w:val="5B500161"/>
    <w:rsid w:val="5B505E97"/>
    <w:rsid w:val="5B985858"/>
    <w:rsid w:val="5BD743DE"/>
    <w:rsid w:val="5BE10428"/>
    <w:rsid w:val="5BF07EDE"/>
    <w:rsid w:val="5BF24C58"/>
    <w:rsid w:val="5BF60D08"/>
    <w:rsid w:val="5C0C052C"/>
    <w:rsid w:val="5C237623"/>
    <w:rsid w:val="5C2631A6"/>
    <w:rsid w:val="5C2740AC"/>
    <w:rsid w:val="5C276FB7"/>
    <w:rsid w:val="5C4D4754"/>
    <w:rsid w:val="5C4E644E"/>
    <w:rsid w:val="5C5C78A5"/>
    <w:rsid w:val="5C614DF7"/>
    <w:rsid w:val="5C6F429B"/>
    <w:rsid w:val="5C700ABB"/>
    <w:rsid w:val="5C7D6D34"/>
    <w:rsid w:val="5C966047"/>
    <w:rsid w:val="5C9C6B0B"/>
    <w:rsid w:val="5C9D3DA7"/>
    <w:rsid w:val="5CA249EC"/>
    <w:rsid w:val="5CA644DC"/>
    <w:rsid w:val="5CA7449A"/>
    <w:rsid w:val="5CB31B05"/>
    <w:rsid w:val="5CB9526D"/>
    <w:rsid w:val="5CBD35D4"/>
    <w:rsid w:val="5CC44962"/>
    <w:rsid w:val="5CC81D5B"/>
    <w:rsid w:val="5CCE6402"/>
    <w:rsid w:val="5CCE7ECF"/>
    <w:rsid w:val="5CDC6150"/>
    <w:rsid w:val="5CEC486A"/>
    <w:rsid w:val="5D071D68"/>
    <w:rsid w:val="5D131446"/>
    <w:rsid w:val="5D17158A"/>
    <w:rsid w:val="5D192F00"/>
    <w:rsid w:val="5D1A517B"/>
    <w:rsid w:val="5D1D4002"/>
    <w:rsid w:val="5D4476A0"/>
    <w:rsid w:val="5D605600"/>
    <w:rsid w:val="5D635829"/>
    <w:rsid w:val="5D6D3B91"/>
    <w:rsid w:val="5D801B4F"/>
    <w:rsid w:val="5D910781"/>
    <w:rsid w:val="5DA9371D"/>
    <w:rsid w:val="5DB03139"/>
    <w:rsid w:val="5DB94316"/>
    <w:rsid w:val="5DBB5D65"/>
    <w:rsid w:val="5DBC1009"/>
    <w:rsid w:val="5DD230AF"/>
    <w:rsid w:val="5DE13D96"/>
    <w:rsid w:val="5DE80B25"/>
    <w:rsid w:val="5DEA6951"/>
    <w:rsid w:val="5DFC408A"/>
    <w:rsid w:val="5E162F9C"/>
    <w:rsid w:val="5E316028"/>
    <w:rsid w:val="5E343D6A"/>
    <w:rsid w:val="5E436EA1"/>
    <w:rsid w:val="5E473A9D"/>
    <w:rsid w:val="5E5426EE"/>
    <w:rsid w:val="5E6737F7"/>
    <w:rsid w:val="5E6B6806"/>
    <w:rsid w:val="5E6E5F24"/>
    <w:rsid w:val="5E9C4600"/>
    <w:rsid w:val="5EA06D09"/>
    <w:rsid w:val="5EAA5DDA"/>
    <w:rsid w:val="5EAB4A36"/>
    <w:rsid w:val="5EAC3900"/>
    <w:rsid w:val="5EAF0CFE"/>
    <w:rsid w:val="5EB21B8E"/>
    <w:rsid w:val="5EB729BA"/>
    <w:rsid w:val="5EEC0726"/>
    <w:rsid w:val="5EF07C91"/>
    <w:rsid w:val="5EFB2E92"/>
    <w:rsid w:val="5F0C30F5"/>
    <w:rsid w:val="5F105C3D"/>
    <w:rsid w:val="5F132FF0"/>
    <w:rsid w:val="5F1A6ABC"/>
    <w:rsid w:val="5F1E0A25"/>
    <w:rsid w:val="5F272D1C"/>
    <w:rsid w:val="5F2A371A"/>
    <w:rsid w:val="5F335DCF"/>
    <w:rsid w:val="5F337B7D"/>
    <w:rsid w:val="5F544336"/>
    <w:rsid w:val="5F5572F2"/>
    <w:rsid w:val="5F6103B4"/>
    <w:rsid w:val="5F6661A5"/>
    <w:rsid w:val="5F6CADD2"/>
    <w:rsid w:val="5F710660"/>
    <w:rsid w:val="5F820FCF"/>
    <w:rsid w:val="5FBD0C74"/>
    <w:rsid w:val="5FCA3AC6"/>
    <w:rsid w:val="5FD01870"/>
    <w:rsid w:val="5FE77D07"/>
    <w:rsid w:val="5FEFCB6A"/>
    <w:rsid w:val="5FF90DC7"/>
    <w:rsid w:val="60043CF7"/>
    <w:rsid w:val="60152F95"/>
    <w:rsid w:val="60204437"/>
    <w:rsid w:val="60211516"/>
    <w:rsid w:val="602D143E"/>
    <w:rsid w:val="60301004"/>
    <w:rsid w:val="60382473"/>
    <w:rsid w:val="603B26DF"/>
    <w:rsid w:val="603E67DA"/>
    <w:rsid w:val="604403A8"/>
    <w:rsid w:val="605E3790"/>
    <w:rsid w:val="606E0145"/>
    <w:rsid w:val="606F1089"/>
    <w:rsid w:val="607C3983"/>
    <w:rsid w:val="607E751E"/>
    <w:rsid w:val="60820DBC"/>
    <w:rsid w:val="60961758"/>
    <w:rsid w:val="609B1E7E"/>
    <w:rsid w:val="60CA5C5B"/>
    <w:rsid w:val="60E45417"/>
    <w:rsid w:val="60F87F99"/>
    <w:rsid w:val="61161505"/>
    <w:rsid w:val="613227E3"/>
    <w:rsid w:val="61333E65"/>
    <w:rsid w:val="613876CD"/>
    <w:rsid w:val="613E7BD6"/>
    <w:rsid w:val="614C5210"/>
    <w:rsid w:val="616404C2"/>
    <w:rsid w:val="616A6E87"/>
    <w:rsid w:val="618F2C11"/>
    <w:rsid w:val="61936344"/>
    <w:rsid w:val="619E1C26"/>
    <w:rsid w:val="61C97E28"/>
    <w:rsid w:val="61D3163F"/>
    <w:rsid w:val="61D94A0C"/>
    <w:rsid w:val="61E45BE1"/>
    <w:rsid w:val="61EF2482"/>
    <w:rsid w:val="61F25ACE"/>
    <w:rsid w:val="61FC06FB"/>
    <w:rsid w:val="6201191B"/>
    <w:rsid w:val="62052C58"/>
    <w:rsid w:val="620E7C5F"/>
    <w:rsid w:val="62136500"/>
    <w:rsid w:val="62143C96"/>
    <w:rsid w:val="62161BC7"/>
    <w:rsid w:val="623B56C7"/>
    <w:rsid w:val="62403290"/>
    <w:rsid w:val="624F2F20"/>
    <w:rsid w:val="627209BD"/>
    <w:rsid w:val="627A1670"/>
    <w:rsid w:val="62944DD7"/>
    <w:rsid w:val="62966DA1"/>
    <w:rsid w:val="62991FE0"/>
    <w:rsid w:val="62AF39BF"/>
    <w:rsid w:val="62BD4C1D"/>
    <w:rsid w:val="62C162DF"/>
    <w:rsid w:val="62C31218"/>
    <w:rsid w:val="62C52604"/>
    <w:rsid w:val="62C54F90"/>
    <w:rsid w:val="62F56060"/>
    <w:rsid w:val="630E2E70"/>
    <w:rsid w:val="633F11E7"/>
    <w:rsid w:val="6341070D"/>
    <w:rsid w:val="63493E13"/>
    <w:rsid w:val="634C56B2"/>
    <w:rsid w:val="635D78BF"/>
    <w:rsid w:val="63770981"/>
    <w:rsid w:val="637901FC"/>
    <w:rsid w:val="638304BF"/>
    <w:rsid w:val="63882ED5"/>
    <w:rsid w:val="638C3E3F"/>
    <w:rsid w:val="63A075C4"/>
    <w:rsid w:val="63A53E53"/>
    <w:rsid w:val="63A92582"/>
    <w:rsid w:val="63AA294B"/>
    <w:rsid w:val="63BB361B"/>
    <w:rsid w:val="63C27722"/>
    <w:rsid w:val="63C52A41"/>
    <w:rsid w:val="63CA33E7"/>
    <w:rsid w:val="63D20A4A"/>
    <w:rsid w:val="63DD455C"/>
    <w:rsid w:val="63E40472"/>
    <w:rsid w:val="63EE0517"/>
    <w:rsid w:val="642C2FFF"/>
    <w:rsid w:val="64427DEE"/>
    <w:rsid w:val="644B139F"/>
    <w:rsid w:val="644E24FB"/>
    <w:rsid w:val="644F5459"/>
    <w:rsid w:val="64653612"/>
    <w:rsid w:val="64760C38"/>
    <w:rsid w:val="64793B97"/>
    <w:rsid w:val="649176F3"/>
    <w:rsid w:val="64C64FF0"/>
    <w:rsid w:val="64E421D7"/>
    <w:rsid w:val="64E536C8"/>
    <w:rsid w:val="64EF27FA"/>
    <w:rsid w:val="64FE15EA"/>
    <w:rsid w:val="64FF0793"/>
    <w:rsid w:val="65000502"/>
    <w:rsid w:val="651A6FFA"/>
    <w:rsid w:val="653603C7"/>
    <w:rsid w:val="654900FB"/>
    <w:rsid w:val="65662D40"/>
    <w:rsid w:val="657611B4"/>
    <w:rsid w:val="658E3D60"/>
    <w:rsid w:val="65905D2A"/>
    <w:rsid w:val="65975ABE"/>
    <w:rsid w:val="65980C88"/>
    <w:rsid w:val="659A31F0"/>
    <w:rsid w:val="65E358B9"/>
    <w:rsid w:val="65FC3B45"/>
    <w:rsid w:val="65FE0EE5"/>
    <w:rsid w:val="66094559"/>
    <w:rsid w:val="660B1854"/>
    <w:rsid w:val="662B1179"/>
    <w:rsid w:val="66486604"/>
    <w:rsid w:val="66490BF1"/>
    <w:rsid w:val="664D59C9"/>
    <w:rsid w:val="665065E3"/>
    <w:rsid w:val="66542793"/>
    <w:rsid w:val="6677416F"/>
    <w:rsid w:val="667E2026"/>
    <w:rsid w:val="66903B07"/>
    <w:rsid w:val="66A5036A"/>
    <w:rsid w:val="66AD6C48"/>
    <w:rsid w:val="66CB066F"/>
    <w:rsid w:val="66D41C46"/>
    <w:rsid w:val="66D45B3F"/>
    <w:rsid w:val="66EA3BE6"/>
    <w:rsid w:val="66FE6CC3"/>
    <w:rsid w:val="671E3D39"/>
    <w:rsid w:val="6721001D"/>
    <w:rsid w:val="67334BBF"/>
    <w:rsid w:val="6739419F"/>
    <w:rsid w:val="674768BC"/>
    <w:rsid w:val="67584625"/>
    <w:rsid w:val="67591E9E"/>
    <w:rsid w:val="67696832"/>
    <w:rsid w:val="678629DB"/>
    <w:rsid w:val="679259FF"/>
    <w:rsid w:val="679744DF"/>
    <w:rsid w:val="67980EC5"/>
    <w:rsid w:val="679F2254"/>
    <w:rsid w:val="67A413F1"/>
    <w:rsid w:val="67A45ABC"/>
    <w:rsid w:val="67B51A77"/>
    <w:rsid w:val="67C47140"/>
    <w:rsid w:val="67CF572D"/>
    <w:rsid w:val="67E4410B"/>
    <w:rsid w:val="67FA392E"/>
    <w:rsid w:val="68014955"/>
    <w:rsid w:val="68117613"/>
    <w:rsid w:val="68282344"/>
    <w:rsid w:val="682E5386"/>
    <w:rsid w:val="68354427"/>
    <w:rsid w:val="6839704A"/>
    <w:rsid w:val="684352D5"/>
    <w:rsid w:val="686F41A0"/>
    <w:rsid w:val="6873723D"/>
    <w:rsid w:val="687C5E53"/>
    <w:rsid w:val="687E455F"/>
    <w:rsid w:val="68831B76"/>
    <w:rsid w:val="689C6793"/>
    <w:rsid w:val="68B25AF9"/>
    <w:rsid w:val="68B7625C"/>
    <w:rsid w:val="68CA77A4"/>
    <w:rsid w:val="68D12617"/>
    <w:rsid w:val="68DE6DAC"/>
    <w:rsid w:val="68E7003B"/>
    <w:rsid w:val="68F14D31"/>
    <w:rsid w:val="68F16ADF"/>
    <w:rsid w:val="68F55EA4"/>
    <w:rsid w:val="68FA02C2"/>
    <w:rsid w:val="68FB170C"/>
    <w:rsid w:val="68FB795E"/>
    <w:rsid w:val="68FC7232"/>
    <w:rsid w:val="68FE744E"/>
    <w:rsid w:val="69001CCB"/>
    <w:rsid w:val="69064ECD"/>
    <w:rsid w:val="69117181"/>
    <w:rsid w:val="69180510"/>
    <w:rsid w:val="691B590A"/>
    <w:rsid w:val="692D4B35"/>
    <w:rsid w:val="69344C1E"/>
    <w:rsid w:val="6944742F"/>
    <w:rsid w:val="694F07A9"/>
    <w:rsid w:val="69613711"/>
    <w:rsid w:val="696C6E31"/>
    <w:rsid w:val="69746CC5"/>
    <w:rsid w:val="699A38B2"/>
    <w:rsid w:val="69B018C1"/>
    <w:rsid w:val="69C2047C"/>
    <w:rsid w:val="69DA3A17"/>
    <w:rsid w:val="69F85C4B"/>
    <w:rsid w:val="69FF1A78"/>
    <w:rsid w:val="6A010FA4"/>
    <w:rsid w:val="6A22006E"/>
    <w:rsid w:val="6A2A7525"/>
    <w:rsid w:val="6A436FC0"/>
    <w:rsid w:val="6A446A13"/>
    <w:rsid w:val="6A4E6E83"/>
    <w:rsid w:val="6A5F4F63"/>
    <w:rsid w:val="6A5F748C"/>
    <w:rsid w:val="6A745963"/>
    <w:rsid w:val="6A7C062B"/>
    <w:rsid w:val="6A841D70"/>
    <w:rsid w:val="6A850FAD"/>
    <w:rsid w:val="6A933BC6"/>
    <w:rsid w:val="6ADC37BF"/>
    <w:rsid w:val="6AE85CC0"/>
    <w:rsid w:val="6AF61265"/>
    <w:rsid w:val="6B083125"/>
    <w:rsid w:val="6B0A032C"/>
    <w:rsid w:val="6B0A3E88"/>
    <w:rsid w:val="6B0B007F"/>
    <w:rsid w:val="6B122D3D"/>
    <w:rsid w:val="6B1271E1"/>
    <w:rsid w:val="6B297183"/>
    <w:rsid w:val="6B8A321B"/>
    <w:rsid w:val="6BA53BB1"/>
    <w:rsid w:val="6BA66FDA"/>
    <w:rsid w:val="6BB549C4"/>
    <w:rsid w:val="6BB6110A"/>
    <w:rsid w:val="6BBA12EE"/>
    <w:rsid w:val="6BC57F00"/>
    <w:rsid w:val="6BC97EFC"/>
    <w:rsid w:val="6BCA6420"/>
    <w:rsid w:val="6BE26BB3"/>
    <w:rsid w:val="6BE741CA"/>
    <w:rsid w:val="6BEC4DD2"/>
    <w:rsid w:val="6C0C1E82"/>
    <w:rsid w:val="6C134FBF"/>
    <w:rsid w:val="6C1C3133"/>
    <w:rsid w:val="6C330ED2"/>
    <w:rsid w:val="6C3527D4"/>
    <w:rsid w:val="6C5B0466"/>
    <w:rsid w:val="6C643B3D"/>
    <w:rsid w:val="6C674CA3"/>
    <w:rsid w:val="6C7C7008"/>
    <w:rsid w:val="6C845EBC"/>
    <w:rsid w:val="6C847C6A"/>
    <w:rsid w:val="6C855934"/>
    <w:rsid w:val="6C86149C"/>
    <w:rsid w:val="6CA9147F"/>
    <w:rsid w:val="6CB85337"/>
    <w:rsid w:val="6CC369E5"/>
    <w:rsid w:val="6CC47E5A"/>
    <w:rsid w:val="6CD26C28"/>
    <w:rsid w:val="6CD96208"/>
    <w:rsid w:val="6CDE737B"/>
    <w:rsid w:val="6CED272F"/>
    <w:rsid w:val="6CF13C81"/>
    <w:rsid w:val="6CFE7A1D"/>
    <w:rsid w:val="6D055865"/>
    <w:rsid w:val="6D082649"/>
    <w:rsid w:val="6D152C7A"/>
    <w:rsid w:val="6D196605"/>
    <w:rsid w:val="6D1D512E"/>
    <w:rsid w:val="6D2154B9"/>
    <w:rsid w:val="6D2D4E0A"/>
    <w:rsid w:val="6D3276C6"/>
    <w:rsid w:val="6D3708FB"/>
    <w:rsid w:val="6D3E250F"/>
    <w:rsid w:val="6D401DE3"/>
    <w:rsid w:val="6D5835D1"/>
    <w:rsid w:val="6D5C5AB8"/>
    <w:rsid w:val="6D632B13"/>
    <w:rsid w:val="6D8A305E"/>
    <w:rsid w:val="6D8C6AB1"/>
    <w:rsid w:val="6D8D2B4F"/>
    <w:rsid w:val="6D9050BE"/>
    <w:rsid w:val="6D964261"/>
    <w:rsid w:val="6DB36A59"/>
    <w:rsid w:val="6DB41A6A"/>
    <w:rsid w:val="6DC63DA8"/>
    <w:rsid w:val="6DD75C35"/>
    <w:rsid w:val="6DEA7FA1"/>
    <w:rsid w:val="6E0E0133"/>
    <w:rsid w:val="6E11327E"/>
    <w:rsid w:val="6E386F5E"/>
    <w:rsid w:val="6E4A456A"/>
    <w:rsid w:val="6E4E0530"/>
    <w:rsid w:val="6E5518BE"/>
    <w:rsid w:val="6E777A87"/>
    <w:rsid w:val="6E8333A7"/>
    <w:rsid w:val="6E9835C9"/>
    <w:rsid w:val="6E9A4D7A"/>
    <w:rsid w:val="6E9B56B7"/>
    <w:rsid w:val="6E9D0F19"/>
    <w:rsid w:val="6EA13F6B"/>
    <w:rsid w:val="6EB81E4D"/>
    <w:rsid w:val="6ED94E10"/>
    <w:rsid w:val="6EE71039"/>
    <w:rsid w:val="6EEA46FD"/>
    <w:rsid w:val="6F101C89"/>
    <w:rsid w:val="6F152D9A"/>
    <w:rsid w:val="6F3C2A7E"/>
    <w:rsid w:val="6F5B1846"/>
    <w:rsid w:val="6F600666"/>
    <w:rsid w:val="6F6766E2"/>
    <w:rsid w:val="6F692830"/>
    <w:rsid w:val="6F7F3C85"/>
    <w:rsid w:val="6F852BA1"/>
    <w:rsid w:val="6F87083E"/>
    <w:rsid w:val="6FA526CF"/>
    <w:rsid w:val="6FA64098"/>
    <w:rsid w:val="6FB865A9"/>
    <w:rsid w:val="6FD107B4"/>
    <w:rsid w:val="6FE4739E"/>
    <w:rsid w:val="6FEF5D43"/>
    <w:rsid w:val="6FF3138F"/>
    <w:rsid w:val="6FFA135B"/>
    <w:rsid w:val="6FFF7C0E"/>
    <w:rsid w:val="700D06A2"/>
    <w:rsid w:val="70311EB7"/>
    <w:rsid w:val="70357BF9"/>
    <w:rsid w:val="70384FF4"/>
    <w:rsid w:val="7049709F"/>
    <w:rsid w:val="704C4F43"/>
    <w:rsid w:val="70607750"/>
    <w:rsid w:val="706B361B"/>
    <w:rsid w:val="7073599E"/>
    <w:rsid w:val="70736AC3"/>
    <w:rsid w:val="707515C1"/>
    <w:rsid w:val="707FDCA3"/>
    <w:rsid w:val="70865C9C"/>
    <w:rsid w:val="708A4D58"/>
    <w:rsid w:val="708F6BDE"/>
    <w:rsid w:val="70A37239"/>
    <w:rsid w:val="70A42689"/>
    <w:rsid w:val="70AE6A31"/>
    <w:rsid w:val="70B52AE8"/>
    <w:rsid w:val="70C5742E"/>
    <w:rsid w:val="70CB04E6"/>
    <w:rsid w:val="70D27294"/>
    <w:rsid w:val="71286E22"/>
    <w:rsid w:val="71431EA2"/>
    <w:rsid w:val="7143236C"/>
    <w:rsid w:val="71434477"/>
    <w:rsid w:val="71544FA7"/>
    <w:rsid w:val="716F0EE9"/>
    <w:rsid w:val="717D5BC9"/>
    <w:rsid w:val="718F06FD"/>
    <w:rsid w:val="71A566B9"/>
    <w:rsid w:val="71B2527A"/>
    <w:rsid w:val="71CA25C3"/>
    <w:rsid w:val="71D376CA"/>
    <w:rsid w:val="71DB20DB"/>
    <w:rsid w:val="71DB657E"/>
    <w:rsid w:val="71DC5974"/>
    <w:rsid w:val="71F15DA2"/>
    <w:rsid w:val="72231699"/>
    <w:rsid w:val="722568D7"/>
    <w:rsid w:val="72273572"/>
    <w:rsid w:val="722C6DDA"/>
    <w:rsid w:val="722F7D75"/>
    <w:rsid w:val="723D0FE7"/>
    <w:rsid w:val="72552B3F"/>
    <w:rsid w:val="72583E79"/>
    <w:rsid w:val="725A654C"/>
    <w:rsid w:val="725B4947"/>
    <w:rsid w:val="72602357"/>
    <w:rsid w:val="727F7783"/>
    <w:rsid w:val="72872262"/>
    <w:rsid w:val="728A3B01"/>
    <w:rsid w:val="72C45265"/>
    <w:rsid w:val="72D134DE"/>
    <w:rsid w:val="72D60AF4"/>
    <w:rsid w:val="72DD425C"/>
    <w:rsid w:val="72EB459F"/>
    <w:rsid w:val="72F85FEB"/>
    <w:rsid w:val="73013DC3"/>
    <w:rsid w:val="73153BB6"/>
    <w:rsid w:val="731C29AB"/>
    <w:rsid w:val="731E31D8"/>
    <w:rsid w:val="73243F55"/>
    <w:rsid w:val="73305DFD"/>
    <w:rsid w:val="734D5117"/>
    <w:rsid w:val="734F61F6"/>
    <w:rsid w:val="735E0EFB"/>
    <w:rsid w:val="735F61C1"/>
    <w:rsid w:val="7365121C"/>
    <w:rsid w:val="736B508C"/>
    <w:rsid w:val="737547B1"/>
    <w:rsid w:val="737650A4"/>
    <w:rsid w:val="738531BD"/>
    <w:rsid w:val="738A2DD7"/>
    <w:rsid w:val="73905147"/>
    <w:rsid w:val="73915B78"/>
    <w:rsid w:val="73941CCC"/>
    <w:rsid w:val="739447BA"/>
    <w:rsid w:val="73993FFB"/>
    <w:rsid w:val="73AA26AC"/>
    <w:rsid w:val="73AC4C26"/>
    <w:rsid w:val="73AE12EC"/>
    <w:rsid w:val="73AF3118"/>
    <w:rsid w:val="73B272DC"/>
    <w:rsid w:val="73B452D9"/>
    <w:rsid w:val="73BBD34C"/>
    <w:rsid w:val="73D46F1E"/>
    <w:rsid w:val="73D830DC"/>
    <w:rsid w:val="73E978EB"/>
    <w:rsid w:val="73F277FB"/>
    <w:rsid w:val="73F751C6"/>
    <w:rsid w:val="74035F8D"/>
    <w:rsid w:val="7416389E"/>
    <w:rsid w:val="74222C41"/>
    <w:rsid w:val="743467DF"/>
    <w:rsid w:val="74394BA4"/>
    <w:rsid w:val="743B1556"/>
    <w:rsid w:val="744213FF"/>
    <w:rsid w:val="744A1799"/>
    <w:rsid w:val="74714F78"/>
    <w:rsid w:val="74722479"/>
    <w:rsid w:val="74884070"/>
    <w:rsid w:val="7491607B"/>
    <w:rsid w:val="74962DDE"/>
    <w:rsid w:val="74B15F95"/>
    <w:rsid w:val="74B457E6"/>
    <w:rsid w:val="74DB6895"/>
    <w:rsid w:val="74DEE34C"/>
    <w:rsid w:val="74E0413E"/>
    <w:rsid w:val="74E670BC"/>
    <w:rsid w:val="74F31E31"/>
    <w:rsid w:val="74FE3011"/>
    <w:rsid w:val="74FE7FE0"/>
    <w:rsid w:val="751029E3"/>
    <w:rsid w:val="75322959"/>
    <w:rsid w:val="754B3A1B"/>
    <w:rsid w:val="755201BF"/>
    <w:rsid w:val="75521133"/>
    <w:rsid w:val="75532CC9"/>
    <w:rsid w:val="75640639"/>
    <w:rsid w:val="75672928"/>
    <w:rsid w:val="757F36C5"/>
    <w:rsid w:val="75A44F33"/>
    <w:rsid w:val="75AE7D3B"/>
    <w:rsid w:val="75B01F58"/>
    <w:rsid w:val="75B9544D"/>
    <w:rsid w:val="75BF1D13"/>
    <w:rsid w:val="75CB7DAE"/>
    <w:rsid w:val="75CE4A51"/>
    <w:rsid w:val="75D27C98"/>
    <w:rsid w:val="75DF5F11"/>
    <w:rsid w:val="75E901FC"/>
    <w:rsid w:val="75FD7964"/>
    <w:rsid w:val="75FF7042"/>
    <w:rsid w:val="7603295D"/>
    <w:rsid w:val="7607070F"/>
    <w:rsid w:val="760905A3"/>
    <w:rsid w:val="760925E8"/>
    <w:rsid w:val="76164217"/>
    <w:rsid w:val="76191423"/>
    <w:rsid w:val="76272F4D"/>
    <w:rsid w:val="763C3364"/>
    <w:rsid w:val="76407334"/>
    <w:rsid w:val="76487F5B"/>
    <w:rsid w:val="764B6161"/>
    <w:rsid w:val="768F354A"/>
    <w:rsid w:val="76934ECB"/>
    <w:rsid w:val="7696746C"/>
    <w:rsid w:val="76A814B1"/>
    <w:rsid w:val="76B85B6F"/>
    <w:rsid w:val="76BD3B8F"/>
    <w:rsid w:val="76D57A40"/>
    <w:rsid w:val="76EF79DF"/>
    <w:rsid w:val="76F0340D"/>
    <w:rsid w:val="76F58E6F"/>
    <w:rsid w:val="76FD6F97"/>
    <w:rsid w:val="770164D0"/>
    <w:rsid w:val="77076AA4"/>
    <w:rsid w:val="770C0F88"/>
    <w:rsid w:val="77107490"/>
    <w:rsid w:val="771A4CBB"/>
    <w:rsid w:val="772269FE"/>
    <w:rsid w:val="77424D1F"/>
    <w:rsid w:val="7754671E"/>
    <w:rsid w:val="77597EB6"/>
    <w:rsid w:val="777233CA"/>
    <w:rsid w:val="77807586"/>
    <w:rsid w:val="77851A69"/>
    <w:rsid w:val="779C230C"/>
    <w:rsid w:val="77BC650A"/>
    <w:rsid w:val="77BD7388"/>
    <w:rsid w:val="77C11D73"/>
    <w:rsid w:val="77C61FA0"/>
    <w:rsid w:val="77CB0E43"/>
    <w:rsid w:val="77CD4BBB"/>
    <w:rsid w:val="77D17A45"/>
    <w:rsid w:val="77D744B6"/>
    <w:rsid w:val="77DA638B"/>
    <w:rsid w:val="77ED294E"/>
    <w:rsid w:val="77F543A4"/>
    <w:rsid w:val="77FE2FC7"/>
    <w:rsid w:val="7800397B"/>
    <w:rsid w:val="78055809"/>
    <w:rsid w:val="78125870"/>
    <w:rsid w:val="78267E28"/>
    <w:rsid w:val="78303C92"/>
    <w:rsid w:val="78336E8F"/>
    <w:rsid w:val="7836450F"/>
    <w:rsid w:val="783F195D"/>
    <w:rsid w:val="78454752"/>
    <w:rsid w:val="78485FF0"/>
    <w:rsid w:val="785A48DB"/>
    <w:rsid w:val="78623556"/>
    <w:rsid w:val="786728C9"/>
    <w:rsid w:val="786C7F30"/>
    <w:rsid w:val="78811502"/>
    <w:rsid w:val="788162CE"/>
    <w:rsid w:val="78827687"/>
    <w:rsid w:val="78833532"/>
    <w:rsid w:val="78867F50"/>
    <w:rsid w:val="78905C76"/>
    <w:rsid w:val="789574EF"/>
    <w:rsid w:val="78A7540C"/>
    <w:rsid w:val="78C22246"/>
    <w:rsid w:val="78E82ECC"/>
    <w:rsid w:val="78EB7C2E"/>
    <w:rsid w:val="78F74CE4"/>
    <w:rsid w:val="79061938"/>
    <w:rsid w:val="790F6B0E"/>
    <w:rsid w:val="79135078"/>
    <w:rsid w:val="79157058"/>
    <w:rsid w:val="7917664A"/>
    <w:rsid w:val="791B1604"/>
    <w:rsid w:val="79277E07"/>
    <w:rsid w:val="792D0CF6"/>
    <w:rsid w:val="793D4922"/>
    <w:rsid w:val="795471DE"/>
    <w:rsid w:val="795D5ACB"/>
    <w:rsid w:val="796B15F6"/>
    <w:rsid w:val="797362B4"/>
    <w:rsid w:val="797572B9"/>
    <w:rsid w:val="797D43BF"/>
    <w:rsid w:val="798153CC"/>
    <w:rsid w:val="79960FDD"/>
    <w:rsid w:val="799D3B64"/>
    <w:rsid w:val="79A26A4A"/>
    <w:rsid w:val="79A82AF9"/>
    <w:rsid w:val="79A90D10"/>
    <w:rsid w:val="79B0209F"/>
    <w:rsid w:val="79BF480D"/>
    <w:rsid w:val="79C67B14"/>
    <w:rsid w:val="79CE4C1B"/>
    <w:rsid w:val="79CF5E40"/>
    <w:rsid w:val="79D32B34"/>
    <w:rsid w:val="79E66321"/>
    <w:rsid w:val="7A0643B5"/>
    <w:rsid w:val="7A293F92"/>
    <w:rsid w:val="7A2F1E3C"/>
    <w:rsid w:val="7A2F7FBA"/>
    <w:rsid w:val="7A344A7E"/>
    <w:rsid w:val="7A4455AE"/>
    <w:rsid w:val="7A4D6A17"/>
    <w:rsid w:val="7A5F5873"/>
    <w:rsid w:val="7A613399"/>
    <w:rsid w:val="7A886B78"/>
    <w:rsid w:val="7A8C079F"/>
    <w:rsid w:val="7A9A7EC7"/>
    <w:rsid w:val="7AD048D5"/>
    <w:rsid w:val="7AF97A75"/>
    <w:rsid w:val="7B2C1BF9"/>
    <w:rsid w:val="7B315461"/>
    <w:rsid w:val="7B3B25D2"/>
    <w:rsid w:val="7B452056"/>
    <w:rsid w:val="7B4D23D0"/>
    <w:rsid w:val="7B5178B1"/>
    <w:rsid w:val="7B606A67"/>
    <w:rsid w:val="7B62561B"/>
    <w:rsid w:val="7B6A2721"/>
    <w:rsid w:val="7B707D38"/>
    <w:rsid w:val="7B7E4AEF"/>
    <w:rsid w:val="7B7F7F7B"/>
    <w:rsid w:val="7B9854E0"/>
    <w:rsid w:val="7B9D74A9"/>
    <w:rsid w:val="7BA615A2"/>
    <w:rsid w:val="7BAD2EC7"/>
    <w:rsid w:val="7BB8348D"/>
    <w:rsid w:val="7BBD1C97"/>
    <w:rsid w:val="7BBF715B"/>
    <w:rsid w:val="7BC23097"/>
    <w:rsid w:val="7BDE554C"/>
    <w:rsid w:val="7BDF6C6B"/>
    <w:rsid w:val="7BE14DA1"/>
    <w:rsid w:val="7BF54622"/>
    <w:rsid w:val="7BF546E1"/>
    <w:rsid w:val="7BF71835"/>
    <w:rsid w:val="7BFF585B"/>
    <w:rsid w:val="7C031C34"/>
    <w:rsid w:val="7C1459E2"/>
    <w:rsid w:val="7C1F175E"/>
    <w:rsid w:val="7C4756E9"/>
    <w:rsid w:val="7C5D696C"/>
    <w:rsid w:val="7C6F6241"/>
    <w:rsid w:val="7C7B014B"/>
    <w:rsid w:val="7C7BEE35"/>
    <w:rsid w:val="7C8616B1"/>
    <w:rsid w:val="7C883B40"/>
    <w:rsid w:val="7C8A5143"/>
    <w:rsid w:val="7C907F65"/>
    <w:rsid w:val="7CA0464C"/>
    <w:rsid w:val="7CA52CCA"/>
    <w:rsid w:val="7CAE2D60"/>
    <w:rsid w:val="7CBA4FE2"/>
    <w:rsid w:val="7CBB1486"/>
    <w:rsid w:val="7CCD2F68"/>
    <w:rsid w:val="7CD267D0"/>
    <w:rsid w:val="7CDFA69B"/>
    <w:rsid w:val="7CF209C2"/>
    <w:rsid w:val="7D07111F"/>
    <w:rsid w:val="7D0D15B6"/>
    <w:rsid w:val="7D171AF4"/>
    <w:rsid w:val="7D23036F"/>
    <w:rsid w:val="7D2A03BA"/>
    <w:rsid w:val="7D337C34"/>
    <w:rsid w:val="7D344D95"/>
    <w:rsid w:val="7D366D5F"/>
    <w:rsid w:val="7D382AD7"/>
    <w:rsid w:val="7D40373A"/>
    <w:rsid w:val="7D4A0A5C"/>
    <w:rsid w:val="7D580E3B"/>
    <w:rsid w:val="7D60202E"/>
    <w:rsid w:val="7D607334"/>
    <w:rsid w:val="7D6AC5C8"/>
    <w:rsid w:val="7D7E6B8B"/>
    <w:rsid w:val="7D864FB5"/>
    <w:rsid w:val="7D9046C1"/>
    <w:rsid w:val="7DA168CE"/>
    <w:rsid w:val="7DBFAEB0"/>
    <w:rsid w:val="7DC23DC2"/>
    <w:rsid w:val="7DCD02A0"/>
    <w:rsid w:val="7DD563A4"/>
    <w:rsid w:val="7DEB3451"/>
    <w:rsid w:val="7DF12C86"/>
    <w:rsid w:val="7DFD08B0"/>
    <w:rsid w:val="7DFF5852"/>
    <w:rsid w:val="7E144772"/>
    <w:rsid w:val="7E2748F9"/>
    <w:rsid w:val="7E3257BC"/>
    <w:rsid w:val="7E3D5ECB"/>
    <w:rsid w:val="7E4E1E86"/>
    <w:rsid w:val="7E584026"/>
    <w:rsid w:val="7E5F4093"/>
    <w:rsid w:val="7E641BD4"/>
    <w:rsid w:val="7E6B34F5"/>
    <w:rsid w:val="7E7B1E6F"/>
    <w:rsid w:val="7E7B3A3F"/>
    <w:rsid w:val="7E807A39"/>
    <w:rsid w:val="7E8B30DA"/>
    <w:rsid w:val="7E8C2368"/>
    <w:rsid w:val="7E9C6F9B"/>
    <w:rsid w:val="7EAB72D9"/>
    <w:rsid w:val="7EAF501B"/>
    <w:rsid w:val="7EB37063"/>
    <w:rsid w:val="7EBF4B32"/>
    <w:rsid w:val="7EC5039A"/>
    <w:rsid w:val="7EC562F5"/>
    <w:rsid w:val="7EC91358"/>
    <w:rsid w:val="7ED7DDCE"/>
    <w:rsid w:val="7EEB3B79"/>
    <w:rsid w:val="7EED1546"/>
    <w:rsid w:val="7EF70770"/>
    <w:rsid w:val="7F07550C"/>
    <w:rsid w:val="7F0D1D41"/>
    <w:rsid w:val="7F141322"/>
    <w:rsid w:val="7F1453DB"/>
    <w:rsid w:val="7F1475B9"/>
    <w:rsid w:val="7F1629A4"/>
    <w:rsid w:val="7F1E1CCB"/>
    <w:rsid w:val="7F2876AC"/>
    <w:rsid w:val="7F341DFF"/>
    <w:rsid w:val="7F4C2FFF"/>
    <w:rsid w:val="7F590AE3"/>
    <w:rsid w:val="7F5931D8"/>
    <w:rsid w:val="7F6F7026"/>
    <w:rsid w:val="7F7F184C"/>
    <w:rsid w:val="7F7FE64A"/>
    <w:rsid w:val="7F956761"/>
    <w:rsid w:val="7F9B49B0"/>
    <w:rsid w:val="7FB422C4"/>
    <w:rsid w:val="7FDC3989"/>
    <w:rsid w:val="7FEA09E2"/>
    <w:rsid w:val="7FEC1957"/>
    <w:rsid w:val="7FF37189"/>
    <w:rsid w:val="8DDC2330"/>
    <w:rsid w:val="9FBD6E3A"/>
    <w:rsid w:val="ABB51C1B"/>
    <w:rsid w:val="AFBBF067"/>
    <w:rsid w:val="B5FF2DC1"/>
    <w:rsid w:val="B7D75C42"/>
    <w:rsid w:val="B9F775B7"/>
    <w:rsid w:val="BBDEDE00"/>
    <w:rsid w:val="BC936312"/>
    <w:rsid w:val="BDFF1568"/>
    <w:rsid w:val="BDFFED4C"/>
    <w:rsid w:val="BEDF50DF"/>
    <w:rsid w:val="BF1E965B"/>
    <w:rsid w:val="BF7F7A46"/>
    <w:rsid w:val="BFD75EF3"/>
    <w:rsid w:val="BFEA60F3"/>
    <w:rsid w:val="BFF4EE88"/>
    <w:rsid w:val="BFF51280"/>
    <w:rsid w:val="C6DF4D2C"/>
    <w:rsid w:val="CDDF8D29"/>
    <w:rsid w:val="CF7B6F3E"/>
    <w:rsid w:val="D2B781E6"/>
    <w:rsid w:val="D47FFD19"/>
    <w:rsid w:val="D6C7FF08"/>
    <w:rsid w:val="D8FF9E66"/>
    <w:rsid w:val="DB2EA37C"/>
    <w:rsid w:val="DEFAD7D8"/>
    <w:rsid w:val="DFB72C70"/>
    <w:rsid w:val="DFFA7DB7"/>
    <w:rsid w:val="E4EB1C6E"/>
    <w:rsid w:val="E75F9682"/>
    <w:rsid w:val="E7BBB46B"/>
    <w:rsid w:val="EA0B12A9"/>
    <w:rsid w:val="EBF68805"/>
    <w:rsid w:val="EEE7E7A4"/>
    <w:rsid w:val="EF6E1DC5"/>
    <w:rsid w:val="EFF60C47"/>
    <w:rsid w:val="F1F511E9"/>
    <w:rsid w:val="F2CDE67B"/>
    <w:rsid w:val="F68F70A5"/>
    <w:rsid w:val="F7BBF211"/>
    <w:rsid w:val="F7DEF1EE"/>
    <w:rsid w:val="F7F38D57"/>
    <w:rsid w:val="F7FF55DE"/>
    <w:rsid w:val="F98567CE"/>
    <w:rsid w:val="F9BEFF0E"/>
    <w:rsid w:val="F9EFC684"/>
    <w:rsid w:val="FADDB4F8"/>
    <w:rsid w:val="FAE9CD5D"/>
    <w:rsid w:val="FB5F9FE3"/>
    <w:rsid w:val="FB692196"/>
    <w:rsid w:val="FBCF5740"/>
    <w:rsid w:val="FD7DC39C"/>
    <w:rsid w:val="FDAD4A42"/>
    <w:rsid w:val="FDEC5532"/>
    <w:rsid w:val="FDFDD994"/>
    <w:rsid w:val="FDFE196F"/>
    <w:rsid w:val="FDFFA531"/>
    <w:rsid w:val="FEBDE989"/>
    <w:rsid w:val="FEBF0BE3"/>
    <w:rsid w:val="FEF5BAD6"/>
    <w:rsid w:val="FF572B2E"/>
    <w:rsid w:val="FF7B3FA7"/>
    <w:rsid w:val="FFDF63B8"/>
    <w:rsid w:val="FFE70018"/>
    <w:rsid w:val="FFF17EE8"/>
    <w:rsid w:val="FFFAA7B2"/>
    <w:rsid w:val="FFFDC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style>
  <w:style w:type="paragraph" w:styleId="3">
    <w:name w:val="Body Text Indent"/>
    <w:basedOn w:val="1"/>
    <w:next w:val="1"/>
    <w:unhideWhenUsed/>
    <w:qFormat/>
    <w:uiPriority w:val="99"/>
    <w:pPr>
      <w:spacing w:after="120"/>
      <w:ind w:left="420" w:leftChars="200"/>
    </w:pPr>
    <w:rPr>
      <w:kern w:val="0"/>
      <w:sz w:val="20"/>
      <w:szCs w:val="20"/>
    </w:rPr>
  </w:style>
  <w:style w:type="paragraph" w:styleId="7">
    <w:name w:val="Normal Indent"/>
    <w:basedOn w:val="1"/>
    <w:qFormat/>
    <w:uiPriority w:val="0"/>
    <w:pPr>
      <w:ind w:firstLine="420" w:firstLineChars="200"/>
    </w:pPr>
    <w:rPr>
      <w:szCs w:val="20"/>
    </w:rPr>
  </w:style>
  <w:style w:type="paragraph" w:styleId="8">
    <w:name w:val="annotation text"/>
    <w:basedOn w:val="1"/>
    <w:link w:val="27"/>
    <w:unhideWhenUsed/>
    <w:qFormat/>
    <w:uiPriority w:val="0"/>
    <w:pPr>
      <w:jc w:val="left"/>
    </w:pPr>
    <w:rPr>
      <w:kern w:val="0"/>
      <w:sz w:val="20"/>
    </w:rPr>
  </w:style>
  <w:style w:type="paragraph" w:styleId="9">
    <w:name w:val="Body Text"/>
    <w:basedOn w:val="1"/>
    <w:next w:val="1"/>
    <w:unhideWhenUsed/>
    <w:qFormat/>
    <w:uiPriority w:val="0"/>
    <w:pPr>
      <w:spacing w:after="120"/>
    </w:pPr>
    <w:rPr>
      <w:sz w:val="24"/>
    </w:rPr>
  </w:style>
  <w:style w:type="paragraph" w:styleId="10">
    <w:name w:val="Plain Text"/>
    <w:basedOn w:val="1"/>
    <w:qFormat/>
    <w:uiPriority w:val="0"/>
    <w:rPr>
      <w:rFonts w:ascii="宋体" w:hAnsi="Courier New"/>
    </w:rPr>
  </w:style>
  <w:style w:type="paragraph" w:styleId="11">
    <w:name w:val="Balloon Text"/>
    <w:basedOn w:val="1"/>
    <w:link w:val="28"/>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toc 2"/>
    <w:basedOn w:val="1"/>
    <w:next w:val="1"/>
    <w:qFormat/>
    <w:uiPriority w:val="0"/>
    <w:pPr>
      <w:spacing w:line="600" w:lineRule="exact"/>
      <w:ind w:firstLine="880" w:firstLineChars="200"/>
    </w:pPr>
    <w:rPr>
      <w:rFonts w:eastAsia="仿宋_GB2312"/>
      <w:sz w:val="3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annotation subject"/>
    <w:basedOn w:val="8"/>
    <w:next w:val="8"/>
    <w:link w:val="29"/>
    <w:qFormat/>
    <w:uiPriority w:val="0"/>
    <w:rPr>
      <w:b/>
      <w:bCs/>
      <w:kern w:val="2"/>
      <w:sz w:val="21"/>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qFormat/>
    <w:uiPriority w:val="0"/>
  </w:style>
  <w:style w:type="character" w:styleId="24">
    <w:name w:val="FollowedHyperlink"/>
    <w:basedOn w:val="21"/>
    <w:qFormat/>
    <w:uiPriority w:val="0"/>
    <w:rPr>
      <w:color w:val="800080"/>
      <w:u w:val="none"/>
    </w:rPr>
  </w:style>
  <w:style w:type="character" w:styleId="25">
    <w:name w:val="Hyperlink"/>
    <w:basedOn w:val="21"/>
    <w:qFormat/>
    <w:uiPriority w:val="0"/>
    <w:rPr>
      <w:color w:val="0000FF"/>
      <w:u w:val="none"/>
    </w:rPr>
  </w:style>
  <w:style w:type="character" w:styleId="26">
    <w:name w:val="annotation reference"/>
    <w:basedOn w:val="21"/>
    <w:qFormat/>
    <w:uiPriority w:val="0"/>
    <w:rPr>
      <w:sz w:val="21"/>
      <w:szCs w:val="21"/>
    </w:rPr>
  </w:style>
  <w:style w:type="character" w:customStyle="1" w:styleId="27">
    <w:name w:val="批注文字 字符"/>
    <w:basedOn w:val="21"/>
    <w:link w:val="8"/>
    <w:qFormat/>
    <w:uiPriority w:val="0"/>
    <w:rPr>
      <w:szCs w:val="24"/>
    </w:rPr>
  </w:style>
  <w:style w:type="character" w:customStyle="1" w:styleId="28">
    <w:name w:val="批注框文本 字符"/>
    <w:basedOn w:val="21"/>
    <w:link w:val="11"/>
    <w:qFormat/>
    <w:uiPriority w:val="0"/>
    <w:rPr>
      <w:kern w:val="2"/>
      <w:sz w:val="18"/>
      <w:szCs w:val="18"/>
    </w:rPr>
  </w:style>
  <w:style w:type="character" w:customStyle="1" w:styleId="29">
    <w:name w:val="批注主题 字符"/>
    <w:basedOn w:val="27"/>
    <w:link w:val="18"/>
    <w:qFormat/>
    <w:uiPriority w:val="0"/>
    <w:rPr>
      <w:b/>
      <w:bCs/>
      <w:kern w:val="2"/>
      <w:sz w:val="21"/>
      <w:szCs w:val="24"/>
    </w:rPr>
  </w:style>
  <w:style w:type="paragraph" w:styleId="30">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2">
    <w:name w:val="正文格式"/>
    <w:basedOn w:val="3"/>
    <w:qFormat/>
    <w:uiPriority w:val="99"/>
    <w:pPr>
      <w:spacing w:after="0" w:line="360" w:lineRule="auto"/>
      <w:ind w:left="0" w:leftChars="0" w:firstLine="600"/>
    </w:pPr>
    <w:rPr>
      <w:rFonts w:eastAsia="仿宋_GB2312"/>
      <w:sz w:val="30"/>
      <w:szCs w:val="30"/>
    </w:rPr>
  </w:style>
  <w:style w:type="paragraph" w:customStyle="1" w:styleId="33">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4">
    <w:name w:val="List Paragraph"/>
    <w:basedOn w:val="1"/>
    <w:qFormat/>
    <w:uiPriority w:val="34"/>
    <w:pPr>
      <w:ind w:firstLine="420" w:firstLineChars="200"/>
    </w:pPr>
  </w:style>
  <w:style w:type="paragraph" w:customStyle="1" w:styleId="35">
    <w:name w:val="（）列表模式"/>
    <w:basedOn w:val="1"/>
    <w:qFormat/>
    <w:uiPriority w:val="0"/>
    <w:pPr>
      <w:tabs>
        <w:tab w:val="left" w:pos="960"/>
        <w:tab w:val="left" w:pos="1470"/>
      </w:tabs>
      <w:spacing w:line="360" w:lineRule="auto"/>
      <w:ind w:left="1470" w:hanging="420"/>
    </w:pPr>
    <w:rPr>
      <w:sz w:val="24"/>
      <w:szCs w:val="20"/>
    </w:rPr>
  </w:style>
  <w:style w:type="paragraph" w:customStyle="1" w:styleId="36">
    <w:name w:val="Table Paragraph"/>
    <w:basedOn w:val="1"/>
    <w:qFormat/>
    <w:uiPriority w:val="0"/>
    <w:pPr>
      <w:autoSpaceDE w:val="0"/>
      <w:autoSpaceDN w:val="0"/>
      <w:jc w:val="left"/>
    </w:pPr>
    <w:rPr>
      <w:rFonts w:ascii="宋体" w:hAnsi="宋体" w:cs="宋体"/>
      <w:kern w:val="0"/>
      <w:sz w:val="22"/>
      <w:szCs w:val="22"/>
    </w:rPr>
  </w:style>
  <w:style w:type="paragraph" w:customStyle="1" w:styleId="37">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8">
    <w:name w:val="qowt-font5-gb2312"/>
    <w:qFormat/>
    <w:uiPriority w:val="0"/>
  </w:style>
  <w:style w:type="paragraph" w:customStyle="1" w:styleId="39">
    <w:name w:val="正文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40">
    <w:name w:val="_Style 1"/>
    <w:qFormat/>
    <w:uiPriority w:val="1"/>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2">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43">
    <w:name w:val="NormalCharacter"/>
    <w:qFormat/>
    <w:uiPriority w:val="0"/>
    <w:rPr>
      <w:kern w:val="2"/>
      <w:sz w:val="21"/>
      <w:szCs w:val="24"/>
      <w:lang w:val="en-US" w:eastAsia="zh-CN" w:bidi="ar-SA"/>
    </w:rPr>
  </w:style>
  <w:style w:type="paragraph" w:customStyle="1" w:styleId="44">
    <w:name w:val="Table Text"/>
    <w:basedOn w:val="1"/>
    <w:semiHidden/>
    <w:qFormat/>
    <w:uiPriority w:val="0"/>
    <w:rPr>
      <w:rFonts w:ascii="宋体" w:hAnsi="宋体" w:cs="宋体"/>
      <w:sz w:val="20"/>
      <w:szCs w:val="20"/>
    </w:rPr>
  </w:style>
  <w:style w:type="table" w:customStyle="1" w:styleId="45">
    <w:name w:val="Table Normal"/>
    <w:unhideWhenUsed/>
    <w:qFormat/>
    <w:uiPriority w:val="0"/>
    <w:tblPr>
      <w:tblCellMar>
        <w:top w:w="0" w:type="dxa"/>
        <w:left w:w="0" w:type="dxa"/>
        <w:bottom w:w="0" w:type="dxa"/>
        <w:right w:w="0" w:type="dxa"/>
      </w:tblCellMar>
    </w:tblPr>
  </w:style>
  <w:style w:type="paragraph" w:customStyle="1" w:styleId="4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93</Pages>
  <Words>30233</Words>
  <Characters>31188</Characters>
  <Lines>1851</Lines>
  <Paragraphs>1660</Paragraphs>
  <TotalTime>2</TotalTime>
  <ScaleCrop>false</ScaleCrop>
  <LinksUpToDate>false</LinksUpToDate>
  <CharactersWithSpaces>32684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2023-11-18T20:59:00Z</dcterms:created>
  <dc:creator>姬崽</dc:creator>
  <cp:lastModifiedBy>黎俊</cp:lastModifiedBy>
  <dcterms:modified xsi:type="dcterms:W3CDTF">2026-01-26T09:22:09Z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C801E23572EB40809726A15E76B4EDDF_13</vt:lpwstr>
  </property>
  <property fmtid="{D5CDD505-2E9C-101B-9397-08002B2CF9AE}" pid="4" name="KSOTemplateDocerSaveRecord">
    <vt:lpwstr>eyJoZGlkIjoiMjg4YTgwZWNlYzllODgyY2ZiMzc5OWI4YzIzOTI0NWYiLCJ1c2VySWQiOiI1NDE3NDk4ODMifQ==</vt:lpwstr>
  </property>
</Properties>
</file>