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sz w:val="44"/>
          <w:szCs w:val="44"/>
        </w:rPr>
      </w:pPr>
    </w:p>
    <w:p>
      <w:pPr>
        <w:rPr>
          <w:rFonts w:ascii="宋体"/>
          <w:sz w:val="44"/>
          <w:szCs w:val="44"/>
        </w:rPr>
      </w:pPr>
    </w:p>
    <w:p>
      <w:pPr>
        <w:rPr>
          <w:rFonts w:ascii="宋体"/>
          <w:sz w:val="44"/>
          <w:szCs w:val="44"/>
        </w:rPr>
      </w:pPr>
    </w:p>
    <w:p>
      <w:pPr>
        <w:ind w:firstLine="720"/>
        <w:rPr>
          <w:rFonts w:ascii="方正小标宋简体" w:hAnsi="方正小标宋简体" w:eastAsia="方正小标宋简体" w:cs="方正小标宋简体"/>
          <w:sz w:val="36"/>
          <w:szCs w:val="36"/>
        </w:rPr>
      </w:pPr>
    </w:p>
    <w:p>
      <w:pPr>
        <w:adjustRightInd/>
        <w:snapToGrid/>
        <w:spacing w:line="560" w:lineRule="exact"/>
        <w:ind w:firstLine="0" w:firstLineChars="0"/>
        <w:jc w:val="center"/>
        <w:rPr>
          <w:rFonts w:ascii="方正小标宋简体" w:hAnsi="方正小标宋简体" w:eastAsia="方正小标宋简体" w:cs="方正小标宋简体"/>
          <w:sz w:val="44"/>
          <w:szCs w:val="44"/>
        </w:rPr>
      </w:pPr>
      <w:bookmarkStart w:id="0" w:name="_Toc25195"/>
      <w:bookmarkStart w:id="1" w:name="_Toc6092"/>
      <w:r>
        <w:rPr>
          <w:rFonts w:hint="eastAsia" w:ascii="方正小标宋简体" w:hAnsi="方正小标宋简体" w:eastAsia="方正小标宋简体" w:cs="方正小标宋简体"/>
          <w:sz w:val="44"/>
          <w:szCs w:val="44"/>
          <w:lang w:eastAsia="zh-CN"/>
        </w:rPr>
        <w:t>2024年</w:t>
      </w:r>
      <w:r>
        <w:rPr>
          <w:rFonts w:hint="eastAsia" w:ascii="方正小标宋简体" w:hAnsi="方正小标宋简体" w:eastAsia="方正小标宋简体" w:cs="方正小标宋简体"/>
          <w:sz w:val="44"/>
          <w:szCs w:val="44"/>
        </w:rPr>
        <w:t>项目支出绩效评价报告</w:t>
      </w:r>
      <w:bookmarkEnd w:id="0"/>
      <w:bookmarkEnd w:id="1"/>
    </w:p>
    <w:p>
      <w:pPr>
        <w:ind w:firstLine="0" w:firstLineChars="0"/>
        <w:jc w:val="center"/>
        <w:rPr>
          <w:rFonts w:ascii="楷体_GB2312" w:hAnsi="宋体" w:eastAsia="楷体_GB2312"/>
          <w:sz w:val="36"/>
          <w:szCs w:val="36"/>
        </w:rPr>
      </w:pPr>
    </w:p>
    <w:p>
      <w:pPr>
        <w:ind w:firstLine="0" w:firstLineChars="0"/>
        <w:jc w:val="center"/>
        <w:rPr>
          <w:rFonts w:ascii="楷体_GB2312" w:hAnsi="宋体" w:eastAsia="楷体_GB2312"/>
          <w:sz w:val="36"/>
          <w:szCs w:val="36"/>
        </w:rPr>
      </w:pPr>
    </w:p>
    <w:p>
      <w:pPr>
        <w:ind w:firstLine="0" w:firstLineChars="0"/>
        <w:jc w:val="center"/>
        <w:rPr>
          <w:rFonts w:ascii="楷体_GB2312" w:hAnsi="宋体" w:eastAsia="楷体_GB2312"/>
          <w:sz w:val="36"/>
          <w:szCs w:val="36"/>
        </w:rPr>
      </w:pPr>
    </w:p>
    <w:p>
      <w:pPr>
        <w:ind w:firstLine="0" w:firstLineChars="0"/>
        <w:rPr>
          <w:rFonts w:ascii="楷体_GB2312" w:hAnsi="宋体" w:eastAsia="楷体_GB2312"/>
          <w:sz w:val="36"/>
          <w:szCs w:val="36"/>
        </w:rPr>
      </w:pPr>
    </w:p>
    <w:p>
      <w:pPr>
        <w:spacing w:line="560" w:lineRule="exact"/>
        <w:ind w:firstLine="720"/>
        <w:rPr>
          <w:rFonts w:ascii="楷体_GB2312" w:hAnsi="宋体" w:eastAsia="楷体_GB2312"/>
          <w:sz w:val="36"/>
          <w:szCs w:val="36"/>
        </w:rPr>
      </w:pPr>
    </w:p>
    <w:p>
      <w:pPr>
        <w:ind w:firstLine="640"/>
      </w:pPr>
    </w:p>
    <w:p>
      <w:pPr>
        <w:adjustRightInd/>
        <w:snapToGrid/>
        <w:spacing w:line="480" w:lineRule="auto"/>
        <w:ind w:left="0" w:leftChars="0" w:firstLine="0" w:firstLineChars="0"/>
        <w:rPr>
          <w:rFonts w:cs="仿宋_GB2312"/>
          <w:szCs w:val="32"/>
        </w:rPr>
      </w:pPr>
      <w:r>
        <w:rPr>
          <w:rFonts w:hint="eastAsia" w:cs="仿宋_GB2312"/>
          <w:szCs w:val="32"/>
        </w:rPr>
        <w:t>项目名称：基层党组织党建工作经费</w:t>
      </w:r>
    </w:p>
    <w:p>
      <w:pPr>
        <w:adjustRightInd/>
        <w:snapToGrid/>
        <w:spacing w:line="480" w:lineRule="auto"/>
        <w:ind w:left="0" w:leftChars="0" w:firstLine="0" w:firstLineChars="0"/>
        <w:rPr>
          <w:rFonts w:cs="仿宋_GB2312"/>
          <w:szCs w:val="32"/>
        </w:rPr>
      </w:pPr>
      <w:r>
        <w:rPr>
          <w:rFonts w:hint="eastAsia" w:cs="仿宋_GB2312"/>
          <w:szCs w:val="32"/>
        </w:rPr>
        <w:t>主管单位（公章）：中国人民政治协商会议深圳市罗湖区委员会</w:t>
      </w:r>
    </w:p>
    <w:p>
      <w:pPr>
        <w:rPr>
          <w:rFonts w:hint="eastAsia" w:cs="仿宋_GB2312"/>
          <w:szCs w:val="32"/>
          <w:lang w:val="en-US" w:eastAsia="zh-CN"/>
        </w:rPr>
      </w:pPr>
      <w:r>
        <w:rPr>
          <w:rFonts w:hint="eastAsia" w:cs="仿宋_GB2312"/>
          <w:szCs w:val="32"/>
          <w:lang w:val="en-US" w:eastAsia="zh-CN"/>
        </w:rPr>
        <w:br w:type="page"/>
      </w:r>
    </w:p>
    <w:p>
      <w:pPr>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cs="仿宋_GB2312"/>
          <w:szCs w:val="32"/>
          <w:lang w:val="en-US" w:eastAsia="zh-CN"/>
        </w:rPr>
      </w:pPr>
      <w:r>
        <w:rPr>
          <w:rFonts w:hint="eastAsia" w:cs="仿宋_GB2312"/>
          <w:szCs w:val="32"/>
          <w:lang w:val="en-US" w:eastAsia="zh-CN"/>
        </w:rPr>
        <w:t xml:space="preserve"> </w:t>
      </w:r>
    </w:p>
    <w:sdt>
      <w:sdtPr>
        <w:rPr>
          <w:rFonts w:ascii="宋体" w:hAnsi="宋体" w:eastAsia="宋体"/>
          <w:sz w:val="21"/>
        </w:rPr>
        <w:id w:val="147473951"/>
        <w15:color w:val="DBDBDB"/>
        <w:docPartObj>
          <w:docPartGallery w:val="Table of Contents"/>
          <w:docPartUnique/>
        </w:docPartObj>
      </w:sdtPr>
      <w:sdtEndPr>
        <w:rPr>
          <w:rFonts w:hint="eastAsia" w:ascii="仿宋_GB2312" w:hAnsi="仿宋_GB2312" w:eastAsia="仿宋_GB2312" w:cs="仿宋_GB2312"/>
          <w:b/>
          <w:kern w:val="44"/>
          <w:sz w:val="32"/>
        </w:rPr>
      </w:sdtEndPr>
      <w:sdtContent>
        <w:p>
          <w:pPr>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ascii="黑体" w:hAnsi="黑体" w:eastAsia="黑体" w:cs="黑体"/>
              <w:szCs w:val="32"/>
              <w:highlight w:val="none"/>
            </w:rPr>
          </w:pPr>
          <w:r>
            <w:rPr>
              <w:rFonts w:hint="eastAsia" w:ascii="黑体" w:hAnsi="黑体" w:eastAsia="黑体" w:cs="黑体"/>
              <w:szCs w:val="32"/>
              <w:highlight w:val="none"/>
            </w:rPr>
            <w:t>目录</w:t>
          </w:r>
        </w:p>
        <w:p>
          <w:pPr>
            <w:pStyle w:val="13"/>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cs="仿宋_GB2312"/>
              <w:szCs w:val="32"/>
            </w:rPr>
            <w:fldChar w:fldCharType="begin"/>
          </w:r>
          <w:r>
            <w:rPr>
              <w:rFonts w:hint="eastAsia" w:cs="仿宋_GB2312"/>
              <w:szCs w:val="32"/>
            </w:rPr>
            <w:instrText xml:space="preserve">TOC \o "1-2" \h \u </w:instrText>
          </w:r>
          <w:r>
            <w:rPr>
              <w:rFonts w:hint="eastAsia" w:cs="仿宋_GB2312"/>
              <w:szCs w:val="32"/>
            </w:rPr>
            <w:fldChar w:fldCharType="separate"/>
          </w:r>
          <w:r>
            <w:rPr>
              <w:rFonts w:hint="eastAsia" w:cs="仿宋_GB2312"/>
              <w:sz w:val="30"/>
              <w:szCs w:val="30"/>
            </w:rPr>
            <w:fldChar w:fldCharType="begin"/>
          </w:r>
          <w:r>
            <w:rPr>
              <w:rFonts w:hint="eastAsia" w:cs="仿宋_GB2312"/>
              <w:sz w:val="30"/>
              <w:szCs w:val="30"/>
            </w:rPr>
            <w:instrText xml:space="preserve"> HYPERLINK \l _Toc1228387906 </w:instrText>
          </w:r>
          <w:r>
            <w:rPr>
              <w:rFonts w:hint="eastAsia" w:cs="仿宋_GB2312"/>
              <w:sz w:val="30"/>
              <w:szCs w:val="30"/>
            </w:rPr>
            <w:fldChar w:fldCharType="separate"/>
          </w:r>
          <w:r>
            <w:rPr>
              <w:rFonts w:hint="eastAsia"/>
              <w:sz w:val="30"/>
              <w:szCs w:val="30"/>
            </w:rPr>
            <w:t>一、基本情况</w:t>
          </w:r>
          <w:r>
            <w:rPr>
              <w:sz w:val="30"/>
              <w:szCs w:val="30"/>
            </w:rPr>
            <w:tab/>
          </w:r>
          <w:r>
            <w:rPr>
              <w:sz w:val="30"/>
              <w:szCs w:val="30"/>
            </w:rPr>
            <w:fldChar w:fldCharType="begin"/>
          </w:r>
          <w:r>
            <w:rPr>
              <w:sz w:val="30"/>
              <w:szCs w:val="30"/>
            </w:rPr>
            <w:instrText xml:space="preserve"> PAGEREF _Toc1228387906 \h </w:instrText>
          </w:r>
          <w:r>
            <w:rPr>
              <w:sz w:val="30"/>
              <w:szCs w:val="30"/>
            </w:rPr>
            <w:fldChar w:fldCharType="separate"/>
          </w:r>
          <w:r>
            <w:rPr>
              <w:sz w:val="30"/>
              <w:szCs w:val="30"/>
            </w:rPr>
            <w:t>1</w:t>
          </w:r>
          <w:r>
            <w:rPr>
              <w:sz w:val="30"/>
              <w:szCs w:val="30"/>
            </w:rPr>
            <w:fldChar w:fldCharType="end"/>
          </w:r>
          <w:r>
            <w:rPr>
              <w:rFonts w:hint="eastAsia"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_Toc1755237531 </w:instrText>
          </w:r>
          <w:r>
            <w:rPr>
              <w:rFonts w:hint="eastAsia" w:eastAsia="仿宋_GB2312" w:cs="仿宋_GB2312"/>
              <w:sz w:val="30"/>
              <w:szCs w:val="30"/>
            </w:rPr>
            <w:fldChar w:fldCharType="separate"/>
          </w:r>
          <w:r>
            <w:rPr>
              <w:rFonts w:hint="eastAsia"/>
              <w:sz w:val="30"/>
              <w:szCs w:val="30"/>
            </w:rPr>
            <w:t>（一）项目概况</w:t>
          </w:r>
          <w:r>
            <w:rPr>
              <w:sz w:val="30"/>
              <w:szCs w:val="30"/>
            </w:rPr>
            <w:tab/>
          </w:r>
          <w:r>
            <w:rPr>
              <w:sz w:val="30"/>
              <w:szCs w:val="30"/>
            </w:rPr>
            <w:fldChar w:fldCharType="begin"/>
          </w:r>
          <w:r>
            <w:rPr>
              <w:sz w:val="30"/>
              <w:szCs w:val="30"/>
            </w:rPr>
            <w:instrText xml:space="preserve"> PAGEREF _Toc1755237531 \h </w:instrText>
          </w:r>
          <w:r>
            <w:rPr>
              <w:sz w:val="30"/>
              <w:szCs w:val="30"/>
            </w:rPr>
            <w:fldChar w:fldCharType="separate"/>
          </w:r>
          <w:r>
            <w:rPr>
              <w:sz w:val="30"/>
              <w:szCs w:val="30"/>
            </w:rPr>
            <w:t>1</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_Toc294324678 </w:instrText>
          </w:r>
          <w:r>
            <w:rPr>
              <w:rFonts w:hint="eastAsia" w:eastAsia="仿宋_GB2312" w:cs="仿宋_GB2312"/>
              <w:sz w:val="30"/>
              <w:szCs w:val="30"/>
            </w:rPr>
            <w:fldChar w:fldCharType="separate"/>
          </w:r>
          <w:r>
            <w:rPr>
              <w:rFonts w:hint="eastAsia"/>
              <w:sz w:val="30"/>
              <w:szCs w:val="30"/>
              <w:lang w:eastAsia="zh-CN"/>
            </w:rPr>
            <w:t>（</w:t>
          </w:r>
          <w:r>
            <w:rPr>
              <w:rFonts w:hint="eastAsia"/>
              <w:sz w:val="30"/>
              <w:szCs w:val="30"/>
              <w:lang w:val="en-US" w:eastAsia="zh-CN"/>
            </w:rPr>
            <w:t>二）</w:t>
          </w:r>
          <w:r>
            <w:rPr>
              <w:rFonts w:hint="eastAsia"/>
              <w:sz w:val="30"/>
              <w:szCs w:val="30"/>
            </w:rPr>
            <w:t>项目资金管理情况</w:t>
          </w:r>
          <w:r>
            <w:rPr>
              <w:sz w:val="30"/>
              <w:szCs w:val="30"/>
            </w:rPr>
            <w:tab/>
          </w:r>
          <w:r>
            <w:rPr>
              <w:sz w:val="30"/>
              <w:szCs w:val="30"/>
            </w:rPr>
            <w:fldChar w:fldCharType="begin"/>
          </w:r>
          <w:r>
            <w:rPr>
              <w:sz w:val="30"/>
              <w:szCs w:val="30"/>
            </w:rPr>
            <w:instrText xml:space="preserve"> PAGEREF _Toc294324678 \h </w:instrText>
          </w:r>
          <w:r>
            <w:rPr>
              <w:sz w:val="30"/>
              <w:szCs w:val="30"/>
            </w:rPr>
            <w:fldChar w:fldCharType="separate"/>
          </w:r>
          <w:r>
            <w:rPr>
              <w:sz w:val="30"/>
              <w:szCs w:val="30"/>
            </w:rPr>
            <w:t>3</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_Toc1060024105 </w:instrText>
          </w:r>
          <w:r>
            <w:rPr>
              <w:rFonts w:hint="eastAsia" w:eastAsia="仿宋_GB2312" w:cs="仿宋_GB2312"/>
              <w:sz w:val="30"/>
              <w:szCs w:val="30"/>
            </w:rPr>
            <w:fldChar w:fldCharType="separate"/>
          </w:r>
          <w:r>
            <w:rPr>
              <w:rFonts w:hint="eastAsia"/>
              <w:sz w:val="30"/>
              <w:szCs w:val="30"/>
              <w:highlight w:val="none"/>
            </w:rPr>
            <w:t>（</w:t>
          </w:r>
          <w:r>
            <w:rPr>
              <w:rFonts w:hint="eastAsia"/>
              <w:sz w:val="30"/>
              <w:szCs w:val="30"/>
              <w:highlight w:val="none"/>
              <w:lang w:val="en-US" w:eastAsia="zh-CN"/>
            </w:rPr>
            <w:t>三</w:t>
          </w:r>
          <w:r>
            <w:rPr>
              <w:rFonts w:hint="eastAsia"/>
              <w:sz w:val="30"/>
              <w:szCs w:val="30"/>
              <w:highlight w:val="none"/>
            </w:rPr>
            <w:t>）项目绩效目标</w:t>
          </w:r>
          <w:r>
            <w:rPr>
              <w:sz w:val="30"/>
              <w:szCs w:val="30"/>
            </w:rPr>
            <w:tab/>
          </w:r>
          <w:r>
            <w:rPr>
              <w:sz w:val="30"/>
              <w:szCs w:val="30"/>
            </w:rPr>
            <w:fldChar w:fldCharType="begin"/>
          </w:r>
          <w:r>
            <w:rPr>
              <w:sz w:val="30"/>
              <w:szCs w:val="30"/>
            </w:rPr>
            <w:instrText xml:space="preserve"> PAGEREF _Toc1060024105 \h </w:instrText>
          </w:r>
          <w:r>
            <w:rPr>
              <w:sz w:val="30"/>
              <w:szCs w:val="30"/>
            </w:rPr>
            <w:fldChar w:fldCharType="separate"/>
          </w:r>
          <w:r>
            <w:rPr>
              <w:sz w:val="30"/>
              <w:szCs w:val="30"/>
            </w:rPr>
            <w:t>4</w:t>
          </w:r>
          <w:r>
            <w:rPr>
              <w:sz w:val="30"/>
              <w:szCs w:val="30"/>
            </w:rPr>
            <w:fldChar w:fldCharType="end"/>
          </w:r>
          <w:r>
            <w:rPr>
              <w:rFonts w:hint="eastAsia" w:eastAsia="仿宋_GB2312" w:cs="仿宋_GB2312"/>
              <w:sz w:val="30"/>
              <w:szCs w:val="30"/>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_Toc300797223 </w:instrText>
          </w:r>
          <w:r>
            <w:rPr>
              <w:rFonts w:hint="eastAsia" w:eastAsia="仿宋_GB2312" w:cs="仿宋_GB2312"/>
              <w:sz w:val="30"/>
              <w:szCs w:val="30"/>
            </w:rPr>
            <w:fldChar w:fldCharType="separate"/>
          </w:r>
          <w:r>
            <w:rPr>
              <w:rFonts w:hint="eastAsia" w:cs="Times New Roman"/>
              <w:sz w:val="30"/>
              <w:szCs w:val="30"/>
            </w:rPr>
            <w:t>二、绩效评价工作开展情况</w:t>
          </w:r>
          <w:r>
            <w:rPr>
              <w:sz w:val="30"/>
              <w:szCs w:val="30"/>
            </w:rPr>
            <w:tab/>
          </w:r>
          <w:r>
            <w:rPr>
              <w:sz w:val="30"/>
              <w:szCs w:val="30"/>
            </w:rPr>
            <w:fldChar w:fldCharType="begin"/>
          </w:r>
          <w:r>
            <w:rPr>
              <w:sz w:val="30"/>
              <w:szCs w:val="30"/>
            </w:rPr>
            <w:instrText xml:space="preserve"> PAGEREF _Toc300797223 \h </w:instrText>
          </w:r>
          <w:r>
            <w:rPr>
              <w:sz w:val="30"/>
              <w:szCs w:val="30"/>
            </w:rPr>
            <w:fldChar w:fldCharType="separate"/>
          </w:r>
          <w:r>
            <w:rPr>
              <w:sz w:val="30"/>
              <w:szCs w:val="30"/>
            </w:rPr>
            <w:t>5</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_Toc322421923 </w:instrText>
          </w:r>
          <w:r>
            <w:rPr>
              <w:rFonts w:hint="eastAsia" w:eastAsia="仿宋_GB2312" w:cs="仿宋_GB2312"/>
              <w:sz w:val="30"/>
              <w:szCs w:val="30"/>
            </w:rPr>
            <w:fldChar w:fldCharType="separate"/>
          </w:r>
          <w:r>
            <w:rPr>
              <w:rFonts w:hint="eastAsia" w:cs="Times New Roman"/>
              <w:sz w:val="30"/>
              <w:szCs w:val="30"/>
              <w:highlight w:val="none"/>
              <w:lang w:eastAsia="zh-Hans"/>
            </w:rPr>
            <w:t>（一）绩效评价目的、对象和范围</w:t>
          </w:r>
          <w:r>
            <w:rPr>
              <w:sz w:val="30"/>
              <w:szCs w:val="30"/>
            </w:rPr>
            <w:tab/>
          </w:r>
          <w:r>
            <w:rPr>
              <w:sz w:val="30"/>
              <w:szCs w:val="30"/>
            </w:rPr>
            <w:fldChar w:fldCharType="begin"/>
          </w:r>
          <w:r>
            <w:rPr>
              <w:sz w:val="30"/>
              <w:szCs w:val="30"/>
            </w:rPr>
            <w:instrText xml:space="preserve"> PAGEREF _Toc322421923 \h </w:instrText>
          </w:r>
          <w:r>
            <w:rPr>
              <w:sz w:val="30"/>
              <w:szCs w:val="30"/>
            </w:rPr>
            <w:fldChar w:fldCharType="separate"/>
          </w:r>
          <w:r>
            <w:rPr>
              <w:sz w:val="30"/>
              <w:szCs w:val="30"/>
            </w:rPr>
            <w:t>5</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_Toc844018480 </w:instrText>
          </w:r>
          <w:r>
            <w:rPr>
              <w:rFonts w:hint="eastAsia" w:eastAsia="仿宋_GB2312" w:cs="仿宋_GB2312"/>
              <w:sz w:val="30"/>
              <w:szCs w:val="30"/>
            </w:rPr>
            <w:fldChar w:fldCharType="separate"/>
          </w:r>
          <w:r>
            <w:rPr>
              <w:rFonts w:hint="eastAsia" w:cs="Times New Roman"/>
              <w:sz w:val="30"/>
              <w:szCs w:val="30"/>
              <w:highlight w:val="none"/>
              <w:lang w:eastAsia="zh-Hans"/>
            </w:rPr>
            <w:t>（二）绩效评价原则、评价方法、评价标准</w:t>
          </w:r>
          <w:r>
            <w:rPr>
              <w:sz w:val="30"/>
              <w:szCs w:val="30"/>
            </w:rPr>
            <w:tab/>
          </w:r>
          <w:r>
            <w:rPr>
              <w:sz w:val="30"/>
              <w:szCs w:val="30"/>
            </w:rPr>
            <w:fldChar w:fldCharType="begin"/>
          </w:r>
          <w:r>
            <w:rPr>
              <w:sz w:val="30"/>
              <w:szCs w:val="30"/>
            </w:rPr>
            <w:instrText xml:space="preserve"> PAGEREF _Toc844018480 \h </w:instrText>
          </w:r>
          <w:r>
            <w:rPr>
              <w:sz w:val="30"/>
              <w:szCs w:val="30"/>
            </w:rPr>
            <w:fldChar w:fldCharType="separate"/>
          </w:r>
          <w:r>
            <w:rPr>
              <w:sz w:val="30"/>
              <w:szCs w:val="30"/>
            </w:rPr>
            <w:t>6</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_Toc1289104925 </w:instrText>
          </w:r>
          <w:r>
            <w:rPr>
              <w:rFonts w:hint="eastAsia" w:eastAsia="仿宋_GB2312" w:cs="仿宋_GB2312"/>
              <w:sz w:val="30"/>
              <w:szCs w:val="30"/>
            </w:rPr>
            <w:fldChar w:fldCharType="separate"/>
          </w:r>
          <w:r>
            <w:rPr>
              <w:rFonts w:hint="eastAsia" w:cs="Times New Roman"/>
              <w:sz w:val="30"/>
              <w:szCs w:val="30"/>
              <w:highlight w:val="none"/>
              <w:lang w:eastAsia="zh-Hans"/>
            </w:rPr>
            <w:t>（三）绩效评价工作过程</w:t>
          </w:r>
          <w:r>
            <w:rPr>
              <w:sz w:val="30"/>
              <w:szCs w:val="30"/>
            </w:rPr>
            <w:tab/>
          </w:r>
          <w:r>
            <w:rPr>
              <w:sz w:val="30"/>
              <w:szCs w:val="30"/>
            </w:rPr>
            <w:fldChar w:fldCharType="begin"/>
          </w:r>
          <w:r>
            <w:rPr>
              <w:sz w:val="30"/>
              <w:szCs w:val="30"/>
            </w:rPr>
            <w:instrText xml:space="preserve"> PAGEREF _Toc1289104925 \h </w:instrText>
          </w:r>
          <w:r>
            <w:rPr>
              <w:sz w:val="30"/>
              <w:szCs w:val="30"/>
            </w:rPr>
            <w:fldChar w:fldCharType="separate"/>
          </w:r>
          <w:r>
            <w:rPr>
              <w:sz w:val="30"/>
              <w:szCs w:val="30"/>
            </w:rPr>
            <w:t>8</w:t>
          </w:r>
          <w:r>
            <w:rPr>
              <w:sz w:val="30"/>
              <w:szCs w:val="30"/>
            </w:rPr>
            <w:fldChar w:fldCharType="end"/>
          </w:r>
          <w:r>
            <w:rPr>
              <w:rFonts w:hint="eastAsia" w:eastAsia="仿宋_GB2312" w:cs="仿宋_GB2312"/>
              <w:sz w:val="30"/>
              <w:szCs w:val="30"/>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_Toc23959892 </w:instrText>
          </w:r>
          <w:r>
            <w:rPr>
              <w:rFonts w:hint="eastAsia" w:eastAsia="仿宋_GB2312" w:cs="仿宋_GB2312"/>
              <w:sz w:val="30"/>
              <w:szCs w:val="30"/>
            </w:rPr>
            <w:fldChar w:fldCharType="separate"/>
          </w:r>
          <w:r>
            <w:rPr>
              <w:rFonts w:hint="eastAsia"/>
              <w:sz w:val="30"/>
              <w:szCs w:val="30"/>
              <w:lang w:val="en-US" w:eastAsia="zh-CN"/>
            </w:rPr>
            <w:t>三</w:t>
          </w:r>
          <w:r>
            <w:rPr>
              <w:rFonts w:hint="eastAsia"/>
              <w:sz w:val="30"/>
              <w:szCs w:val="30"/>
            </w:rPr>
            <w:t>、综合评价情况及评价结论</w:t>
          </w:r>
          <w:r>
            <w:rPr>
              <w:sz w:val="30"/>
              <w:szCs w:val="30"/>
            </w:rPr>
            <w:tab/>
          </w:r>
          <w:r>
            <w:rPr>
              <w:sz w:val="30"/>
              <w:szCs w:val="30"/>
            </w:rPr>
            <w:fldChar w:fldCharType="begin"/>
          </w:r>
          <w:r>
            <w:rPr>
              <w:sz w:val="30"/>
              <w:szCs w:val="30"/>
            </w:rPr>
            <w:instrText xml:space="preserve"> PAGEREF _Toc23959892 \h </w:instrText>
          </w:r>
          <w:r>
            <w:rPr>
              <w:sz w:val="30"/>
              <w:szCs w:val="30"/>
            </w:rPr>
            <w:fldChar w:fldCharType="separate"/>
          </w:r>
          <w:r>
            <w:rPr>
              <w:sz w:val="30"/>
              <w:szCs w:val="30"/>
            </w:rPr>
            <w:t>8</w:t>
          </w:r>
          <w:r>
            <w:rPr>
              <w:sz w:val="30"/>
              <w:szCs w:val="30"/>
            </w:rPr>
            <w:fldChar w:fldCharType="end"/>
          </w:r>
          <w:r>
            <w:rPr>
              <w:rFonts w:hint="eastAsia" w:eastAsia="仿宋_GB2312" w:cs="仿宋_GB2312"/>
              <w:sz w:val="30"/>
              <w:szCs w:val="30"/>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_Toc1114462855 </w:instrText>
          </w:r>
          <w:r>
            <w:rPr>
              <w:rFonts w:hint="eastAsia" w:eastAsia="仿宋_GB2312" w:cs="仿宋_GB2312"/>
              <w:sz w:val="30"/>
              <w:szCs w:val="30"/>
            </w:rPr>
            <w:fldChar w:fldCharType="separate"/>
          </w:r>
          <w:r>
            <w:rPr>
              <w:rFonts w:hint="eastAsia"/>
              <w:sz w:val="30"/>
              <w:szCs w:val="30"/>
              <w:lang w:val="en-US" w:eastAsia="zh-CN"/>
            </w:rPr>
            <w:t>四</w:t>
          </w:r>
          <w:r>
            <w:rPr>
              <w:rFonts w:hint="eastAsia"/>
              <w:sz w:val="30"/>
              <w:szCs w:val="30"/>
            </w:rPr>
            <w:t>、绩效评价指标分析</w:t>
          </w:r>
          <w:r>
            <w:rPr>
              <w:sz w:val="30"/>
              <w:szCs w:val="30"/>
            </w:rPr>
            <w:tab/>
          </w:r>
          <w:r>
            <w:rPr>
              <w:sz w:val="30"/>
              <w:szCs w:val="30"/>
            </w:rPr>
            <w:fldChar w:fldCharType="begin"/>
          </w:r>
          <w:r>
            <w:rPr>
              <w:sz w:val="30"/>
              <w:szCs w:val="30"/>
            </w:rPr>
            <w:instrText xml:space="preserve"> PAGEREF _Toc1114462855 \h </w:instrText>
          </w:r>
          <w:r>
            <w:rPr>
              <w:sz w:val="30"/>
              <w:szCs w:val="30"/>
            </w:rPr>
            <w:fldChar w:fldCharType="separate"/>
          </w:r>
          <w:r>
            <w:rPr>
              <w:sz w:val="30"/>
              <w:szCs w:val="30"/>
            </w:rPr>
            <w:t>10</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_Toc424834851 </w:instrText>
          </w:r>
          <w:r>
            <w:rPr>
              <w:rFonts w:hint="eastAsia" w:eastAsia="仿宋_GB2312" w:cs="仿宋_GB2312"/>
              <w:sz w:val="30"/>
              <w:szCs w:val="30"/>
            </w:rPr>
            <w:fldChar w:fldCharType="separate"/>
          </w:r>
          <w:r>
            <w:rPr>
              <w:rFonts w:hint="eastAsia"/>
              <w:sz w:val="30"/>
              <w:szCs w:val="30"/>
            </w:rPr>
            <w:t>（一）项目决策情况</w:t>
          </w:r>
          <w:r>
            <w:rPr>
              <w:sz w:val="30"/>
              <w:szCs w:val="30"/>
            </w:rPr>
            <w:tab/>
          </w:r>
          <w:r>
            <w:rPr>
              <w:sz w:val="30"/>
              <w:szCs w:val="30"/>
            </w:rPr>
            <w:fldChar w:fldCharType="begin"/>
          </w:r>
          <w:r>
            <w:rPr>
              <w:sz w:val="30"/>
              <w:szCs w:val="30"/>
            </w:rPr>
            <w:instrText xml:space="preserve"> PAGEREF _Toc424834851 \h </w:instrText>
          </w:r>
          <w:r>
            <w:rPr>
              <w:sz w:val="30"/>
              <w:szCs w:val="30"/>
            </w:rPr>
            <w:fldChar w:fldCharType="separate"/>
          </w:r>
          <w:r>
            <w:rPr>
              <w:sz w:val="30"/>
              <w:szCs w:val="30"/>
            </w:rPr>
            <w:t>10</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_Toc1963698129 </w:instrText>
          </w:r>
          <w:r>
            <w:rPr>
              <w:rFonts w:hint="eastAsia" w:eastAsia="仿宋_GB2312" w:cs="仿宋_GB2312"/>
              <w:sz w:val="30"/>
              <w:szCs w:val="30"/>
            </w:rPr>
            <w:fldChar w:fldCharType="separate"/>
          </w:r>
          <w:r>
            <w:rPr>
              <w:rFonts w:hint="eastAsia"/>
              <w:sz w:val="30"/>
              <w:szCs w:val="30"/>
            </w:rPr>
            <w:t>（二）项目过程情况</w:t>
          </w:r>
          <w:r>
            <w:rPr>
              <w:sz w:val="30"/>
              <w:szCs w:val="30"/>
            </w:rPr>
            <w:tab/>
          </w:r>
          <w:r>
            <w:rPr>
              <w:sz w:val="30"/>
              <w:szCs w:val="30"/>
            </w:rPr>
            <w:fldChar w:fldCharType="begin"/>
          </w:r>
          <w:r>
            <w:rPr>
              <w:sz w:val="30"/>
              <w:szCs w:val="30"/>
            </w:rPr>
            <w:instrText xml:space="preserve"> PAGEREF _Toc1963698129 \h </w:instrText>
          </w:r>
          <w:r>
            <w:rPr>
              <w:sz w:val="30"/>
              <w:szCs w:val="30"/>
            </w:rPr>
            <w:fldChar w:fldCharType="separate"/>
          </w:r>
          <w:r>
            <w:rPr>
              <w:sz w:val="30"/>
              <w:szCs w:val="30"/>
            </w:rPr>
            <w:t>12</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_Toc1345767007 </w:instrText>
          </w:r>
          <w:r>
            <w:rPr>
              <w:rFonts w:hint="eastAsia" w:eastAsia="仿宋_GB2312" w:cs="仿宋_GB2312"/>
              <w:sz w:val="30"/>
              <w:szCs w:val="30"/>
            </w:rPr>
            <w:fldChar w:fldCharType="separate"/>
          </w:r>
          <w:r>
            <w:rPr>
              <w:rFonts w:hint="eastAsia"/>
              <w:sz w:val="30"/>
              <w:szCs w:val="30"/>
              <w:highlight w:val="none"/>
            </w:rPr>
            <w:t>（三）项目产出情况</w:t>
          </w:r>
          <w:r>
            <w:rPr>
              <w:sz w:val="30"/>
              <w:szCs w:val="30"/>
            </w:rPr>
            <w:tab/>
          </w:r>
          <w:r>
            <w:rPr>
              <w:sz w:val="30"/>
              <w:szCs w:val="30"/>
            </w:rPr>
            <w:fldChar w:fldCharType="begin"/>
          </w:r>
          <w:r>
            <w:rPr>
              <w:sz w:val="30"/>
              <w:szCs w:val="30"/>
            </w:rPr>
            <w:instrText xml:space="preserve"> PAGEREF _Toc1345767007 \h </w:instrText>
          </w:r>
          <w:r>
            <w:rPr>
              <w:sz w:val="30"/>
              <w:szCs w:val="30"/>
            </w:rPr>
            <w:fldChar w:fldCharType="separate"/>
          </w:r>
          <w:r>
            <w:rPr>
              <w:sz w:val="30"/>
              <w:szCs w:val="30"/>
            </w:rPr>
            <w:t>15</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_Toc1008316445 </w:instrText>
          </w:r>
          <w:r>
            <w:rPr>
              <w:rFonts w:hint="eastAsia" w:eastAsia="仿宋_GB2312" w:cs="仿宋_GB2312"/>
              <w:sz w:val="30"/>
              <w:szCs w:val="30"/>
            </w:rPr>
            <w:fldChar w:fldCharType="separate"/>
          </w:r>
          <w:r>
            <w:rPr>
              <w:rFonts w:hint="eastAsia"/>
              <w:sz w:val="30"/>
              <w:szCs w:val="30"/>
              <w:highlight w:val="none"/>
            </w:rPr>
            <w:t>（四）项目效益情况</w:t>
          </w:r>
          <w:r>
            <w:rPr>
              <w:sz w:val="30"/>
              <w:szCs w:val="30"/>
            </w:rPr>
            <w:tab/>
          </w:r>
          <w:r>
            <w:rPr>
              <w:sz w:val="30"/>
              <w:szCs w:val="30"/>
            </w:rPr>
            <w:fldChar w:fldCharType="begin"/>
          </w:r>
          <w:r>
            <w:rPr>
              <w:sz w:val="30"/>
              <w:szCs w:val="30"/>
            </w:rPr>
            <w:instrText xml:space="preserve"> PAGEREF _Toc1008316445 \h </w:instrText>
          </w:r>
          <w:r>
            <w:rPr>
              <w:sz w:val="30"/>
              <w:szCs w:val="30"/>
            </w:rPr>
            <w:fldChar w:fldCharType="separate"/>
          </w:r>
          <w:r>
            <w:rPr>
              <w:sz w:val="30"/>
              <w:szCs w:val="30"/>
            </w:rPr>
            <w:t>16</w:t>
          </w:r>
          <w:r>
            <w:rPr>
              <w:sz w:val="30"/>
              <w:szCs w:val="30"/>
            </w:rPr>
            <w:fldChar w:fldCharType="end"/>
          </w:r>
          <w:r>
            <w:rPr>
              <w:rFonts w:hint="eastAsia" w:eastAsia="仿宋_GB2312" w:cs="仿宋_GB2312"/>
              <w:sz w:val="30"/>
              <w:szCs w:val="30"/>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_Toc981032638 </w:instrText>
          </w:r>
          <w:r>
            <w:rPr>
              <w:rFonts w:hint="eastAsia" w:eastAsia="仿宋_GB2312" w:cs="仿宋_GB2312"/>
              <w:sz w:val="30"/>
              <w:szCs w:val="30"/>
            </w:rPr>
            <w:fldChar w:fldCharType="separate"/>
          </w:r>
          <w:r>
            <w:rPr>
              <w:rFonts w:hint="eastAsia"/>
              <w:sz w:val="30"/>
              <w:szCs w:val="30"/>
              <w:highlight w:val="none"/>
            </w:rPr>
            <w:t>五、主要经验及做法</w:t>
          </w:r>
          <w:r>
            <w:rPr>
              <w:sz w:val="30"/>
              <w:szCs w:val="30"/>
            </w:rPr>
            <w:tab/>
          </w:r>
          <w:r>
            <w:rPr>
              <w:sz w:val="30"/>
              <w:szCs w:val="30"/>
            </w:rPr>
            <w:fldChar w:fldCharType="begin"/>
          </w:r>
          <w:r>
            <w:rPr>
              <w:sz w:val="30"/>
              <w:szCs w:val="30"/>
            </w:rPr>
            <w:instrText xml:space="preserve"> PAGEREF _Toc981032638 \h </w:instrText>
          </w:r>
          <w:r>
            <w:rPr>
              <w:sz w:val="30"/>
              <w:szCs w:val="30"/>
            </w:rPr>
            <w:fldChar w:fldCharType="separate"/>
          </w:r>
          <w:r>
            <w:rPr>
              <w:sz w:val="30"/>
              <w:szCs w:val="30"/>
            </w:rPr>
            <w:t>18</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_Toc1983588847 </w:instrText>
          </w:r>
          <w:r>
            <w:rPr>
              <w:rFonts w:hint="eastAsia" w:eastAsia="仿宋_GB2312" w:cs="仿宋_GB2312"/>
              <w:sz w:val="30"/>
              <w:szCs w:val="30"/>
            </w:rPr>
            <w:fldChar w:fldCharType="separate"/>
          </w:r>
          <w:r>
            <w:rPr>
              <w:rFonts w:hint="eastAsia"/>
              <w:sz w:val="30"/>
              <w:szCs w:val="30"/>
            </w:rPr>
            <w:t>（一）突出政治学习</w:t>
          </w:r>
          <w:r>
            <w:rPr>
              <w:sz w:val="30"/>
              <w:szCs w:val="30"/>
            </w:rPr>
            <w:tab/>
          </w:r>
          <w:r>
            <w:rPr>
              <w:sz w:val="30"/>
              <w:szCs w:val="30"/>
            </w:rPr>
            <w:fldChar w:fldCharType="begin"/>
          </w:r>
          <w:r>
            <w:rPr>
              <w:sz w:val="30"/>
              <w:szCs w:val="30"/>
            </w:rPr>
            <w:instrText xml:space="preserve"> PAGEREF _Toc1983588847 \h </w:instrText>
          </w:r>
          <w:r>
            <w:rPr>
              <w:sz w:val="30"/>
              <w:szCs w:val="30"/>
            </w:rPr>
            <w:fldChar w:fldCharType="separate"/>
          </w:r>
          <w:r>
            <w:rPr>
              <w:sz w:val="30"/>
              <w:szCs w:val="30"/>
            </w:rPr>
            <w:t>18</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_Toc641615501 </w:instrText>
          </w:r>
          <w:r>
            <w:rPr>
              <w:rFonts w:hint="eastAsia" w:eastAsia="仿宋_GB2312" w:cs="仿宋_GB2312"/>
              <w:sz w:val="30"/>
              <w:szCs w:val="30"/>
            </w:rPr>
            <w:fldChar w:fldCharType="separate"/>
          </w:r>
          <w:r>
            <w:rPr>
              <w:rFonts w:hint="eastAsia"/>
              <w:sz w:val="30"/>
              <w:szCs w:val="30"/>
            </w:rPr>
            <w:t>（二）突出党建引领</w:t>
          </w:r>
          <w:r>
            <w:rPr>
              <w:sz w:val="30"/>
              <w:szCs w:val="30"/>
            </w:rPr>
            <w:tab/>
          </w:r>
          <w:r>
            <w:rPr>
              <w:sz w:val="30"/>
              <w:szCs w:val="30"/>
            </w:rPr>
            <w:fldChar w:fldCharType="begin"/>
          </w:r>
          <w:r>
            <w:rPr>
              <w:sz w:val="30"/>
              <w:szCs w:val="30"/>
            </w:rPr>
            <w:instrText xml:space="preserve"> PAGEREF _Toc641615501 \h </w:instrText>
          </w:r>
          <w:r>
            <w:rPr>
              <w:sz w:val="30"/>
              <w:szCs w:val="30"/>
            </w:rPr>
            <w:fldChar w:fldCharType="separate"/>
          </w:r>
          <w:r>
            <w:rPr>
              <w:sz w:val="30"/>
              <w:szCs w:val="30"/>
            </w:rPr>
            <w:t>19</w:t>
          </w:r>
          <w:r>
            <w:rPr>
              <w:sz w:val="30"/>
              <w:szCs w:val="30"/>
            </w:rPr>
            <w:fldChar w:fldCharType="end"/>
          </w:r>
          <w:r>
            <w:rPr>
              <w:rFonts w:hint="eastAsia" w:eastAsia="仿宋_GB2312" w:cs="仿宋_GB2312"/>
              <w:sz w:val="30"/>
              <w:szCs w:val="30"/>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_Toc1116333720 </w:instrText>
          </w:r>
          <w:r>
            <w:rPr>
              <w:rFonts w:hint="eastAsia" w:eastAsia="仿宋_GB2312" w:cs="仿宋_GB2312"/>
              <w:sz w:val="30"/>
              <w:szCs w:val="30"/>
            </w:rPr>
            <w:fldChar w:fldCharType="separate"/>
          </w:r>
          <w:r>
            <w:rPr>
              <w:rFonts w:hint="eastAsia"/>
              <w:sz w:val="30"/>
              <w:szCs w:val="30"/>
            </w:rPr>
            <w:t>六、存在问题</w:t>
          </w:r>
          <w:r>
            <w:rPr>
              <w:sz w:val="30"/>
              <w:szCs w:val="30"/>
            </w:rPr>
            <w:tab/>
          </w:r>
          <w:r>
            <w:rPr>
              <w:sz w:val="30"/>
              <w:szCs w:val="30"/>
            </w:rPr>
            <w:fldChar w:fldCharType="begin"/>
          </w:r>
          <w:r>
            <w:rPr>
              <w:sz w:val="30"/>
              <w:szCs w:val="30"/>
            </w:rPr>
            <w:instrText xml:space="preserve"> PAGEREF _Toc1116333720 \h </w:instrText>
          </w:r>
          <w:r>
            <w:rPr>
              <w:sz w:val="30"/>
              <w:szCs w:val="30"/>
            </w:rPr>
            <w:fldChar w:fldCharType="separate"/>
          </w:r>
          <w:r>
            <w:rPr>
              <w:sz w:val="30"/>
              <w:szCs w:val="30"/>
            </w:rPr>
            <w:t>19</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_Toc1803691848 </w:instrText>
          </w:r>
          <w:r>
            <w:rPr>
              <w:rFonts w:hint="eastAsia" w:eastAsia="仿宋_GB2312" w:cs="仿宋_GB2312"/>
              <w:sz w:val="30"/>
              <w:szCs w:val="30"/>
            </w:rPr>
            <w:fldChar w:fldCharType="separate"/>
          </w:r>
          <w:r>
            <w:rPr>
              <w:rFonts w:hint="eastAsia"/>
              <w:bCs/>
              <w:sz w:val="30"/>
              <w:szCs w:val="30"/>
            </w:rPr>
            <w:t>（一）绩效指标设置不</w:t>
          </w:r>
          <w:r>
            <w:rPr>
              <w:rFonts w:hint="eastAsia"/>
              <w:bCs/>
              <w:sz w:val="30"/>
              <w:szCs w:val="30"/>
              <w:lang w:val="en-US" w:eastAsia="zh-CN"/>
            </w:rPr>
            <w:t>规范</w:t>
          </w:r>
          <w:r>
            <w:rPr>
              <w:sz w:val="30"/>
              <w:szCs w:val="30"/>
            </w:rPr>
            <w:tab/>
          </w:r>
          <w:r>
            <w:rPr>
              <w:sz w:val="30"/>
              <w:szCs w:val="30"/>
            </w:rPr>
            <w:fldChar w:fldCharType="begin"/>
          </w:r>
          <w:r>
            <w:rPr>
              <w:sz w:val="30"/>
              <w:szCs w:val="30"/>
            </w:rPr>
            <w:instrText xml:space="preserve"> PAGEREF _Toc1803691848 \h </w:instrText>
          </w:r>
          <w:r>
            <w:rPr>
              <w:sz w:val="30"/>
              <w:szCs w:val="30"/>
            </w:rPr>
            <w:fldChar w:fldCharType="separate"/>
          </w:r>
          <w:r>
            <w:rPr>
              <w:sz w:val="30"/>
              <w:szCs w:val="30"/>
            </w:rPr>
            <w:t>19</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_Toc769728284 </w:instrText>
          </w:r>
          <w:r>
            <w:rPr>
              <w:rFonts w:hint="eastAsia" w:eastAsia="仿宋_GB2312" w:cs="仿宋_GB2312"/>
              <w:sz w:val="30"/>
              <w:szCs w:val="30"/>
            </w:rPr>
            <w:fldChar w:fldCharType="separate"/>
          </w:r>
          <w:r>
            <w:rPr>
              <w:rFonts w:hint="eastAsia"/>
              <w:bCs/>
              <w:sz w:val="30"/>
              <w:szCs w:val="30"/>
            </w:rPr>
            <w:t>（二）资金未全额支出</w:t>
          </w:r>
          <w:r>
            <w:rPr>
              <w:sz w:val="30"/>
              <w:szCs w:val="30"/>
            </w:rPr>
            <w:tab/>
          </w:r>
          <w:r>
            <w:rPr>
              <w:sz w:val="30"/>
              <w:szCs w:val="30"/>
            </w:rPr>
            <w:fldChar w:fldCharType="begin"/>
          </w:r>
          <w:r>
            <w:rPr>
              <w:sz w:val="30"/>
              <w:szCs w:val="30"/>
            </w:rPr>
            <w:instrText xml:space="preserve"> PAGEREF _Toc769728284 \h </w:instrText>
          </w:r>
          <w:r>
            <w:rPr>
              <w:sz w:val="30"/>
              <w:szCs w:val="30"/>
            </w:rPr>
            <w:fldChar w:fldCharType="separate"/>
          </w:r>
          <w:r>
            <w:rPr>
              <w:sz w:val="30"/>
              <w:szCs w:val="30"/>
            </w:rPr>
            <w:t>19</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_Toc381779660 </w:instrText>
          </w:r>
          <w:r>
            <w:rPr>
              <w:rFonts w:hint="eastAsia" w:eastAsia="仿宋_GB2312" w:cs="仿宋_GB2312"/>
              <w:sz w:val="30"/>
              <w:szCs w:val="30"/>
            </w:rPr>
            <w:fldChar w:fldCharType="separate"/>
          </w:r>
          <w:r>
            <w:rPr>
              <w:rFonts w:hint="eastAsia"/>
              <w:bCs/>
              <w:sz w:val="30"/>
              <w:szCs w:val="30"/>
            </w:rPr>
            <w:t>（三）主题党日活动思路</w:t>
          </w:r>
          <w:r>
            <w:rPr>
              <w:rFonts w:hint="eastAsia"/>
              <w:bCs/>
              <w:sz w:val="30"/>
              <w:szCs w:val="30"/>
              <w:lang w:val="en-US" w:eastAsia="zh-CN"/>
            </w:rPr>
            <w:t>还</w:t>
          </w:r>
          <w:r>
            <w:rPr>
              <w:rFonts w:hint="eastAsia"/>
              <w:bCs/>
              <w:sz w:val="30"/>
              <w:szCs w:val="30"/>
            </w:rPr>
            <w:t>不够创新</w:t>
          </w:r>
          <w:r>
            <w:rPr>
              <w:sz w:val="30"/>
              <w:szCs w:val="30"/>
            </w:rPr>
            <w:tab/>
          </w:r>
          <w:r>
            <w:rPr>
              <w:sz w:val="30"/>
              <w:szCs w:val="30"/>
            </w:rPr>
            <w:fldChar w:fldCharType="begin"/>
          </w:r>
          <w:r>
            <w:rPr>
              <w:sz w:val="30"/>
              <w:szCs w:val="30"/>
            </w:rPr>
            <w:instrText xml:space="preserve"> PAGEREF _Toc381779660 \h </w:instrText>
          </w:r>
          <w:r>
            <w:rPr>
              <w:sz w:val="30"/>
              <w:szCs w:val="30"/>
            </w:rPr>
            <w:fldChar w:fldCharType="separate"/>
          </w:r>
          <w:r>
            <w:rPr>
              <w:sz w:val="30"/>
              <w:szCs w:val="30"/>
            </w:rPr>
            <w:t>19</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_Toc2037092031 </w:instrText>
          </w:r>
          <w:r>
            <w:rPr>
              <w:rFonts w:hint="eastAsia" w:eastAsia="仿宋_GB2312" w:cs="仿宋_GB2312"/>
              <w:sz w:val="30"/>
              <w:szCs w:val="30"/>
            </w:rPr>
            <w:fldChar w:fldCharType="separate"/>
          </w:r>
          <w:r>
            <w:rPr>
              <w:rFonts w:hint="eastAsia"/>
              <w:bCs/>
              <w:sz w:val="30"/>
              <w:szCs w:val="30"/>
            </w:rPr>
            <w:t>（四）党建工作机制还需进一步完善</w:t>
          </w:r>
          <w:r>
            <w:rPr>
              <w:sz w:val="30"/>
              <w:szCs w:val="30"/>
            </w:rPr>
            <w:tab/>
          </w:r>
          <w:r>
            <w:rPr>
              <w:sz w:val="30"/>
              <w:szCs w:val="30"/>
            </w:rPr>
            <w:fldChar w:fldCharType="begin"/>
          </w:r>
          <w:r>
            <w:rPr>
              <w:sz w:val="30"/>
              <w:szCs w:val="30"/>
            </w:rPr>
            <w:instrText xml:space="preserve"> PAGEREF _Toc2037092031 \h </w:instrText>
          </w:r>
          <w:r>
            <w:rPr>
              <w:sz w:val="30"/>
              <w:szCs w:val="30"/>
            </w:rPr>
            <w:fldChar w:fldCharType="separate"/>
          </w:r>
          <w:r>
            <w:rPr>
              <w:sz w:val="30"/>
              <w:szCs w:val="30"/>
            </w:rPr>
            <w:t>20</w:t>
          </w:r>
          <w:r>
            <w:rPr>
              <w:sz w:val="30"/>
              <w:szCs w:val="30"/>
            </w:rPr>
            <w:fldChar w:fldCharType="end"/>
          </w:r>
          <w:r>
            <w:rPr>
              <w:rFonts w:hint="eastAsia" w:eastAsia="仿宋_GB2312" w:cs="仿宋_GB2312"/>
              <w:sz w:val="30"/>
              <w:szCs w:val="30"/>
            </w:rPr>
            <w:fldChar w:fldCharType="end"/>
          </w:r>
        </w:p>
        <w:p>
          <w:pPr>
            <w:pStyle w:val="13"/>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_Toc73980896 </w:instrText>
          </w:r>
          <w:r>
            <w:rPr>
              <w:rFonts w:hint="eastAsia" w:eastAsia="仿宋_GB2312" w:cs="仿宋_GB2312"/>
              <w:sz w:val="30"/>
              <w:szCs w:val="30"/>
            </w:rPr>
            <w:fldChar w:fldCharType="separate"/>
          </w:r>
          <w:r>
            <w:rPr>
              <w:rFonts w:hint="eastAsia"/>
              <w:sz w:val="30"/>
              <w:szCs w:val="30"/>
              <w:lang w:val="en-US" w:eastAsia="zh-CN"/>
            </w:rPr>
            <w:t>七</w:t>
          </w:r>
          <w:r>
            <w:rPr>
              <w:rFonts w:hint="eastAsia"/>
              <w:sz w:val="30"/>
              <w:szCs w:val="30"/>
            </w:rPr>
            <w:t>、</w:t>
          </w:r>
          <w:r>
            <w:rPr>
              <w:rFonts w:hint="eastAsia"/>
              <w:sz w:val="30"/>
              <w:szCs w:val="30"/>
              <w:lang w:val="en-US" w:eastAsia="zh-CN"/>
            </w:rPr>
            <w:t>改进措施</w:t>
          </w:r>
          <w:r>
            <w:rPr>
              <w:sz w:val="30"/>
              <w:szCs w:val="30"/>
            </w:rPr>
            <w:tab/>
          </w:r>
          <w:r>
            <w:rPr>
              <w:sz w:val="30"/>
              <w:szCs w:val="30"/>
            </w:rPr>
            <w:fldChar w:fldCharType="begin"/>
          </w:r>
          <w:r>
            <w:rPr>
              <w:sz w:val="30"/>
              <w:szCs w:val="30"/>
            </w:rPr>
            <w:instrText xml:space="preserve"> PAGEREF _Toc73980896 \h </w:instrText>
          </w:r>
          <w:r>
            <w:rPr>
              <w:sz w:val="30"/>
              <w:szCs w:val="30"/>
            </w:rPr>
            <w:fldChar w:fldCharType="separate"/>
          </w:r>
          <w:r>
            <w:rPr>
              <w:sz w:val="30"/>
              <w:szCs w:val="30"/>
            </w:rPr>
            <w:t>20</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_Toc3887459 </w:instrText>
          </w:r>
          <w:r>
            <w:rPr>
              <w:rFonts w:hint="eastAsia" w:eastAsia="仿宋_GB2312" w:cs="仿宋_GB2312"/>
              <w:sz w:val="30"/>
              <w:szCs w:val="30"/>
            </w:rPr>
            <w:fldChar w:fldCharType="separate"/>
          </w:r>
          <w:r>
            <w:rPr>
              <w:rFonts w:hint="eastAsia"/>
              <w:bCs/>
              <w:sz w:val="30"/>
              <w:szCs w:val="30"/>
            </w:rPr>
            <w:t>（一）指标体系有待完善</w:t>
          </w:r>
          <w:r>
            <w:rPr>
              <w:sz w:val="30"/>
              <w:szCs w:val="30"/>
            </w:rPr>
            <w:tab/>
          </w:r>
          <w:r>
            <w:rPr>
              <w:sz w:val="30"/>
              <w:szCs w:val="30"/>
            </w:rPr>
            <w:fldChar w:fldCharType="begin"/>
          </w:r>
          <w:r>
            <w:rPr>
              <w:sz w:val="30"/>
              <w:szCs w:val="30"/>
            </w:rPr>
            <w:instrText xml:space="preserve"> PAGEREF _Toc3887459 \h </w:instrText>
          </w:r>
          <w:r>
            <w:rPr>
              <w:sz w:val="30"/>
              <w:szCs w:val="30"/>
            </w:rPr>
            <w:fldChar w:fldCharType="separate"/>
          </w:r>
          <w:r>
            <w:rPr>
              <w:sz w:val="30"/>
              <w:szCs w:val="30"/>
            </w:rPr>
            <w:t>20</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_Toc912014003 </w:instrText>
          </w:r>
          <w:r>
            <w:rPr>
              <w:rFonts w:hint="eastAsia" w:eastAsia="仿宋_GB2312" w:cs="仿宋_GB2312"/>
              <w:sz w:val="30"/>
              <w:szCs w:val="30"/>
            </w:rPr>
            <w:fldChar w:fldCharType="separate"/>
          </w:r>
          <w:r>
            <w:rPr>
              <w:rFonts w:hint="eastAsia"/>
              <w:bCs/>
              <w:sz w:val="30"/>
              <w:szCs w:val="30"/>
            </w:rPr>
            <w:t>（二）预算编制精准性尚存进步空间</w:t>
          </w:r>
          <w:r>
            <w:rPr>
              <w:sz w:val="30"/>
              <w:szCs w:val="30"/>
            </w:rPr>
            <w:tab/>
          </w:r>
          <w:r>
            <w:rPr>
              <w:sz w:val="30"/>
              <w:szCs w:val="30"/>
            </w:rPr>
            <w:fldChar w:fldCharType="begin"/>
          </w:r>
          <w:r>
            <w:rPr>
              <w:sz w:val="30"/>
              <w:szCs w:val="30"/>
            </w:rPr>
            <w:instrText xml:space="preserve"> PAGEREF _Toc912014003 \h </w:instrText>
          </w:r>
          <w:r>
            <w:rPr>
              <w:sz w:val="30"/>
              <w:szCs w:val="30"/>
            </w:rPr>
            <w:fldChar w:fldCharType="separate"/>
          </w:r>
          <w:r>
            <w:rPr>
              <w:sz w:val="30"/>
              <w:szCs w:val="30"/>
            </w:rPr>
            <w:t>20</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_Toc1628559782 </w:instrText>
          </w:r>
          <w:r>
            <w:rPr>
              <w:rFonts w:hint="eastAsia" w:eastAsia="仿宋_GB2312" w:cs="仿宋_GB2312"/>
              <w:sz w:val="30"/>
              <w:szCs w:val="30"/>
            </w:rPr>
            <w:fldChar w:fldCharType="separate"/>
          </w:r>
          <w:r>
            <w:rPr>
              <w:rFonts w:hint="eastAsia"/>
              <w:bCs/>
              <w:sz w:val="30"/>
              <w:szCs w:val="30"/>
            </w:rPr>
            <w:t>（三）</w:t>
          </w:r>
          <w:r>
            <w:rPr>
              <w:rFonts w:hint="eastAsia"/>
              <w:bCs/>
              <w:sz w:val="30"/>
              <w:szCs w:val="30"/>
              <w:lang w:eastAsia="zh-CN"/>
            </w:rPr>
            <w:t>探索创新党建工作的方式方法</w:t>
          </w:r>
          <w:r>
            <w:rPr>
              <w:sz w:val="30"/>
              <w:szCs w:val="30"/>
            </w:rPr>
            <w:tab/>
          </w:r>
          <w:r>
            <w:rPr>
              <w:sz w:val="30"/>
              <w:szCs w:val="30"/>
            </w:rPr>
            <w:fldChar w:fldCharType="begin"/>
          </w:r>
          <w:r>
            <w:rPr>
              <w:sz w:val="30"/>
              <w:szCs w:val="30"/>
            </w:rPr>
            <w:instrText xml:space="preserve"> PAGEREF _Toc1628559782 \h </w:instrText>
          </w:r>
          <w:r>
            <w:rPr>
              <w:sz w:val="30"/>
              <w:szCs w:val="30"/>
            </w:rPr>
            <w:fldChar w:fldCharType="separate"/>
          </w:r>
          <w:r>
            <w:rPr>
              <w:sz w:val="30"/>
              <w:szCs w:val="30"/>
            </w:rPr>
            <w:t>20</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rPr>
              <w:sz w:val="30"/>
              <w:szCs w:val="30"/>
            </w:rPr>
          </w:pPr>
          <w:r>
            <w:rPr>
              <w:rFonts w:hint="eastAsia" w:eastAsia="仿宋_GB2312" w:cs="仿宋_GB2312"/>
              <w:sz w:val="30"/>
              <w:szCs w:val="30"/>
            </w:rPr>
            <w:fldChar w:fldCharType="begin"/>
          </w:r>
          <w:r>
            <w:rPr>
              <w:rFonts w:hint="eastAsia" w:eastAsia="仿宋_GB2312" w:cs="仿宋_GB2312"/>
              <w:sz w:val="30"/>
              <w:szCs w:val="30"/>
            </w:rPr>
            <w:instrText xml:space="preserve"> HYPERLINK \l _Toc1525175059 </w:instrText>
          </w:r>
          <w:r>
            <w:rPr>
              <w:rFonts w:hint="eastAsia" w:eastAsia="仿宋_GB2312" w:cs="仿宋_GB2312"/>
              <w:sz w:val="30"/>
              <w:szCs w:val="30"/>
            </w:rPr>
            <w:fldChar w:fldCharType="separate"/>
          </w:r>
          <w:r>
            <w:rPr>
              <w:rFonts w:hint="eastAsia"/>
              <w:bCs/>
              <w:sz w:val="30"/>
              <w:szCs w:val="30"/>
            </w:rPr>
            <w:t>（四）</w:t>
          </w:r>
          <w:r>
            <w:rPr>
              <w:rFonts w:hint="eastAsia"/>
              <w:bCs/>
              <w:sz w:val="30"/>
              <w:szCs w:val="30"/>
              <w:lang w:eastAsia="zh-CN"/>
            </w:rPr>
            <w:t>持之以恒抓好党风廉政建设</w:t>
          </w:r>
          <w:r>
            <w:rPr>
              <w:sz w:val="30"/>
              <w:szCs w:val="30"/>
            </w:rPr>
            <w:tab/>
          </w:r>
          <w:r>
            <w:rPr>
              <w:sz w:val="30"/>
              <w:szCs w:val="30"/>
            </w:rPr>
            <w:fldChar w:fldCharType="begin"/>
          </w:r>
          <w:r>
            <w:rPr>
              <w:sz w:val="30"/>
              <w:szCs w:val="30"/>
            </w:rPr>
            <w:instrText xml:space="preserve"> PAGEREF _Toc1525175059 \h </w:instrText>
          </w:r>
          <w:r>
            <w:rPr>
              <w:sz w:val="30"/>
              <w:szCs w:val="30"/>
            </w:rPr>
            <w:fldChar w:fldCharType="separate"/>
          </w:r>
          <w:r>
            <w:rPr>
              <w:sz w:val="30"/>
              <w:szCs w:val="30"/>
            </w:rPr>
            <w:t>21</w:t>
          </w:r>
          <w:r>
            <w:rPr>
              <w:sz w:val="30"/>
              <w:szCs w:val="30"/>
            </w:rPr>
            <w:fldChar w:fldCharType="end"/>
          </w:r>
          <w:r>
            <w:rPr>
              <w:rFonts w:hint="eastAsia" w:eastAsia="仿宋_GB2312" w:cs="仿宋_GB2312"/>
              <w:sz w:val="30"/>
              <w:szCs w:val="30"/>
            </w:rPr>
            <w:fldChar w:fldCharType="end"/>
          </w:r>
        </w:p>
        <w:p>
          <w:pPr>
            <w:pStyle w:val="15"/>
            <w:keepNext w:val="0"/>
            <w:keepLines w:val="0"/>
            <w:pageBreakBefore w:val="0"/>
            <w:widowControl w:val="0"/>
            <w:tabs>
              <w:tab w:val="right" w:leader="dot" w:pos="8958"/>
            </w:tabs>
            <w:kinsoku/>
            <w:wordWrap/>
            <w:overflowPunct/>
            <w:topLinePunct w:val="0"/>
            <w:autoSpaceDE/>
            <w:autoSpaceDN/>
            <w:bidi w:val="0"/>
            <w:adjustRightInd w:val="0"/>
            <w:snapToGrid w:val="0"/>
            <w:spacing w:line="420" w:lineRule="exact"/>
            <w:ind w:firstLine="0" w:firstLineChars="0"/>
            <w:textAlignment w:val="auto"/>
          </w:pPr>
          <w:r>
            <w:rPr>
              <w:rFonts w:hint="eastAsia" w:eastAsia="仿宋_GB2312" w:cs="仿宋_GB2312"/>
              <w:sz w:val="30"/>
              <w:szCs w:val="30"/>
            </w:rPr>
            <w:fldChar w:fldCharType="begin"/>
          </w:r>
          <w:r>
            <w:rPr>
              <w:rFonts w:hint="eastAsia" w:eastAsia="仿宋_GB2312" w:cs="仿宋_GB2312"/>
              <w:sz w:val="30"/>
              <w:szCs w:val="30"/>
            </w:rPr>
            <w:instrText xml:space="preserve"> HYPERLINK \l _Toc1252406021 </w:instrText>
          </w:r>
          <w:r>
            <w:rPr>
              <w:rFonts w:hint="eastAsia" w:eastAsia="仿宋_GB2312" w:cs="仿宋_GB2312"/>
              <w:sz w:val="30"/>
              <w:szCs w:val="30"/>
            </w:rPr>
            <w:fldChar w:fldCharType="separate"/>
          </w:r>
          <w:r>
            <w:rPr>
              <w:rFonts w:hint="eastAsia" w:ascii="楷体_GB2312" w:hAnsi="楷体_GB2312" w:cs="楷体_GB2312"/>
              <w:bCs/>
              <w:sz w:val="30"/>
              <w:szCs w:val="30"/>
            </w:rPr>
            <w:t>附件：项目支出绩效评价指标体系</w:t>
          </w:r>
          <w:r>
            <w:rPr>
              <w:sz w:val="30"/>
              <w:szCs w:val="30"/>
            </w:rPr>
            <w:tab/>
          </w:r>
          <w:r>
            <w:rPr>
              <w:sz w:val="30"/>
              <w:szCs w:val="30"/>
            </w:rPr>
            <w:fldChar w:fldCharType="begin"/>
          </w:r>
          <w:r>
            <w:rPr>
              <w:sz w:val="30"/>
              <w:szCs w:val="30"/>
            </w:rPr>
            <w:instrText xml:space="preserve"> PAGEREF _Toc1252406021 \h </w:instrText>
          </w:r>
          <w:r>
            <w:rPr>
              <w:sz w:val="30"/>
              <w:szCs w:val="30"/>
            </w:rPr>
            <w:fldChar w:fldCharType="separate"/>
          </w:r>
          <w:r>
            <w:rPr>
              <w:sz w:val="30"/>
              <w:szCs w:val="30"/>
            </w:rPr>
            <w:t>22</w:t>
          </w:r>
          <w:r>
            <w:rPr>
              <w:sz w:val="30"/>
              <w:szCs w:val="30"/>
            </w:rPr>
            <w:fldChar w:fldCharType="end"/>
          </w:r>
          <w:r>
            <w:rPr>
              <w:rFonts w:hint="eastAsia" w:eastAsia="仿宋_GB2312" w:cs="仿宋_GB2312"/>
              <w:sz w:val="30"/>
              <w:szCs w:val="30"/>
            </w:rPr>
            <w:fldChar w:fldCharType="end"/>
          </w:r>
        </w:p>
        <w:p>
          <w:pPr>
            <w:pStyle w:val="3"/>
            <w:pageBreakBefore w:val="0"/>
            <w:widowControl w:val="0"/>
            <w:kinsoku/>
            <w:wordWrap/>
            <w:overflowPunct/>
            <w:topLinePunct w:val="0"/>
            <w:autoSpaceDE/>
            <w:autoSpaceDN/>
            <w:bidi w:val="0"/>
            <w:adjustRightInd w:val="0"/>
            <w:snapToGrid w:val="0"/>
            <w:spacing w:line="420" w:lineRule="exact"/>
            <w:ind w:firstLine="0" w:firstLineChars="0"/>
            <w:textAlignment w:val="auto"/>
            <w:rPr>
              <w:rFonts w:eastAsia="仿宋_GB2312" w:cs="仿宋_GB2312"/>
            </w:rPr>
            <w:sectPr>
              <w:headerReference r:id="rId5" w:type="default"/>
              <w:footerReference r:id="rId6" w:type="default"/>
              <w:pgSz w:w="11906" w:h="16838"/>
              <w:pgMar w:top="2041" w:right="1417" w:bottom="1417" w:left="153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仿宋_GB2312" w:cs="仿宋_GB2312"/>
              <w:szCs w:val="32"/>
            </w:rPr>
            <w:fldChar w:fldCharType="end"/>
          </w:r>
        </w:p>
      </w:sdtContent>
    </w:sdt>
    <w:p>
      <w:pPr>
        <w:pageBreakBefore w:val="0"/>
        <w:widowControl w:val="0"/>
        <w:kinsoku/>
        <w:wordWrap/>
        <w:overflowPunct/>
        <w:topLinePunct w:val="0"/>
        <w:autoSpaceDE/>
        <w:autoSpaceDN/>
        <w:bidi w:val="0"/>
        <w:adjustRightInd w:val="0"/>
        <w:snapToGrid w:val="0"/>
        <w:spacing w:line="600" w:lineRule="exact"/>
        <w:ind w:firstLine="640"/>
        <w:jc w:val="both"/>
        <w:textAlignment w:val="auto"/>
      </w:pPr>
      <w:bookmarkStart w:id="2" w:name="_Toc27219"/>
      <w:bookmarkStart w:id="3" w:name="_Toc27642"/>
      <w:r>
        <w:rPr>
          <w:rFonts w:hint="eastAsia" w:hAnsi="Adobe 楷体 Std R"/>
          <w:color w:val="000000"/>
          <w:szCs w:val="32"/>
        </w:rPr>
        <w:t>为强化预算绩效管理，提高财政资金的使用效益，</w:t>
      </w:r>
      <w:r>
        <w:rPr>
          <w:rFonts w:hint="eastAsia" w:cs="仿宋_GB2312"/>
          <w:szCs w:val="32"/>
        </w:rPr>
        <w:t>中国人民政治协商会议深圳市罗湖区委员会（以下简称“我单位”）</w:t>
      </w:r>
      <w:r>
        <w:rPr>
          <w:rFonts w:hint="eastAsia"/>
        </w:rPr>
        <w:t>根据《中华人民共和国预算法》</w:t>
      </w:r>
      <w:r>
        <w:rPr>
          <w:rFonts w:hint="eastAsia" w:hAnsi="Adobe 楷体 Std R"/>
          <w:color w:val="000000"/>
          <w:szCs w:val="32"/>
        </w:rPr>
        <w:t>《深圳市罗湖区财政局关于印发&lt;2025年全面实施预算绩效管理工作方案&gt;的通知》（罗财〔2025〕37号）等文件</w:t>
      </w:r>
      <w:r>
        <w:rPr>
          <w:rFonts w:hint="eastAsia"/>
        </w:rPr>
        <w:t>精神，对</w:t>
      </w:r>
      <w:r>
        <w:rPr>
          <w:rFonts w:hint="eastAsia"/>
          <w:lang w:eastAsia="zh-CN"/>
        </w:rPr>
        <w:t>2024年</w:t>
      </w:r>
      <w:r>
        <w:rPr>
          <w:rFonts w:hint="eastAsia"/>
        </w:rPr>
        <w:t>度“基层党组织党建工作经费”项目进行绩效评价</w:t>
      </w:r>
      <w:r>
        <w:rPr>
          <w:rFonts w:hint="eastAsia"/>
          <w:lang w:eastAsia="zh-CN"/>
        </w:rPr>
        <w:t>，</w:t>
      </w:r>
      <w:r>
        <w:rPr>
          <w:rFonts w:hint="eastAsia"/>
          <w:lang w:val="en-US" w:eastAsia="zh-CN"/>
        </w:rPr>
        <w:t>保障项目</w:t>
      </w:r>
      <w:r>
        <w:rPr>
          <w:rFonts w:hint="eastAsia"/>
          <w:lang w:eastAsia="zh-CN"/>
        </w:rPr>
        <w:t>的科学性、合理性、严谨性和可行性</w:t>
      </w:r>
      <w:r>
        <w:rPr>
          <w:rFonts w:hint="eastAsia"/>
        </w:rPr>
        <w:t>。具体情况如下：</w:t>
      </w:r>
    </w:p>
    <w:p>
      <w:pPr>
        <w:pStyle w:val="3"/>
        <w:pageBreakBefore w:val="0"/>
        <w:widowControl w:val="0"/>
        <w:kinsoku/>
        <w:wordWrap/>
        <w:overflowPunct/>
        <w:topLinePunct w:val="0"/>
        <w:autoSpaceDE/>
        <w:autoSpaceDN/>
        <w:bidi w:val="0"/>
        <w:adjustRightInd w:val="0"/>
        <w:snapToGrid w:val="0"/>
        <w:spacing w:line="600" w:lineRule="exact"/>
        <w:ind w:firstLine="640"/>
        <w:jc w:val="both"/>
        <w:textAlignment w:val="auto"/>
      </w:pPr>
      <w:bookmarkStart w:id="4" w:name="_Toc6800"/>
      <w:bookmarkStart w:id="5" w:name="_Toc1228387906"/>
      <w:r>
        <w:rPr>
          <w:rFonts w:hint="eastAsia"/>
        </w:rPr>
        <w:t>一、基本情况</w:t>
      </w:r>
      <w:bookmarkEnd w:id="2"/>
      <w:bookmarkEnd w:id="3"/>
      <w:bookmarkEnd w:id="4"/>
      <w:bookmarkEnd w:id="5"/>
    </w:p>
    <w:p>
      <w:pPr>
        <w:pStyle w:val="4"/>
        <w:pageBreakBefore w:val="0"/>
        <w:widowControl w:val="0"/>
        <w:kinsoku/>
        <w:wordWrap/>
        <w:overflowPunct/>
        <w:topLinePunct w:val="0"/>
        <w:autoSpaceDE/>
        <w:autoSpaceDN/>
        <w:bidi w:val="0"/>
        <w:adjustRightInd w:val="0"/>
        <w:snapToGrid w:val="0"/>
        <w:spacing w:line="600" w:lineRule="exact"/>
        <w:ind w:firstLine="640"/>
        <w:jc w:val="both"/>
        <w:textAlignment w:val="auto"/>
        <w:rPr>
          <w:b w:val="0"/>
        </w:rPr>
      </w:pPr>
      <w:bookmarkStart w:id="6" w:name="_Toc5274"/>
      <w:bookmarkStart w:id="7" w:name="_Toc1755237531"/>
      <w:bookmarkStart w:id="8" w:name="_Toc14950"/>
      <w:bookmarkStart w:id="9" w:name="_Toc21484"/>
      <w:r>
        <w:rPr>
          <w:rFonts w:hint="eastAsia"/>
          <w:b w:val="0"/>
        </w:rPr>
        <w:t>（一）项目概况</w:t>
      </w:r>
      <w:bookmarkEnd w:id="6"/>
      <w:bookmarkEnd w:id="7"/>
      <w:bookmarkEnd w:id="8"/>
      <w:bookmarkEnd w:id="9"/>
    </w:p>
    <w:p>
      <w:pPr>
        <w:pStyle w:val="5"/>
        <w:pageBreakBefore w:val="0"/>
        <w:widowControl w:val="0"/>
        <w:kinsoku/>
        <w:wordWrap/>
        <w:overflowPunct/>
        <w:topLinePunct w:val="0"/>
        <w:autoSpaceDE/>
        <w:autoSpaceDN/>
        <w:bidi w:val="0"/>
        <w:adjustRightInd w:val="0"/>
        <w:snapToGrid w:val="0"/>
        <w:spacing w:line="600" w:lineRule="exact"/>
        <w:ind w:firstLine="640"/>
        <w:jc w:val="both"/>
        <w:textAlignment w:val="auto"/>
        <w:rPr>
          <w:b w:val="0"/>
        </w:rPr>
      </w:pPr>
      <w:bookmarkStart w:id="10" w:name="_Toc30235"/>
      <w:bookmarkStart w:id="11" w:name="_Toc12146"/>
      <w:r>
        <w:rPr>
          <w:rFonts w:hint="eastAsia"/>
          <w:b w:val="0"/>
        </w:rPr>
        <w:t>1.项目</w:t>
      </w:r>
      <w:bookmarkEnd w:id="10"/>
      <w:bookmarkEnd w:id="11"/>
      <w:r>
        <w:rPr>
          <w:rFonts w:hint="eastAsia"/>
          <w:b w:val="0"/>
        </w:rPr>
        <w:t>背景</w:t>
      </w:r>
    </w:p>
    <w:p>
      <w:pPr>
        <w:pageBreakBefore w:val="0"/>
        <w:widowControl w:val="0"/>
        <w:kinsoku/>
        <w:wordWrap/>
        <w:overflowPunct/>
        <w:topLinePunct w:val="0"/>
        <w:autoSpaceDE/>
        <w:autoSpaceDN/>
        <w:bidi w:val="0"/>
        <w:adjustRightInd w:val="0"/>
        <w:snapToGrid w:val="0"/>
        <w:spacing w:line="600" w:lineRule="exact"/>
        <w:ind w:firstLine="640"/>
        <w:jc w:val="both"/>
        <w:textAlignment w:val="auto"/>
      </w:pPr>
      <w:r>
        <w:rPr>
          <w:rFonts w:hint="eastAsia"/>
          <w:lang w:val="en-US" w:eastAsia="zh-CN"/>
        </w:rPr>
        <w:t>2024年，中共中央总书记、国家主席、中央军委主席习近平近日就中央和国家机关学习贯彻党的二十届三中全会精神、推动机关党建高质量发展作出重要指示，强调学习好贯彻好党的二十届三中全会精神是当前和今后一个时期全党全国的一项重大政治任务，中央和国家机关是贯彻落实党中央决策部署的“最初一公里”，要在学习宣传贯彻全会精神上当好排头兵。新时代新征程上，要坚持和加强党的全面领导和党中央集中统一领导，深刻领会和把握进一步全面深化改革的主题、重大原则、重大举措、根本保证，在进一步全面深化改革、推进中国式现代化上走在前、作示范。要深入贯彻党中央关于党的建设的重要思想、关于党的自我革命的重要思想，总结运用好贯彻落实中央和国家机关党的建设工作会议精神的实践经验，深化党的建设制度改革，带头做到“两个维护”，带头深化理论武装，带头夯实基层基础，带头正风肃纪反腐，全面提高机关党建质量，走好第一方阵，当好“三个表率”，建设模范机关。当年度</w:t>
      </w:r>
      <w:r>
        <w:rPr>
          <w:rFonts w:hint="eastAsia"/>
        </w:rPr>
        <w:t>我单位在市政协的有力指导和区委的坚强领导下，始终以习近平新时代中国特色社会主义思想为指导，全面贯彻落实党的二十大精神，全面推进党的政治建设、思想建设、组织建设、作风建设、纪律建设，把制度建设贯穿其中，不断提高党的建设质量。</w:t>
      </w:r>
    </w:p>
    <w:p>
      <w:pPr>
        <w:pStyle w:val="5"/>
        <w:pageBreakBefore w:val="0"/>
        <w:widowControl w:val="0"/>
        <w:kinsoku/>
        <w:wordWrap/>
        <w:overflowPunct/>
        <w:topLinePunct w:val="0"/>
        <w:autoSpaceDE/>
        <w:autoSpaceDN/>
        <w:bidi w:val="0"/>
        <w:adjustRightInd w:val="0"/>
        <w:snapToGrid w:val="0"/>
        <w:spacing w:line="600" w:lineRule="exact"/>
        <w:ind w:firstLine="640"/>
        <w:jc w:val="both"/>
        <w:textAlignment w:val="auto"/>
        <w:rPr>
          <w:b w:val="0"/>
        </w:rPr>
      </w:pPr>
      <w:bookmarkStart w:id="12" w:name="_Toc500"/>
      <w:bookmarkStart w:id="13" w:name="_Toc13124"/>
      <w:r>
        <w:rPr>
          <w:rFonts w:hint="eastAsia"/>
          <w:b w:val="0"/>
        </w:rPr>
        <w:t>2.项目</w:t>
      </w:r>
      <w:r>
        <w:rPr>
          <w:rFonts w:hint="eastAsia"/>
          <w:b w:val="0"/>
          <w:lang w:val="en-US" w:eastAsia="zh-CN"/>
        </w:rPr>
        <w:t>职责分工和主要</w:t>
      </w:r>
      <w:r>
        <w:rPr>
          <w:rFonts w:hint="eastAsia"/>
          <w:b w:val="0"/>
        </w:rPr>
        <w:t>内容</w:t>
      </w:r>
      <w:bookmarkEnd w:id="12"/>
      <w:bookmarkEnd w:id="13"/>
    </w:p>
    <w:p>
      <w:pPr>
        <w:pageBreakBefore w:val="0"/>
        <w:widowControl w:val="0"/>
        <w:kinsoku/>
        <w:wordWrap/>
        <w:overflowPunct/>
        <w:topLinePunct w:val="0"/>
        <w:autoSpaceDE/>
        <w:autoSpaceDN/>
        <w:bidi w:val="0"/>
        <w:adjustRightInd w:val="0"/>
        <w:snapToGrid w:val="0"/>
        <w:spacing w:line="600" w:lineRule="exact"/>
        <w:ind w:firstLine="640"/>
        <w:jc w:val="both"/>
        <w:textAlignment w:val="auto"/>
      </w:pPr>
      <w:r>
        <w:rPr>
          <w:rFonts w:hint="eastAsia"/>
        </w:rPr>
        <w:t>（1）项目职责分工</w:t>
      </w:r>
    </w:p>
    <w:p>
      <w:pPr>
        <w:pageBreakBefore w:val="0"/>
        <w:widowControl w:val="0"/>
        <w:kinsoku/>
        <w:wordWrap/>
        <w:overflowPunct/>
        <w:topLinePunct w:val="0"/>
        <w:autoSpaceDE/>
        <w:autoSpaceDN/>
        <w:bidi w:val="0"/>
        <w:adjustRightInd w:val="0"/>
        <w:snapToGrid w:val="0"/>
        <w:spacing w:line="600" w:lineRule="exact"/>
        <w:ind w:firstLine="640"/>
        <w:jc w:val="both"/>
        <w:textAlignment w:val="auto"/>
      </w:pPr>
      <w:r>
        <w:rPr>
          <w:rFonts w:hint="eastAsia"/>
        </w:rPr>
        <w:t>根据《关于罗湖区政协机关职能配置、内设机构和人员编制的批复》（罗编字〔2002〕15号）规定，我单位内设秘书科、提案联谊科、经济科、社会科4个部门，在项目实施过程中，各部门职责分工如下：</w:t>
      </w:r>
    </w:p>
    <w:p>
      <w:pPr>
        <w:pageBreakBefore w:val="0"/>
        <w:widowControl w:val="0"/>
        <w:kinsoku/>
        <w:wordWrap/>
        <w:overflowPunct/>
        <w:topLinePunct w:val="0"/>
        <w:autoSpaceDE/>
        <w:autoSpaceDN/>
        <w:bidi w:val="0"/>
        <w:adjustRightInd w:val="0"/>
        <w:snapToGrid w:val="0"/>
        <w:spacing w:line="600" w:lineRule="exact"/>
        <w:ind w:firstLine="640"/>
        <w:jc w:val="both"/>
        <w:textAlignment w:val="auto"/>
      </w:pPr>
      <w:r>
        <w:rPr>
          <w:rFonts w:hint="eastAsia"/>
        </w:rPr>
        <w:t>秘书科：一是</w:t>
      </w:r>
      <w:r>
        <w:rPr>
          <w:rFonts w:hint="eastAsia"/>
          <w:lang w:val="en-US" w:eastAsia="zh-CN"/>
        </w:rPr>
        <w:t>统筹</w:t>
      </w:r>
      <w:r>
        <w:rPr>
          <w:rFonts w:hint="eastAsia"/>
        </w:rPr>
        <w:t>预算绩效管理工作。二是负责党建书籍征订等后勤保障工作。三是负责审核项目中的各项费用支出，确保费用的合理性和合规性，避免不必要的浪费和开支。</w:t>
      </w:r>
    </w:p>
    <w:p>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eastAsia" w:eastAsia="仿宋_GB2312"/>
          <w:lang w:eastAsia="zh-CN"/>
        </w:rPr>
      </w:pPr>
      <w:r>
        <w:rPr>
          <w:rFonts w:hint="eastAsia"/>
        </w:rPr>
        <w:t>（2）项目主要</w:t>
      </w:r>
      <w:r>
        <w:rPr>
          <w:rFonts w:hint="eastAsia"/>
          <w:lang w:val="en-US" w:eastAsia="zh-CN"/>
        </w:rPr>
        <w:t>内容</w:t>
      </w:r>
    </w:p>
    <w:p>
      <w:pPr>
        <w:pageBreakBefore w:val="0"/>
        <w:widowControl w:val="0"/>
        <w:kinsoku/>
        <w:wordWrap/>
        <w:overflowPunct/>
        <w:topLinePunct w:val="0"/>
        <w:autoSpaceDE/>
        <w:autoSpaceDN/>
        <w:bidi w:val="0"/>
        <w:adjustRightInd w:val="0"/>
        <w:snapToGrid w:val="0"/>
        <w:spacing w:line="600" w:lineRule="exact"/>
        <w:ind w:firstLine="640"/>
        <w:jc w:val="both"/>
        <w:textAlignment w:val="auto"/>
      </w:pPr>
      <w:r>
        <w:t>一是</w:t>
      </w:r>
      <w:r>
        <w:rPr>
          <w:rFonts w:hint="eastAsia"/>
        </w:rPr>
        <w:t>坚持不懈做好党的创新理论深化、内化、转化工作，完善以党组理论学习中心组为主导的学习制度体系，严格落实“第一议题”制度，依托“罗政学堂”等载体，持续推进学习贯彻习近平新时代中国特色社会主义思想走深走实，不断提高政治判断力、政治领悟力、政治执行力</w:t>
      </w:r>
      <w:r>
        <w:rPr>
          <w:rFonts w:hint="eastAsia"/>
          <w:lang w:eastAsia="zh-CN"/>
        </w:rPr>
        <w:t>。</w:t>
      </w:r>
      <w:r>
        <w:rPr>
          <w:rFonts w:hint="eastAsia"/>
          <w:lang w:val="en-US" w:eastAsia="zh-CN"/>
        </w:rPr>
        <w:t>二是</w:t>
      </w:r>
      <w:r>
        <w:rPr>
          <w:rFonts w:hint="eastAsia"/>
        </w:rPr>
        <w:t>认真贯彻新时代党的建设总要求，健全落实党对政协工作领导的组织体系和制度体系，认真落实党风廉政建设、保密工作责任制，切实加强基层党组织建设，更好发挥党员委员的先锋模范作用，创新打造政协党建品牌，高标准推进“两个全覆盖”，积极探索体现政协特点的党建工作新路径，不断提升政协党建工作质量。</w:t>
      </w:r>
    </w:p>
    <w:p>
      <w:pPr>
        <w:pStyle w:val="4"/>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eastAsia"/>
          <w:b w:val="0"/>
        </w:rPr>
      </w:pPr>
      <w:bookmarkStart w:id="14" w:name="_Toc10108"/>
      <w:bookmarkStart w:id="15" w:name="_Toc294324678"/>
      <w:bookmarkStart w:id="16" w:name="_Toc4309"/>
      <w:r>
        <w:rPr>
          <w:rFonts w:hint="eastAsia"/>
          <w:b w:val="0"/>
          <w:lang w:eastAsia="zh-CN"/>
        </w:rPr>
        <w:t>（</w:t>
      </w:r>
      <w:r>
        <w:rPr>
          <w:rFonts w:hint="eastAsia"/>
          <w:b w:val="0"/>
          <w:lang w:val="en-US" w:eastAsia="zh-CN"/>
        </w:rPr>
        <w:t>二）</w:t>
      </w:r>
      <w:r>
        <w:rPr>
          <w:rFonts w:hint="eastAsia"/>
          <w:b w:val="0"/>
        </w:rPr>
        <w:t>项目资金管理情况</w:t>
      </w:r>
      <w:bookmarkEnd w:id="14"/>
      <w:bookmarkEnd w:id="15"/>
      <w:bookmarkEnd w:id="16"/>
    </w:p>
    <w:p>
      <w:pPr>
        <w:pStyle w:val="5"/>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eastAsia"/>
          <w:b w:val="0"/>
        </w:rPr>
      </w:pPr>
      <w:r>
        <w:rPr>
          <w:rFonts w:hint="eastAsia"/>
          <w:b w:val="0"/>
          <w:lang w:val="en-US" w:eastAsia="zh-CN"/>
        </w:rPr>
        <w:t>1.</w:t>
      </w:r>
      <w:r>
        <w:rPr>
          <w:rFonts w:hint="eastAsia"/>
          <w:b w:val="0"/>
        </w:rPr>
        <w:t>资金安排情况</w:t>
      </w:r>
    </w:p>
    <w:p>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eastAsia"/>
        </w:rPr>
      </w:pPr>
      <w:r>
        <w:rPr>
          <w:rFonts w:hint="eastAsia"/>
        </w:rPr>
        <w:t>本项目年初预算安排2.</w:t>
      </w:r>
      <w:r>
        <w:rPr>
          <w:rFonts w:hint="eastAsia"/>
          <w:lang w:val="en-US" w:eastAsia="zh-CN"/>
        </w:rPr>
        <w:t>6</w:t>
      </w:r>
      <w:r>
        <w:rPr>
          <w:rFonts w:hint="eastAsia"/>
        </w:rPr>
        <w:t>万元</w:t>
      </w:r>
      <w:r>
        <w:rPr>
          <w:rFonts w:hint="eastAsia" w:cs="仿宋_GB2312"/>
          <w:kern w:val="0"/>
          <w:szCs w:val="32"/>
          <w:lang w:eastAsia="zh-Hans"/>
        </w:rPr>
        <w:t>，</w:t>
      </w:r>
      <w:r>
        <w:rPr>
          <w:rFonts w:hint="eastAsia" w:cs="仿宋_GB2312"/>
          <w:kern w:val="0"/>
          <w:szCs w:val="32"/>
        </w:rPr>
        <w:t>均</w:t>
      </w:r>
      <w:r>
        <w:rPr>
          <w:rFonts w:hint="eastAsia" w:cs="仿宋_GB2312"/>
          <w:kern w:val="0"/>
          <w:szCs w:val="32"/>
          <w:lang w:eastAsia="zh-Hans"/>
        </w:rPr>
        <w:t>为一般公共预算拨款</w:t>
      </w:r>
      <w:r>
        <w:rPr>
          <w:rFonts w:hint="eastAsia" w:cs="仿宋_GB2312"/>
          <w:kern w:val="0"/>
          <w:szCs w:val="32"/>
        </w:rPr>
        <w:t>，</w:t>
      </w:r>
      <w:r>
        <w:rPr>
          <w:rFonts w:hint="eastAsia" w:cs="仿宋_GB2312"/>
          <w:kern w:val="0"/>
          <w:szCs w:val="32"/>
          <w:lang w:val="en-US" w:eastAsia="zh-CN"/>
        </w:rPr>
        <w:t>已</w:t>
      </w:r>
      <w:r>
        <w:rPr>
          <w:rFonts w:hint="eastAsia" w:cs="仿宋_GB2312"/>
          <w:kern w:val="0"/>
          <w:szCs w:val="32"/>
        </w:rPr>
        <w:t>于</w:t>
      </w:r>
      <w:r>
        <w:rPr>
          <w:rFonts w:hint="eastAsia" w:cs="仿宋_GB2312"/>
          <w:kern w:val="0"/>
          <w:szCs w:val="32"/>
          <w:lang w:eastAsia="zh-CN"/>
        </w:rPr>
        <w:t>2024年</w:t>
      </w:r>
      <w:r>
        <w:rPr>
          <w:rFonts w:hint="eastAsia" w:cs="仿宋_GB2312"/>
          <w:kern w:val="0"/>
          <w:szCs w:val="32"/>
        </w:rPr>
        <w:t>1月全额下达，资金到位率达100%。</w:t>
      </w:r>
      <w:r>
        <w:rPr>
          <w:rFonts w:hint="eastAsia"/>
        </w:rPr>
        <w:t>年中项目按工作计划正常开展，未进行内容变更或预算调整，实际支出2</w:t>
      </w:r>
      <w:r>
        <w:rPr>
          <w:rFonts w:hint="default"/>
          <w:lang w:val="en-US"/>
        </w:rPr>
        <w:t>.</w:t>
      </w:r>
      <w:r>
        <w:rPr>
          <w:rFonts w:hint="eastAsia"/>
        </w:rPr>
        <w:t>18万元，预算执行率为</w:t>
      </w:r>
      <w:r>
        <w:rPr>
          <w:rFonts w:hint="default"/>
          <w:lang w:val="en-US"/>
        </w:rPr>
        <w:t>83.8</w:t>
      </w:r>
      <w:r>
        <w:rPr>
          <w:rFonts w:hint="eastAsia"/>
        </w:rPr>
        <w:t>%。具体资金支出情况如表1-1所示：</w:t>
      </w:r>
    </w:p>
    <w:p>
      <w:pPr>
        <w:spacing w:line="600" w:lineRule="exact"/>
        <w:ind w:firstLine="640"/>
        <w:jc w:val="center"/>
        <w:rPr>
          <w:rFonts w:ascii="黑体" w:hAnsi="黑体" w:eastAsia="黑体"/>
          <w:sz w:val="28"/>
          <w:szCs w:val="28"/>
        </w:rPr>
      </w:pPr>
      <w:r>
        <w:rPr>
          <w:rFonts w:hint="eastAsia" w:ascii="黑体" w:hAnsi="黑体" w:eastAsia="黑体"/>
          <w:sz w:val="28"/>
          <w:szCs w:val="28"/>
        </w:rPr>
        <w:t>表1</w:t>
      </w:r>
      <w:r>
        <w:rPr>
          <w:rFonts w:ascii="黑体" w:hAnsi="黑体" w:eastAsia="黑体"/>
          <w:sz w:val="28"/>
          <w:szCs w:val="28"/>
        </w:rPr>
        <w:t>-</w:t>
      </w:r>
      <w:r>
        <w:rPr>
          <w:rFonts w:hint="eastAsia" w:ascii="黑体" w:hAnsi="黑体" w:eastAsia="黑体"/>
          <w:sz w:val="28"/>
          <w:szCs w:val="28"/>
        </w:rPr>
        <w:t>1</w:t>
      </w:r>
      <w:r>
        <w:rPr>
          <w:rFonts w:ascii="黑体" w:hAnsi="黑体" w:eastAsia="黑体"/>
          <w:sz w:val="28"/>
          <w:szCs w:val="28"/>
        </w:rPr>
        <w:t xml:space="preserve"> </w:t>
      </w:r>
      <w:r>
        <w:rPr>
          <w:rFonts w:hint="eastAsia" w:ascii="黑体" w:hAnsi="黑体" w:eastAsia="黑体"/>
          <w:sz w:val="28"/>
          <w:szCs w:val="28"/>
        </w:rPr>
        <w:t>项目支出明细表</w:t>
      </w:r>
    </w:p>
    <w:tbl>
      <w:tblPr>
        <w:tblStyle w:val="19"/>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4103"/>
        <w:gridCol w:w="3372"/>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799" w:type="dxa"/>
            <w:shd w:val="clear" w:color="auto" w:fill="D7D7D7" w:themeFill="background1" w:themeFillShade="D8"/>
            <w:vAlign w:val="center"/>
          </w:tcPr>
          <w:p>
            <w:pPr>
              <w:autoSpaceDE w:val="0"/>
              <w:autoSpaceDN w:val="0"/>
              <w:spacing w:line="320" w:lineRule="exact"/>
              <w:ind w:firstLine="0" w:firstLineChars="0"/>
              <w:rPr>
                <w:rFonts w:cs="仿宋_GB2312"/>
                <w:sz w:val="24"/>
                <w:szCs w:val="24"/>
              </w:rPr>
            </w:pPr>
            <w:r>
              <w:rPr>
                <w:rFonts w:hint="eastAsia" w:cs="仿宋_GB2312"/>
                <w:sz w:val="24"/>
                <w:szCs w:val="24"/>
              </w:rPr>
              <w:t>序号</w:t>
            </w:r>
          </w:p>
        </w:tc>
        <w:tc>
          <w:tcPr>
            <w:tcW w:w="4103" w:type="dxa"/>
            <w:shd w:val="clear" w:color="auto" w:fill="D7D7D7" w:themeFill="background1" w:themeFillShade="D8"/>
            <w:vAlign w:val="center"/>
          </w:tcPr>
          <w:p>
            <w:pPr>
              <w:autoSpaceDE w:val="0"/>
              <w:autoSpaceDN w:val="0"/>
              <w:spacing w:line="320" w:lineRule="exact"/>
              <w:ind w:left="0" w:leftChars="0" w:firstLine="0" w:firstLineChars="0"/>
              <w:jc w:val="center"/>
              <w:rPr>
                <w:rFonts w:cs="仿宋_GB2312"/>
                <w:sz w:val="24"/>
                <w:szCs w:val="24"/>
              </w:rPr>
            </w:pPr>
            <w:r>
              <w:rPr>
                <w:rFonts w:hint="eastAsia" w:cs="仿宋_GB2312"/>
                <w:sz w:val="24"/>
                <w:szCs w:val="24"/>
              </w:rPr>
              <w:t>资金用途</w:t>
            </w:r>
          </w:p>
        </w:tc>
        <w:tc>
          <w:tcPr>
            <w:tcW w:w="3372" w:type="dxa"/>
            <w:shd w:val="clear" w:color="auto" w:fill="D7D7D7" w:themeFill="background1" w:themeFillShade="D8"/>
            <w:vAlign w:val="center"/>
          </w:tcPr>
          <w:p>
            <w:pPr>
              <w:autoSpaceDE w:val="0"/>
              <w:autoSpaceDN w:val="0"/>
              <w:spacing w:line="320" w:lineRule="exact"/>
              <w:ind w:firstLine="0" w:firstLineChars="0"/>
              <w:jc w:val="center"/>
              <w:rPr>
                <w:rFonts w:cs="仿宋_GB2312"/>
                <w:sz w:val="24"/>
                <w:szCs w:val="24"/>
              </w:rPr>
            </w:pPr>
            <w:r>
              <w:rPr>
                <w:rFonts w:hint="eastAsia" w:cs="仿宋_GB2312"/>
                <w:sz w:val="24"/>
                <w:szCs w:val="24"/>
              </w:rPr>
              <w:t>报销日期</w:t>
            </w:r>
          </w:p>
        </w:tc>
        <w:tc>
          <w:tcPr>
            <w:tcW w:w="1222" w:type="dxa"/>
            <w:shd w:val="clear" w:color="auto" w:fill="D7D7D7" w:themeFill="background1" w:themeFillShade="D8"/>
            <w:vAlign w:val="center"/>
          </w:tcPr>
          <w:p>
            <w:pPr>
              <w:autoSpaceDE w:val="0"/>
              <w:autoSpaceDN w:val="0"/>
              <w:spacing w:line="320" w:lineRule="exact"/>
              <w:ind w:firstLine="0" w:firstLineChars="0"/>
              <w:jc w:val="center"/>
              <w:rPr>
                <w:rFonts w:hint="default" w:eastAsia="仿宋_GB2312" w:cs="仿宋_GB2312"/>
                <w:sz w:val="24"/>
                <w:szCs w:val="24"/>
                <w:lang w:val="en-US" w:eastAsia="zh-CN"/>
              </w:rPr>
            </w:pPr>
            <w:r>
              <w:rPr>
                <w:rFonts w:hint="eastAsia" w:cs="仿宋_GB2312"/>
                <w:sz w:val="24"/>
                <w:szCs w:val="24"/>
              </w:rPr>
              <w:t>报销金额</w:t>
            </w:r>
            <w:r>
              <w:rPr>
                <w:rFonts w:hint="eastAsia" w:cs="仿宋_GB2312"/>
                <w:sz w:val="24"/>
                <w:szCs w:val="24"/>
                <w:lang w:eastAsia="zh-CN"/>
              </w:rPr>
              <w:t>（</w:t>
            </w:r>
            <w:r>
              <w:rPr>
                <w:rFonts w:hint="eastAsia" w:cs="仿宋_GB2312"/>
                <w:sz w:val="24"/>
                <w:szCs w:val="24"/>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99" w:type="dxa"/>
            <w:vAlign w:val="center"/>
          </w:tcPr>
          <w:p>
            <w:pPr>
              <w:autoSpaceDE w:val="0"/>
              <w:autoSpaceDN w:val="0"/>
              <w:spacing w:line="320" w:lineRule="exact"/>
              <w:ind w:firstLine="0" w:firstLineChars="0"/>
              <w:jc w:val="center"/>
              <w:rPr>
                <w:rFonts w:cs="仿宋_GB2312"/>
                <w:sz w:val="24"/>
                <w:szCs w:val="24"/>
              </w:rPr>
            </w:pPr>
            <w:r>
              <w:rPr>
                <w:rFonts w:hint="eastAsia" w:cs="仿宋_GB2312"/>
                <w:sz w:val="24"/>
                <w:szCs w:val="24"/>
              </w:rPr>
              <w:t>1</w:t>
            </w:r>
          </w:p>
        </w:tc>
        <w:tc>
          <w:tcPr>
            <w:tcW w:w="4103" w:type="dxa"/>
            <w:vAlign w:val="center"/>
          </w:tcPr>
          <w:p>
            <w:pPr>
              <w:autoSpaceDE w:val="0"/>
              <w:autoSpaceDN w:val="0"/>
              <w:spacing w:line="320" w:lineRule="exact"/>
              <w:ind w:firstLine="0" w:firstLineChars="0"/>
              <w:rPr>
                <w:rFonts w:cs="仿宋_GB2312"/>
                <w:sz w:val="24"/>
                <w:szCs w:val="24"/>
              </w:rPr>
            </w:pPr>
            <w:r>
              <w:rPr>
                <w:rFonts w:cs="仿宋_GB2312"/>
                <w:sz w:val="24"/>
                <w:szCs w:val="24"/>
              </w:rPr>
              <w:t>购买党建书籍</w:t>
            </w:r>
          </w:p>
        </w:tc>
        <w:tc>
          <w:tcPr>
            <w:tcW w:w="3372" w:type="dxa"/>
            <w:vAlign w:val="center"/>
          </w:tcPr>
          <w:p>
            <w:pPr>
              <w:autoSpaceDE w:val="0"/>
              <w:autoSpaceDN w:val="0"/>
              <w:spacing w:line="320" w:lineRule="exact"/>
              <w:ind w:firstLine="0" w:firstLineChars="0"/>
              <w:rPr>
                <w:rFonts w:hint="default" w:eastAsia="仿宋_GB2312" w:cs="仿宋_GB2312"/>
                <w:sz w:val="24"/>
                <w:szCs w:val="24"/>
                <w:lang w:val="en-US" w:eastAsia="zh-CN"/>
              </w:rPr>
            </w:pPr>
            <w:r>
              <w:rPr>
                <w:rFonts w:hint="eastAsia" w:cs="仿宋_GB2312"/>
                <w:sz w:val="24"/>
                <w:szCs w:val="24"/>
                <w:lang w:eastAsia="zh-CN"/>
              </w:rPr>
              <w:t>2024年</w:t>
            </w:r>
            <w:r>
              <w:rPr>
                <w:rFonts w:hint="default" w:cs="仿宋_GB2312"/>
                <w:sz w:val="24"/>
                <w:szCs w:val="24"/>
                <w:lang w:val="en-US"/>
              </w:rPr>
              <w:t>1</w:t>
            </w:r>
            <w:r>
              <w:rPr>
                <w:rFonts w:hint="eastAsia" w:cs="仿宋_GB2312"/>
                <w:sz w:val="24"/>
                <w:szCs w:val="24"/>
              </w:rPr>
              <w:t>月</w:t>
            </w:r>
            <w:r>
              <w:rPr>
                <w:rFonts w:hint="default" w:cs="仿宋_GB2312"/>
                <w:sz w:val="24"/>
                <w:szCs w:val="24"/>
                <w:lang w:val="en-US"/>
              </w:rPr>
              <w:t>10</w:t>
            </w:r>
            <w:r>
              <w:rPr>
                <w:rFonts w:hint="eastAsia" w:cs="仿宋_GB2312"/>
                <w:sz w:val="24"/>
                <w:szCs w:val="24"/>
              </w:rPr>
              <w:t>日</w:t>
            </w:r>
            <w:r>
              <w:rPr>
                <w:rFonts w:hint="eastAsia" w:cs="仿宋_GB2312"/>
                <w:sz w:val="24"/>
                <w:szCs w:val="24"/>
                <w:lang w:eastAsia="zh-CN"/>
              </w:rPr>
              <w:t>、2024</w:t>
            </w:r>
            <w:r>
              <w:rPr>
                <w:rFonts w:hint="eastAsia" w:cs="仿宋_GB2312"/>
                <w:sz w:val="24"/>
                <w:szCs w:val="24"/>
                <w:lang w:val="en-US" w:eastAsia="zh-CN"/>
              </w:rPr>
              <w:t>年</w:t>
            </w:r>
            <w:r>
              <w:rPr>
                <w:rFonts w:hint="eastAsia" w:cs="仿宋_GB2312"/>
                <w:sz w:val="24"/>
                <w:szCs w:val="24"/>
                <w:lang w:eastAsia="zh-CN"/>
              </w:rPr>
              <w:t>4</w:t>
            </w:r>
            <w:r>
              <w:rPr>
                <w:rFonts w:hint="eastAsia" w:cs="仿宋_GB2312"/>
                <w:sz w:val="24"/>
                <w:szCs w:val="24"/>
                <w:lang w:val="en-US" w:eastAsia="zh-CN"/>
              </w:rPr>
              <w:t>月</w:t>
            </w:r>
            <w:r>
              <w:rPr>
                <w:rFonts w:hint="eastAsia" w:cs="仿宋_GB2312"/>
                <w:sz w:val="24"/>
                <w:szCs w:val="24"/>
                <w:lang w:eastAsia="zh-CN"/>
              </w:rPr>
              <w:t>25</w:t>
            </w:r>
            <w:r>
              <w:rPr>
                <w:rFonts w:hint="eastAsia" w:cs="仿宋_GB2312"/>
                <w:sz w:val="24"/>
                <w:szCs w:val="24"/>
                <w:lang w:val="en-US" w:eastAsia="zh-CN"/>
              </w:rPr>
              <w:t>日</w:t>
            </w:r>
            <w:r>
              <w:rPr>
                <w:rFonts w:hint="eastAsia" w:cs="仿宋_GB2312"/>
                <w:sz w:val="24"/>
                <w:szCs w:val="24"/>
                <w:lang w:eastAsia="zh-CN"/>
              </w:rPr>
              <w:t>、2024</w:t>
            </w:r>
            <w:r>
              <w:rPr>
                <w:rFonts w:hint="eastAsia" w:cs="仿宋_GB2312"/>
                <w:sz w:val="24"/>
                <w:szCs w:val="24"/>
                <w:lang w:val="en-US" w:eastAsia="zh-CN"/>
              </w:rPr>
              <w:t>年</w:t>
            </w:r>
            <w:r>
              <w:rPr>
                <w:rFonts w:hint="eastAsia" w:cs="仿宋_GB2312"/>
                <w:sz w:val="24"/>
                <w:szCs w:val="24"/>
                <w:lang w:eastAsia="zh-CN"/>
              </w:rPr>
              <w:t>5</w:t>
            </w:r>
            <w:r>
              <w:rPr>
                <w:rFonts w:hint="eastAsia" w:cs="仿宋_GB2312"/>
                <w:sz w:val="24"/>
                <w:szCs w:val="24"/>
                <w:lang w:val="en-US" w:eastAsia="zh-CN"/>
              </w:rPr>
              <w:t>月</w:t>
            </w:r>
            <w:r>
              <w:rPr>
                <w:rFonts w:hint="eastAsia" w:cs="仿宋_GB2312"/>
                <w:sz w:val="24"/>
                <w:szCs w:val="24"/>
                <w:lang w:eastAsia="zh-CN"/>
              </w:rPr>
              <w:t>28</w:t>
            </w:r>
            <w:r>
              <w:rPr>
                <w:rFonts w:hint="eastAsia" w:cs="仿宋_GB2312"/>
                <w:sz w:val="24"/>
                <w:szCs w:val="24"/>
                <w:lang w:val="en-US" w:eastAsia="zh-CN"/>
              </w:rPr>
              <w:t>日</w:t>
            </w:r>
            <w:r>
              <w:rPr>
                <w:rFonts w:hint="eastAsia" w:cs="仿宋_GB2312"/>
                <w:sz w:val="24"/>
                <w:szCs w:val="24"/>
                <w:lang w:eastAsia="zh-CN"/>
              </w:rPr>
              <w:t>、2024</w:t>
            </w:r>
            <w:r>
              <w:rPr>
                <w:rFonts w:hint="eastAsia" w:cs="仿宋_GB2312"/>
                <w:sz w:val="24"/>
                <w:szCs w:val="24"/>
                <w:lang w:val="en-US" w:eastAsia="zh-CN"/>
              </w:rPr>
              <w:t>年</w:t>
            </w:r>
            <w:r>
              <w:rPr>
                <w:rFonts w:hint="eastAsia" w:cs="仿宋_GB2312"/>
                <w:sz w:val="24"/>
                <w:szCs w:val="24"/>
                <w:lang w:eastAsia="zh-CN"/>
              </w:rPr>
              <w:t>9</w:t>
            </w:r>
            <w:r>
              <w:rPr>
                <w:rFonts w:hint="eastAsia" w:cs="仿宋_GB2312"/>
                <w:sz w:val="24"/>
                <w:szCs w:val="24"/>
                <w:lang w:val="en-US" w:eastAsia="zh-CN"/>
              </w:rPr>
              <w:t>月</w:t>
            </w:r>
            <w:r>
              <w:rPr>
                <w:rFonts w:hint="eastAsia" w:cs="仿宋_GB2312"/>
                <w:sz w:val="24"/>
                <w:szCs w:val="24"/>
                <w:lang w:eastAsia="zh-CN"/>
              </w:rPr>
              <w:t>10</w:t>
            </w:r>
            <w:r>
              <w:rPr>
                <w:rFonts w:hint="eastAsia" w:cs="仿宋_GB2312"/>
                <w:sz w:val="24"/>
                <w:szCs w:val="24"/>
                <w:lang w:val="en-US" w:eastAsia="zh-CN"/>
              </w:rPr>
              <w:t>日</w:t>
            </w:r>
            <w:r>
              <w:rPr>
                <w:rFonts w:hint="eastAsia" w:cs="仿宋_GB2312"/>
                <w:sz w:val="24"/>
                <w:szCs w:val="24"/>
                <w:lang w:eastAsia="zh-CN"/>
              </w:rPr>
              <w:t>、2024</w:t>
            </w:r>
            <w:r>
              <w:rPr>
                <w:rFonts w:hint="eastAsia" w:cs="仿宋_GB2312"/>
                <w:sz w:val="24"/>
                <w:szCs w:val="24"/>
                <w:lang w:val="en-US" w:eastAsia="zh-CN"/>
              </w:rPr>
              <w:t>年</w:t>
            </w:r>
            <w:r>
              <w:rPr>
                <w:rFonts w:hint="eastAsia" w:cs="仿宋_GB2312"/>
                <w:sz w:val="24"/>
                <w:szCs w:val="24"/>
                <w:lang w:eastAsia="zh-CN"/>
              </w:rPr>
              <w:t>12</w:t>
            </w:r>
            <w:r>
              <w:rPr>
                <w:rFonts w:hint="eastAsia" w:cs="仿宋_GB2312"/>
                <w:sz w:val="24"/>
                <w:szCs w:val="24"/>
                <w:lang w:val="en-US" w:eastAsia="zh-CN"/>
              </w:rPr>
              <w:t>月</w:t>
            </w:r>
            <w:r>
              <w:rPr>
                <w:rFonts w:hint="eastAsia" w:cs="仿宋_GB2312"/>
                <w:sz w:val="24"/>
                <w:szCs w:val="24"/>
                <w:lang w:eastAsia="zh-CN"/>
              </w:rPr>
              <w:t>9</w:t>
            </w:r>
            <w:r>
              <w:rPr>
                <w:rFonts w:hint="eastAsia" w:cs="仿宋_GB2312"/>
                <w:sz w:val="24"/>
                <w:szCs w:val="24"/>
                <w:lang w:val="en-US" w:eastAsia="zh-CN"/>
              </w:rPr>
              <w:t>日</w:t>
            </w:r>
          </w:p>
        </w:tc>
        <w:tc>
          <w:tcPr>
            <w:tcW w:w="1222" w:type="dxa"/>
            <w:vAlign w:val="center"/>
          </w:tcPr>
          <w:p>
            <w:pPr>
              <w:autoSpaceDE w:val="0"/>
              <w:autoSpaceDN w:val="0"/>
              <w:spacing w:line="320" w:lineRule="exact"/>
              <w:ind w:firstLine="0" w:firstLineChars="0"/>
              <w:jc w:val="right"/>
              <w:rPr>
                <w:rFonts w:hint="default" w:cs="仿宋_GB2312"/>
                <w:sz w:val="24"/>
                <w:szCs w:val="24"/>
                <w:lang w:val="en-US"/>
              </w:rPr>
            </w:pPr>
            <w:r>
              <w:rPr>
                <w:rFonts w:hint="default" w:cs="仿宋_GB2312"/>
                <w:sz w:val="24"/>
                <w:szCs w:val="24"/>
                <w:lang w:val="en-US"/>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9" w:type="dxa"/>
            <w:vAlign w:val="center"/>
          </w:tcPr>
          <w:p>
            <w:pPr>
              <w:autoSpaceDE w:val="0"/>
              <w:autoSpaceDN w:val="0"/>
              <w:spacing w:line="320" w:lineRule="exact"/>
              <w:ind w:firstLine="0" w:firstLineChars="0"/>
              <w:jc w:val="center"/>
              <w:rPr>
                <w:rFonts w:cs="仿宋_GB2312"/>
                <w:sz w:val="24"/>
                <w:szCs w:val="24"/>
              </w:rPr>
            </w:pPr>
            <w:r>
              <w:rPr>
                <w:rFonts w:hint="eastAsia" w:cs="仿宋_GB2312"/>
                <w:sz w:val="24"/>
                <w:szCs w:val="24"/>
              </w:rPr>
              <w:t>2</w:t>
            </w:r>
          </w:p>
        </w:tc>
        <w:tc>
          <w:tcPr>
            <w:tcW w:w="4103" w:type="dxa"/>
            <w:vAlign w:val="center"/>
          </w:tcPr>
          <w:p>
            <w:pPr>
              <w:autoSpaceDE w:val="0"/>
              <w:autoSpaceDN w:val="0"/>
              <w:spacing w:line="320" w:lineRule="exact"/>
              <w:ind w:firstLine="0" w:firstLineChars="0"/>
              <w:rPr>
                <w:rFonts w:cs="仿宋_GB2312"/>
                <w:sz w:val="24"/>
                <w:szCs w:val="24"/>
              </w:rPr>
            </w:pPr>
            <w:r>
              <w:rPr>
                <w:rFonts w:hint="eastAsia" w:cs="仿宋_GB2312"/>
                <w:sz w:val="24"/>
                <w:szCs w:val="24"/>
              </w:rPr>
              <w:t>机关支部观看红色电影主题党日活动</w:t>
            </w:r>
          </w:p>
        </w:tc>
        <w:tc>
          <w:tcPr>
            <w:tcW w:w="3372" w:type="dxa"/>
            <w:vAlign w:val="center"/>
          </w:tcPr>
          <w:p>
            <w:pPr>
              <w:autoSpaceDE w:val="0"/>
              <w:autoSpaceDN w:val="0"/>
              <w:spacing w:line="320" w:lineRule="exact"/>
              <w:ind w:firstLine="0" w:firstLineChars="0"/>
              <w:rPr>
                <w:rFonts w:cs="仿宋_GB2312"/>
                <w:sz w:val="24"/>
                <w:szCs w:val="24"/>
              </w:rPr>
            </w:pPr>
            <w:r>
              <w:rPr>
                <w:rFonts w:hint="eastAsia" w:cs="仿宋_GB2312"/>
                <w:sz w:val="24"/>
                <w:szCs w:val="24"/>
                <w:lang w:eastAsia="zh-CN"/>
              </w:rPr>
              <w:t>2024年</w:t>
            </w:r>
            <w:r>
              <w:rPr>
                <w:rFonts w:hint="default" w:cs="仿宋_GB2312"/>
                <w:sz w:val="24"/>
                <w:szCs w:val="24"/>
                <w:lang w:val="en-US"/>
              </w:rPr>
              <w:t>3</w:t>
            </w:r>
            <w:r>
              <w:rPr>
                <w:rFonts w:hint="eastAsia" w:cs="仿宋_GB2312"/>
                <w:sz w:val="24"/>
                <w:szCs w:val="24"/>
              </w:rPr>
              <w:t>月</w:t>
            </w:r>
            <w:r>
              <w:rPr>
                <w:rFonts w:hint="default" w:cs="仿宋_GB2312"/>
                <w:sz w:val="24"/>
                <w:szCs w:val="24"/>
                <w:lang w:val="en-US"/>
              </w:rPr>
              <w:t>1</w:t>
            </w:r>
            <w:r>
              <w:rPr>
                <w:rFonts w:hint="eastAsia" w:cs="仿宋_GB2312"/>
                <w:sz w:val="24"/>
                <w:szCs w:val="24"/>
              </w:rPr>
              <w:t>日</w:t>
            </w:r>
          </w:p>
        </w:tc>
        <w:tc>
          <w:tcPr>
            <w:tcW w:w="1222" w:type="dxa"/>
            <w:vAlign w:val="center"/>
          </w:tcPr>
          <w:p>
            <w:pPr>
              <w:autoSpaceDE w:val="0"/>
              <w:autoSpaceDN w:val="0"/>
              <w:spacing w:line="320" w:lineRule="exact"/>
              <w:ind w:firstLine="0" w:firstLineChars="0"/>
              <w:jc w:val="right"/>
              <w:rPr>
                <w:rFonts w:hint="default" w:cs="仿宋_GB2312"/>
                <w:sz w:val="24"/>
                <w:szCs w:val="24"/>
                <w:lang w:val="en-US"/>
              </w:rPr>
            </w:pPr>
            <w:r>
              <w:rPr>
                <w:rFonts w:hint="eastAsia" w:cs="仿宋_GB2312"/>
                <w:sz w:val="24"/>
                <w:szCs w:val="24"/>
              </w:rPr>
              <w:t>0.</w:t>
            </w:r>
            <w:r>
              <w:rPr>
                <w:rFonts w:hint="default" w:cs="仿宋_GB2312"/>
                <w:sz w:val="24"/>
                <w:szCs w:val="24"/>
                <w:lang w:val="en-US"/>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74" w:type="dxa"/>
            <w:gridSpan w:val="3"/>
            <w:vAlign w:val="center"/>
          </w:tcPr>
          <w:p>
            <w:pPr>
              <w:autoSpaceDE w:val="0"/>
              <w:autoSpaceDN w:val="0"/>
              <w:spacing w:line="320" w:lineRule="exact"/>
              <w:ind w:firstLine="0" w:firstLineChars="0"/>
              <w:jc w:val="center"/>
              <w:rPr>
                <w:rFonts w:cs="仿宋_GB2312"/>
                <w:sz w:val="24"/>
                <w:szCs w:val="24"/>
              </w:rPr>
            </w:pPr>
            <w:r>
              <w:rPr>
                <w:rFonts w:hint="eastAsia" w:cs="仿宋_GB2312"/>
                <w:sz w:val="24"/>
                <w:szCs w:val="24"/>
              </w:rPr>
              <w:t>合计</w:t>
            </w:r>
          </w:p>
        </w:tc>
        <w:tc>
          <w:tcPr>
            <w:tcW w:w="1222" w:type="dxa"/>
            <w:vAlign w:val="center"/>
          </w:tcPr>
          <w:p>
            <w:pPr>
              <w:autoSpaceDE w:val="0"/>
              <w:autoSpaceDN w:val="0"/>
              <w:spacing w:line="320" w:lineRule="exact"/>
              <w:ind w:firstLine="0" w:firstLineChars="0"/>
              <w:jc w:val="right"/>
              <w:rPr>
                <w:rFonts w:hint="default" w:cs="仿宋_GB2312"/>
                <w:sz w:val="24"/>
                <w:szCs w:val="24"/>
                <w:lang w:val="en-US"/>
              </w:rPr>
            </w:pPr>
            <w:r>
              <w:rPr>
                <w:rFonts w:hint="default" w:cs="仿宋_GB2312"/>
                <w:sz w:val="24"/>
                <w:szCs w:val="24"/>
                <w:lang w:val="en-US"/>
              </w:rPr>
              <w:t>2.18</w:t>
            </w:r>
          </w:p>
        </w:tc>
      </w:tr>
    </w:tbl>
    <w:p>
      <w:pPr>
        <w:keepNext/>
        <w:keepLines/>
        <w:adjustRightInd/>
        <w:snapToGrid/>
        <w:spacing w:line="320" w:lineRule="exact"/>
        <w:ind w:firstLine="480"/>
        <w:rPr>
          <w:sz w:val="24"/>
          <w:szCs w:val="24"/>
        </w:rPr>
      </w:pPr>
    </w:p>
    <w:p>
      <w:pPr>
        <w:pStyle w:val="5"/>
        <w:spacing w:line="600" w:lineRule="exact"/>
        <w:ind w:firstLine="640"/>
        <w:rPr>
          <w:rFonts w:hint="eastAsia"/>
          <w:b w:val="0"/>
        </w:rPr>
      </w:pPr>
      <w:r>
        <w:rPr>
          <w:rFonts w:hint="eastAsia"/>
          <w:b w:val="0"/>
          <w:lang w:val="en-US" w:eastAsia="zh-CN"/>
        </w:rPr>
        <w:t>2.</w:t>
      </w:r>
      <w:r>
        <w:rPr>
          <w:rFonts w:hint="eastAsia"/>
          <w:b w:val="0"/>
        </w:rPr>
        <w:t>资金管理情况</w:t>
      </w:r>
    </w:p>
    <w:p>
      <w:pPr>
        <w:spacing w:line="600" w:lineRule="exact"/>
        <w:ind w:firstLine="640"/>
        <w:rPr>
          <w:rFonts w:hint="eastAsia"/>
        </w:rPr>
      </w:pPr>
      <w:r>
        <w:rPr>
          <w:rFonts w:hint="eastAsia"/>
        </w:rPr>
        <w:t>我单位资金支出严格按照《中国人民政治协商会议深圳市罗湖区委员会内部控制手册》及财政国库管理制度有关规定执行，按照先申报、后开支的原则进行管理。资金支付审批流程明确，单据齐全、真实，申请</w:t>
      </w:r>
      <w:r>
        <w:rPr>
          <w:rFonts w:hint="eastAsia"/>
          <w:lang w:val="en-US" w:eastAsia="zh-CN"/>
        </w:rPr>
        <w:t>的</w:t>
      </w:r>
      <w:r>
        <w:rPr>
          <w:rFonts w:hint="eastAsia"/>
        </w:rPr>
        <w:t>报销均附齐有效的报销附件，由经办人在报销审批单及相关单据上签字</w:t>
      </w:r>
      <w:r>
        <w:rPr>
          <w:rFonts w:hint="eastAsia"/>
          <w:lang w:val="en-US" w:eastAsia="zh-CN"/>
        </w:rPr>
        <w:t>后</w:t>
      </w:r>
      <w:r>
        <w:rPr>
          <w:rFonts w:hint="eastAsia"/>
        </w:rPr>
        <w:t>，财务人员根据审核无误的原始凭证及时准确编制记账凭证和登记账簿，不存在支出依据不合规、虚列项目支出或截留、挤占、挪用项目资金的情况。</w:t>
      </w:r>
    </w:p>
    <w:p>
      <w:pPr>
        <w:pStyle w:val="4"/>
        <w:spacing w:line="600" w:lineRule="exact"/>
        <w:ind w:firstLine="640"/>
        <w:rPr>
          <w:b w:val="0"/>
          <w:highlight w:val="none"/>
        </w:rPr>
      </w:pPr>
      <w:bookmarkStart w:id="17" w:name="_Toc1060024105"/>
      <w:bookmarkStart w:id="18" w:name="_Toc3372"/>
      <w:bookmarkStart w:id="19" w:name="_Toc23835"/>
      <w:bookmarkStart w:id="20" w:name="_Toc24863"/>
      <w:r>
        <w:rPr>
          <w:rFonts w:hint="eastAsia"/>
          <w:b w:val="0"/>
          <w:highlight w:val="none"/>
        </w:rPr>
        <w:t>（</w:t>
      </w:r>
      <w:r>
        <w:rPr>
          <w:rFonts w:hint="eastAsia"/>
          <w:b w:val="0"/>
          <w:highlight w:val="none"/>
          <w:lang w:val="en-US" w:eastAsia="zh-CN"/>
        </w:rPr>
        <w:t>三</w:t>
      </w:r>
      <w:r>
        <w:rPr>
          <w:rFonts w:hint="eastAsia"/>
          <w:b w:val="0"/>
          <w:highlight w:val="none"/>
        </w:rPr>
        <w:t>）项目绩效目标</w:t>
      </w:r>
      <w:bookmarkEnd w:id="17"/>
      <w:bookmarkEnd w:id="18"/>
      <w:bookmarkEnd w:id="19"/>
      <w:bookmarkEnd w:id="20"/>
    </w:p>
    <w:p>
      <w:pPr>
        <w:pStyle w:val="5"/>
        <w:spacing w:line="600" w:lineRule="exact"/>
        <w:ind w:firstLine="640"/>
        <w:rPr>
          <w:b w:val="0"/>
        </w:rPr>
      </w:pPr>
      <w:bookmarkStart w:id="21" w:name="_Toc4335"/>
      <w:bookmarkStart w:id="22" w:name="_Toc12858"/>
      <w:r>
        <w:rPr>
          <w:rFonts w:hint="eastAsia"/>
          <w:b w:val="0"/>
        </w:rPr>
        <w:t>1.</w:t>
      </w:r>
      <w:r>
        <w:rPr>
          <w:rFonts w:hint="eastAsia"/>
          <w:b w:val="0"/>
          <w:lang w:val="en-US" w:eastAsia="zh-CN"/>
        </w:rPr>
        <w:t>年度</w:t>
      </w:r>
      <w:r>
        <w:rPr>
          <w:rFonts w:hint="eastAsia"/>
          <w:b w:val="0"/>
        </w:rPr>
        <w:t>目标</w:t>
      </w:r>
      <w:bookmarkEnd w:id="21"/>
      <w:bookmarkEnd w:id="22"/>
    </w:p>
    <w:p>
      <w:pPr>
        <w:spacing w:line="600" w:lineRule="exact"/>
        <w:ind w:firstLine="640"/>
      </w:pPr>
      <w:r>
        <w:rPr>
          <w:rFonts w:hint="eastAsia"/>
          <w:lang w:eastAsia="zh-CN"/>
        </w:rPr>
        <w:t>2024年</w:t>
      </w:r>
      <w:r>
        <w:rPr>
          <w:rFonts w:hint="eastAsia"/>
        </w:rPr>
        <w:t>，我单位认真履行全面从严治党主体责任，提高政协党建工作水平，推动政协履职成效的提升。通过开展党的教育培训活动，提高党务工作人员和机关党员的素质，</w:t>
      </w:r>
      <w:r>
        <w:rPr>
          <w:rFonts w:hint="eastAsia"/>
          <w:lang w:eastAsia="zh-CN"/>
        </w:rPr>
        <w:t>加</w:t>
      </w:r>
      <w:r>
        <w:rPr>
          <w:rFonts w:hint="eastAsia"/>
        </w:rPr>
        <w:t>强和改进机关党的建设。</w:t>
      </w:r>
    </w:p>
    <w:p>
      <w:pPr>
        <w:pStyle w:val="5"/>
        <w:spacing w:line="600" w:lineRule="exact"/>
        <w:ind w:firstLine="640"/>
        <w:rPr>
          <w:rFonts w:hint="default" w:eastAsia="仿宋_GB2312"/>
          <w:b w:val="0"/>
          <w:lang w:val="en-US" w:eastAsia="zh-CN"/>
        </w:rPr>
      </w:pPr>
      <w:bookmarkStart w:id="23" w:name="_Toc35"/>
      <w:bookmarkStart w:id="24" w:name="_Toc8328"/>
      <w:bookmarkStart w:id="25" w:name="_Toc7415"/>
      <w:bookmarkStart w:id="26" w:name="_Toc30512"/>
      <w:r>
        <w:rPr>
          <w:rFonts w:hint="eastAsia"/>
          <w:b w:val="0"/>
        </w:rPr>
        <w:t>2.绩效</w:t>
      </w:r>
      <w:bookmarkEnd w:id="23"/>
      <w:bookmarkEnd w:id="24"/>
      <w:r>
        <w:rPr>
          <w:rFonts w:hint="eastAsia"/>
          <w:b w:val="0"/>
          <w:lang w:val="en-US" w:eastAsia="zh-CN"/>
        </w:rPr>
        <w:t>指标及完成情况</w:t>
      </w:r>
    </w:p>
    <w:p>
      <w:pPr>
        <w:pStyle w:val="8"/>
        <w:spacing w:after="0" w:line="600" w:lineRule="exact"/>
        <w:ind w:firstLine="640"/>
      </w:pPr>
      <w:r>
        <w:rPr>
          <w:rFonts w:hint="eastAsia"/>
          <w:lang w:eastAsia="zh-CN"/>
        </w:rPr>
        <w:t>2024年</w:t>
      </w:r>
      <w:r>
        <w:rPr>
          <w:rFonts w:hint="eastAsia"/>
        </w:rPr>
        <w:t>，我单位按照区财政局要求在智慧财政系统中完成项目支出绩效自评表填报工作，但</w:t>
      </w:r>
      <w:r>
        <w:rPr>
          <w:rFonts w:hint="eastAsia"/>
          <w:lang w:val="en-US" w:eastAsia="zh-CN"/>
        </w:rPr>
        <w:t>因项目存在未设置效益指标的情况</w:t>
      </w:r>
      <w:r>
        <w:rPr>
          <w:rFonts w:hint="eastAsia"/>
        </w:rPr>
        <w:t>，</w:t>
      </w:r>
      <w:r>
        <w:rPr>
          <w:rFonts w:hint="eastAsia"/>
          <w:lang w:val="en-US" w:eastAsia="zh-CN"/>
        </w:rPr>
        <w:t>现</w:t>
      </w:r>
      <w:r>
        <w:rPr>
          <w:rFonts w:hint="eastAsia"/>
        </w:rPr>
        <w:t>基于原表</w:t>
      </w:r>
      <w:r>
        <w:rPr>
          <w:rFonts w:hint="eastAsia"/>
          <w:lang w:val="en-US" w:eastAsia="zh-CN"/>
        </w:rPr>
        <w:t>增设效益</w:t>
      </w:r>
      <w:r>
        <w:rPr>
          <w:rFonts w:hint="eastAsia"/>
        </w:rPr>
        <w:t>指标，各绩效指标完成情况如表1-2所示：</w:t>
      </w:r>
    </w:p>
    <w:p>
      <w:pPr>
        <w:spacing w:line="560" w:lineRule="exact"/>
        <w:ind w:firstLine="0" w:firstLineChars="0"/>
        <w:jc w:val="center"/>
        <w:rPr>
          <w:rFonts w:ascii="黑体" w:hAnsi="黑体" w:eastAsia="黑体" w:cs="黑体"/>
          <w:sz w:val="28"/>
          <w:szCs w:val="28"/>
        </w:rPr>
      </w:pPr>
      <w:r>
        <w:rPr>
          <w:rFonts w:hint="eastAsia" w:ascii="黑体" w:hAnsi="黑体" w:eastAsia="黑体" w:cs="黑体"/>
          <w:sz w:val="28"/>
          <w:szCs w:val="28"/>
        </w:rPr>
        <w:t>表1-2 项目支出绩效自评表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25"/>
        <w:gridCol w:w="1510"/>
        <w:gridCol w:w="3779"/>
        <w:gridCol w:w="119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tblHeader/>
          <w:jc w:val="center"/>
        </w:trPr>
        <w:tc>
          <w:tcPr>
            <w:tcW w:w="683" w:type="pct"/>
            <w:shd w:val="clear" w:color="auto" w:fill="AEAAAA"/>
            <w:tcMar>
              <w:top w:w="10" w:type="dxa"/>
              <w:left w:w="10" w:type="dxa"/>
              <w:right w:w="10" w:type="dxa"/>
            </w:tcMar>
            <w:vAlign w:val="center"/>
          </w:tcPr>
          <w:p>
            <w:pPr>
              <w:widowControl/>
              <w:spacing w:line="320" w:lineRule="exact"/>
              <w:ind w:firstLine="0" w:firstLineChars="0"/>
              <w:jc w:val="center"/>
              <w:textAlignment w:val="center"/>
              <w:rPr>
                <w:rFonts w:cs="仿宋_GB2312"/>
                <w:color w:val="000000"/>
                <w:sz w:val="24"/>
                <w:szCs w:val="24"/>
              </w:rPr>
            </w:pPr>
            <w:r>
              <w:rPr>
                <w:rFonts w:hint="eastAsia" w:cs="仿宋_GB2312"/>
                <w:color w:val="000000"/>
                <w:kern w:val="0"/>
                <w:sz w:val="24"/>
                <w:szCs w:val="24"/>
                <w:lang w:bidi="ar"/>
              </w:rPr>
              <w:t>一级指标</w:t>
            </w:r>
          </w:p>
        </w:tc>
        <w:tc>
          <w:tcPr>
            <w:tcW w:w="842" w:type="pct"/>
            <w:shd w:val="clear" w:color="auto" w:fill="AEAAAA"/>
            <w:tcMar>
              <w:top w:w="10" w:type="dxa"/>
              <w:left w:w="10" w:type="dxa"/>
              <w:right w:w="10" w:type="dxa"/>
            </w:tcMar>
            <w:vAlign w:val="center"/>
          </w:tcPr>
          <w:p>
            <w:pPr>
              <w:widowControl/>
              <w:spacing w:line="320" w:lineRule="exact"/>
              <w:ind w:firstLine="0" w:firstLineChars="0"/>
              <w:jc w:val="center"/>
              <w:textAlignment w:val="center"/>
              <w:rPr>
                <w:rFonts w:cs="仿宋_GB2312"/>
                <w:color w:val="000000"/>
                <w:sz w:val="24"/>
                <w:szCs w:val="24"/>
              </w:rPr>
            </w:pPr>
            <w:r>
              <w:rPr>
                <w:rFonts w:hint="eastAsia" w:cs="仿宋_GB2312"/>
                <w:color w:val="000000"/>
                <w:kern w:val="0"/>
                <w:sz w:val="24"/>
                <w:szCs w:val="24"/>
                <w:lang w:bidi="ar"/>
              </w:rPr>
              <w:t>二级指标</w:t>
            </w:r>
          </w:p>
        </w:tc>
        <w:tc>
          <w:tcPr>
            <w:tcW w:w="2107" w:type="pct"/>
            <w:shd w:val="clear" w:color="auto" w:fill="AEAAAA"/>
            <w:tcMar>
              <w:top w:w="10" w:type="dxa"/>
              <w:left w:w="10" w:type="dxa"/>
              <w:right w:w="10" w:type="dxa"/>
            </w:tcMar>
            <w:vAlign w:val="center"/>
          </w:tcPr>
          <w:p>
            <w:pPr>
              <w:widowControl/>
              <w:spacing w:line="320" w:lineRule="exact"/>
              <w:ind w:firstLine="0" w:firstLineChars="0"/>
              <w:jc w:val="center"/>
              <w:textAlignment w:val="center"/>
              <w:rPr>
                <w:rFonts w:cs="仿宋_GB2312"/>
                <w:color w:val="000000"/>
                <w:sz w:val="24"/>
                <w:szCs w:val="24"/>
              </w:rPr>
            </w:pPr>
            <w:r>
              <w:rPr>
                <w:rFonts w:hint="eastAsia" w:cs="仿宋_GB2312"/>
                <w:color w:val="000000"/>
                <w:kern w:val="0"/>
                <w:sz w:val="24"/>
                <w:szCs w:val="24"/>
                <w:lang w:bidi="ar"/>
              </w:rPr>
              <w:t>指标内容</w:t>
            </w:r>
          </w:p>
        </w:tc>
        <w:tc>
          <w:tcPr>
            <w:tcW w:w="668" w:type="pct"/>
            <w:shd w:val="clear" w:color="auto" w:fill="AEAAAA"/>
            <w:tcMar>
              <w:top w:w="10" w:type="dxa"/>
              <w:left w:w="10" w:type="dxa"/>
              <w:right w:w="10" w:type="dxa"/>
            </w:tcMar>
            <w:vAlign w:val="center"/>
          </w:tcPr>
          <w:p>
            <w:pPr>
              <w:widowControl/>
              <w:spacing w:line="320" w:lineRule="exact"/>
              <w:ind w:firstLine="0" w:firstLineChars="0"/>
              <w:jc w:val="center"/>
              <w:textAlignment w:val="center"/>
              <w:rPr>
                <w:rFonts w:cs="仿宋_GB2312"/>
                <w:color w:val="000000"/>
                <w:sz w:val="24"/>
                <w:szCs w:val="24"/>
              </w:rPr>
            </w:pPr>
            <w:r>
              <w:rPr>
                <w:rFonts w:hint="eastAsia" w:cs="仿宋_GB2312"/>
                <w:color w:val="000000"/>
                <w:kern w:val="0"/>
                <w:sz w:val="24"/>
                <w:szCs w:val="24"/>
                <w:lang w:bidi="ar"/>
              </w:rPr>
              <w:t>目标值</w:t>
            </w:r>
          </w:p>
        </w:tc>
        <w:tc>
          <w:tcPr>
            <w:tcW w:w="698" w:type="pct"/>
            <w:shd w:val="clear" w:color="auto" w:fill="AEAAAA"/>
            <w:tcMar>
              <w:top w:w="10" w:type="dxa"/>
              <w:left w:w="10" w:type="dxa"/>
              <w:right w:w="10" w:type="dxa"/>
            </w:tcMar>
            <w:vAlign w:val="center"/>
          </w:tcPr>
          <w:p>
            <w:pPr>
              <w:widowControl/>
              <w:spacing w:line="320" w:lineRule="exact"/>
              <w:ind w:firstLine="0" w:firstLineChars="0"/>
              <w:jc w:val="center"/>
              <w:textAlignment w:val="center"/>
              <w:rPr>
                <w:rFonts w:cs="仿宋_GB2312"/>
                <w:color w:val="000000"/>
                <w:kern w:val="0"/>
                <w:sz w:val="24"/>
                <w:szCs w:val="24"/>
                <w:lang w:bidi="ar"/>
              </w:rPr>
            </w:pPr>
            <w:r>
              <w:rPr>
                <w:rFonts w:hint="eastAsia" w:cs="仿宋_GB2312"/>
                <w:color w:val="000000"/>
                <w:kern w:val="0"/>
                <w:sz w:val="24"/>
                <w:szCs w:val="24"/>
                <w:lang w:bidi="ar"/>
              </w:rPr>
              <w:t>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683" w:type="pct"/>
            <w:vMerge w:val="restar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cs="仿宋_GB2312"/>
                <w:color w:val="000000"/>
                <w:kern w:val="0"/>
                <w:sz w:val="24"/>
                <w:szCs w:val="24"/>
                <w:lang w:bidi="ar"/>
              </w:rPr>
            </w:pPr>
          </w:p>
          <w:p>
            <w:pPr>
              <w:widowControl/>
              <w:spacing w:line="320" w:lineRule="exact"/>
              <w:ind w:firstLine="0" w:firstLineChars="0"/>
              <w:jc w:val="center"/>
              <w:textAlignment w:val="center"/>
              <w:rPr>
                <w:rFonts w:cs="仿宋_GB2312"/>
                <w:color w:val="000000"/>
                <w:sz w:val="24"/>
                <w:szCs w:val="24"/>
              </w:rPr>
            </w:pPr>
            <w:r>
              <w:rPr>
                <w:rFonts w:hint="eastAsia" w:cs="仿宋_GB2312"/>
                <w:color w:val="000000"/>
                <w:kern w:val="0"/>
                <w:sz w:val="24"/>
                <w:szCs w:val="24"/>
                <w:lang w:bidi="ar"/>
              </w:rPr>
              <w:t>产出指标</w:t>
            </w:r>
          </w:p>
        </w:tc>
        <w:tc>
          <w:tcPr>
            <w:tcW w:w="842" w:type="pct"/>
            <w:vMerge w:val="restar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cs="仿宋_GB2312"/>
                <w:color w:val="000000"/>
                <w:sz w:val="24"/>
                <w:szCs w:val="24"/>
              </w:rPr>
            </w:pPr>
            <w:r>
              <w:rPr>
                <w:rFonts w:hint="eastAsia" w:cs="仿宋_GB2312"/>
                <w:color w:val="000000"/>
                <w:kern w:val="0"/>
                <w:sz w:val="24"/>
                <w:szCs w:val="24"/>
                <w:lang w:bidi="ar"/>
              </w:rPr>
              <w:t>数量指标</w:t>
            </w:r>
          </w:p>
        </w:tc>
        <w:tc>
          <w:tcPr>
            <w:tcW w:w="2107"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eastAsia" w:cs="仿宋_GB2312"/>
                <w:color w:val="000000"/>
                <w:sz w:val="24"/>
                <w:szCs w:val="24"/>
              </w:rPr>
            </w:pPr>
            <w:r>
              <w:rPr>
                <w:rFonts w:hint="default" w:cs="仿宋_GB2312"/>
                <w:color w:val="000000"/>
                <w:sz w:val="24"/>
                <w:szCs w:val="24"/>
                <w:lang w:val="en-US" w:eastAsia="zh-CN"/>
              </w:rPr>
              <w:t>党建工作培训批次</w:t>
            </w:r>
          </w:p>
        </w:tc>
        <w:tc>
          <w:tcPr>
            <w:tcW w:w="668"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eastAsia" w:cs="仿宋_GB2312"/>
                <w:color w:val="000000"/>
                <w:sz w:val="24"/>
                <w:szCs w:val="24"/>
              </w:rPr>
            </w:pPr>
            <w:r>
              <w:rPr>
                <w:rFonts w:hint="default" w:cs="仿宋_GB2312"/>
                <w:color w:val="000000"/>
                <w:sz w:val="24"/>
                <w:szCs w:val="24"/>
                <w:lang w:val="en-US" w:eastAsia="zh-CN"/>
              </w:rPr>
              <w:t>每年1期</w:t>
            </w:r>
          </w:p>
        </w:tc>
        <w:tc>
          <w:tcPr>
            <w:tcW w:w="698"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eastAsia" w:cs="仿宋_GB2312"/>
                <w:color w:val="000000"/>
                <w:sz w:val="24"/>
                <w:szCs w:val="24"/>
              </w:rPr>
            </w:pPr>
            <w:r>
              <w:rPr>
                <w:rFonts w:hint="default" w:cs="仿宋_GB2312"/>
                <w:color w:val="000000"/>
                <w:sz w:val="24"/>
                <w:szCs w:val="24"/>
                <w:lang w:val="en-US" w:eastAsia="zh-CN"/>
              </w:rPr>
              <w:t>每年1期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683" w:type="pct"/>
            <w:vMerge w:val="continue"/>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cs="仿宋_GB2312"/>
                <w:color w:val="000000"/>
                <w:kern w:val="0"/>
                <w:sz w:val="24"/>
                <w:szCs w:val="24"/>
                <w:lang w:bidi="ar"/>
              </w:rPr>
            </w:pPr>
          </w:p>
        </w:tc>
        <w:tc>
          <w:tcPr>
            <w:tcW w:w="842" w:type="pct"/>
            <w:vMerge w:val="continue"/>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cs="仿宋_GB2312"/>
                <w:color w:val="000000"/>
                <w:kern w:val="0"/>
                <w:sz w:val="24"/>
                <w:szCs w:val="24"/>
                <w:lang w:bidi="ar"/>
              </w:rPr>
            </w:pPr>
          </w:p>
        </w:tc>
        <w:tc>
          <w:tcPr>
            <w:tcW w:w="2107"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eastAsia" w:cs="仿宋_GB2312"/>
                <w:color w:val="000000"/>
                <w:sz w:val="24"/>
                <w:szCs w:val="24"/>
              </w:rPr>
            </w:pPr>
            <w:r>
              <w:rPr>
                <w:rFonts w:hint="default" w:cs="仿宋_GB2312"/>
                <w:color w:val="000000"/>
                <w:sz w:val="24"/>
                <w:szCs w:val="24"/>
                <w:lang w:val="en-US" w:eastAsia="zh-CN"/>
              </w:rPr>
              <w:t>培训机关在职党员数量</w:t>
            </w:r>
          </w:p>
        </w:tc>
        <w:tc>
          <w:tcPr>
            <w:tcW w:w="668"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eastAsia" w:cs="仿宋_GB2312"/>
                <w:color w:val="000000"/>
                <w:sz w:val="24"/>
                <w:szCs w:val="24"/>
              </w:rPr>
            </w:pPr>
            <w:r>
              <w:rPr>
                <w:rFonts w:hint="default" w:cs="仿宋_GB2312"/>
                <w:color w:val="000000"/>
                <w:sz w:val="24"/>
                <w:szCs w:val="24"/>
                <w:lang w:val="en-US" w:eastAsia="zh-CN"/>
              </w:rPr>
              <w:t>24人</w:t>
            </w:r>
          </w:p>
        </w:tc>
        <w:tc>
          <w:tcPr>
            <w:tcW w:w="698"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eastAsia" w:cs="仿宋_GB2312"/>
                <w:color w:val="000000"/>
                <w:sz w:val="24"/>
                <w:szCs w:val="24"/>
              </w:rPr>
            </w:pPr>
            <w:r>
              <w:rPr>
                <w:rFonts w:hint="default" w:cs="仿宋_GB2312"/>
                <w:color w:val="000000"/>
                <w:sz w:val="24"/>
                <w:szCs w:val="24"/>
                <w:lang w:val="en-US" w:eastAsia="zh-CN"/>
              </w:rPr>
              <w:t>24人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683" w:type="pct"/>
            <w:vMerge w:val="continue"/>
            <w:shd w:val="clear" w:color="auto" w:fill="auto"/>
            <w:tcMar>
              <w:top w:w="10" w:type="dxa"/>
              <w:left w:w="10" w:type="dxa"/>
              <w:right w:w="10" w:type="dxa"/>
            </w:tcMar>
            <w:vAlign w:val="center"/>
          </w:tcPr>
          <w:p>
            <w:pPr>
              <w:spacing w:line="320" w:lineRule="exact"/>
              <w:ind w:firstLine="0" w:firstLineChars="0"/>
              <w:jc w:val="center"/>
              <w:rPr>
                <w:rFonts w:cs="仿宋_GB2312"/>
                <w:color w:val="000000"/>
                <w:sz w:val="24"/>
                <w:szCs w:val="24"/>
              </w:rPr>
            </w:pPr>
          </w:p>
        </w:tc>
        <w:tc>
          <w:tcPr>
            <w:tcW w:w="842" w:type="pct"/>
            <w:vMerge w:val="restar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cs="仿宋_GB2312"/>
                <w:color w:val="000000"/>
                <w:sz w:val="24"/>
                <w:szCs w:val="24"/>
              </w:rPr>
            </w:pPr>
            <w:r>
              <w:rPr>
                <w:rFonts w:hint="eastAsia" w:cs="仿宋_GB2312"/>
                <w:color w:val="000000"/>
                <w:kern w:val="0"/>
                <w:sz w:val="24"/>
                <w:szCs w:val="24"/>
                <w:lang w:bidi="ar"/>
              </w:rPr>
              <w:t>质量指标</w:t>
            </w:r>
          </w:p>
        </w:tc>
        <w:tc>
          <w:tcPr>
            <w:tcW w:w="2107"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eastAsia" w:cs="仿宋_GB2312"/>
                <w:color w:val="000000"/>
                <w:sz w:val="24"/>
                <w:szCs w:val="24"/>
              </w:rPr>
            </w:pPr>
            <w:r>
              <w:rPr>
                <w:rFonts w:hint="default" w:cs="仿宋_GB2312"/>
                <w:color w:val="000000"/>
                <w:sz w:val="24"/>
                <w:szCs w:val="24"/>
                <w:lang w:val="en-US" w:eastAsia="zh-CN"/>
              </w:rPr>
              <w:t>负责党建工作的人员接受培训率</w:t>
            </w:r>
          </w:p>
        </w:tc>
        <w:tc>
          <w:tcPr>
            <w:tcW w:w="668"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eastAsia" w:cs="仿宋_GB2312"/>
                <w:color w:val="000000"/>
                <w:sz w:val="24"/>
                <w:szCs w:val="24"/>
              </w:rPr>
            </w:pPr>
            <w:r>
              <w:rPr>
                <w:rFonts w:hint="default" w:cs="仿宋_GB2312"/>
                <w:color w:val="000000"/>
                <w:sz w:val="24"/>
                <w:szCs w:val="24"/>
                <w:lang w:val="en-US" w:eastAsia="zh-CN"/>
              </w:rPr>
              <w:t>100%</w:t>
            </w:r>
          </w:p>
        </w:tc>
        <w:tc>
          <w:tcPr>
            <w:tcW w:w="698"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eastAsia" w:cs="仿宋_GB2312"/>
                <w:color w:val="000000"/>
                <w:sz w:val="24"/>
                <w:szCs w:val="24"/>
              </w:rPr>
            </w:pPr>
            <w:r>
              <w:rPr>
                <w:rFonts w:hint="default" w:cs="仿宋_GB2312"/>
                <w:color w:val="00000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683" w:type="pct"/>
            <w:vMerge w:val="continue"/>
            <w:shd w:val="clear" w:color="auto" w:fill="auto"/>
            <w:tcMar>
              <w:top w:w="10" w:type="dxa"/>
              <w:left w:w="10" w:type="dxa"/>
              <w:right w:w="10" w:type="dxa"/>
            </w:tcMar>
            <w:vAlign w:val="center"/>
          </w:tcPr>
          <w:p>
            <w:pPr>
              <w:spacing w:line="320" w:lineRule="exact"/>
              <w:ind w:firstLine="0" w:firstLineChars="0"/>
              <w:jc w:val="center"/>
              <w:rPr>
                <w:rFonts w:cs="仿宋_GB2312"/>
                <w:color w:val="000000"/>
                <w:sz w:val="24"/>
                <w:szCs w:val="24"/>
              </w:rPr>
            </w:pPr>
          </w:p>
        </w:tc>
        <w:tc>
          <w:tcPr>
            <w:tcW w:w="842" w:type="pct"/>
            <w:vMerge w:val="continue"/>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cs="仿宋_GB2312"/>
                <w:color w:val="000000"/>
                <w:kern w:val="0"/>
                <w:sz w:val="24"/>
                <w:szCs w:val="24"/>
                <w:lang w:bidi="ar"/>
              </w:rPr>
            </w:pPr>
          </w:p>
        </w:tc>
        <w:tc>
          <w:tcPr>
            <w:tcW w:w="2107"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eastAsia" w:cs="仿宋_GB2312"/>
                <w:color w:val="000000"/>
                <w:sz w:val="24"/>
                <w:szCs w:val="24"/>
              </w:rPr>
            </w:pPr>
            <w:r>
              <w:rPr>
                <w:rFonts w:hint="default" w:cs="仿宋_GB2312"/>
                <w:color w:val="000000"/>
                <w:sz w:val="24"/>
                <w:szCs w:val="24"/>
                <w:lang w:val="en-US" w:eastAsia="zh-CN"/>
              </w:rPr>
              <w:t>机关在职党员参加党建活动出席率</w:t>
            </w:r>
          </w:p>
        </w:tc>
        <w:tc>
          <w:tcPr>
            <w:tcW w:w="668"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eastAsia" w:cs="仿宋_GB2312"/>
                <w:color w:val="000000"/>
                <w:sz w:val="24"/>
                <w:szCs w:val="24"/>
              </w:rPr>
            </w:pPr>
            <w:r>
              <w:rPr>
                <w:rFonts w:hint="default" w:cs="仿宋_GB2312"/>
                <w:color w:val="000000"/>
                <w:sz w:val="24"/>
                <w:szCs w:val="24"/>
                <w:lang w:val="en-US" w:eastAsia="zh-CN"/>
              </w:rPr>
              <w:t>100%</w:t>
            </w:r>
          </w:p>
        </w:tc>
        <w:tc>
          <w:tcPr>
            <w:tcW w:w="698"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eastAsia" w:cs="仿宋_GB2312"/>
                <w:color w:val="000000"/>
                <w:sz w:val="24"/>
                <w:szCs w:val="24"/>
              </w:rPr>
            </w:pPr>
            <w:r>
              <w:rPr>
                <w:rFonts w:hint="default" w:cs="仿宋_GB2312"/>
                <w:color w:val="00000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683" w:type="pct"/>
            <w:vMerge w:val="continue"/>
            <w:shd w:val="clear" w:color="auto" w:fill="auto"/>
            <w:tcMar>
              <w:top w:w="10" w:type="dxa"/>
              <w:left w:w="10" w:type="dxa"/>
              <w:right w:w="10" w:type="dxa"/>
            </w:tcMar>
            <w:vAlign w:val="center"/>
          </w:tcPr>
          <w:p>
            <w:pPr>
              <w:spacing w:line="320" w:lineRule="exact"/>
              <w:ind w:firstLine="0" w:firstLineChars="0"/>
              <w:jc w:val="center"/>
              <w:rPr>
                <w:rFonts w:cs="仿宋_GB2312"/>
                <w:color w:val="000000"/>
                <w:sz w:val="24"/>
                <w:szCs w:val="24"/>
              </w:rPr>
            </w:pPr>
          </w:p>
        </w:tc>
        <w:tc>
          <w:tcPr>
            <w:tcW w:w="842"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cs="仿宋_GB2312"/>
                <w:color w:val="000000"/>
                <w:sz w:val="24"/>
                <w:szCs w:val="24"/>
              </w:rPr>
            </w:pPr>
            <w:r>
              <w:rPr>
                <w:rFonts w:hint="eastAsia" w:cs="仿宋_GB2312"/>
                <w:color w:val="000000"/>
                <w:kern w:val="0"/>
                <w:sz w:val="24"/>
                <w:szCs w:val="24"/>
                <w:lang w:bidi="ar"/>
              </w:rPr>
              <w:t>时效指标</w:t>
            </w:r>
          </w:p>
        </w:tc>
        <w:tc>
          <w:tcPr>
            <w:tcW w:w="2107"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eastAsia" w:cs="仿宋_GB2312"/>
                <w:color w:val="000000"/>
                <w:sz w:val="24"/>
                <w:szCs w:val="24"/>
              </w:rPr>
            </w:pPr>
            <w:r>
              <w:rPr>
                <w:rFonts w:hint="default" w:cs="仿宋_GB2312"/>
                <w:color w:val="000000"/>
                <w:sz w:val="24"/>
                <w:szCs w:val="24"/>
                <w:lang w:val="en-US" w:eastAsia="zh-CN"/>
              </w:rPr>
              <w:t>党建工作时长</w:t>
            </w:r>
          </w:p>
        </w:tc>
        <w:tc>
          <w:tcPr>
            <w:tcW w:w="668"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eastAsia" w:cs="仿宋_GB2312"/>
                <w:color w:val="000000"/>
                <w:sz w:val="24"/>
                <w:szCs w:val="24"/>
              </w:rPr>
            </w:pPr>
            <w:r>
              <w:rPr>
                <w:rFonts w:hint="default" w:cs="仿宋_GB2312"/>
                <w:color w:val="000000"/>
                <w:sz w:val="24"/>
                <w:szCs w:val="24"/>
                <w:lang w:val="en-US" w:eastAsia="zh-CN"/>
              </w:rPr>
              <w:t>一年</w:t>
            </w:r>
          </w:p>
        </w:tc>
        <w:tc>
          <w:tcPr>
            <w:tcW w:w="698"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eastAsia" w:cs="仿宋_GB2312"/>
                <w:color w:val="000000"/>
                <w:sz w:val="24"/>
                <w:szCs w:val="24"/>
              </w:rPr>
            </w:pPr>
            <w:r>
              <w:rPr>
                <w:rFonts w:hint="default" w:cs="仿宋_GB2312"/>
                <w:color w:val="000000"/>
                <w:sz w:val="24"/>
                <w:szCs w:val="24"/>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683" w:type="pct"/>
            <w:vMerge w:val="continue"/>
            <w:shd w:val="clear" w:color="auto" w:fill="auto"/>
            <w:tcMar>
              <w:top w:w="10" w:type="dxa"/>
              <w:left w:w="10" w:type="dxa"/>
              <w:right w:w="10" w:type="dxa"/>
            </w:tcMar>
            <w:vAlign w:val="center"/>
          </w:tcPr>
          <w:p>
            <w:pPr>
              <w:spacing w:line="320" w:lineRule="exact"/>
              <w:ind w:firstLine="0" w:firstLineChars="0"/>
              <w:jc w:val="center"/>
              <w:rPr>
                <w:rFonts w:cs="仿宋_GB2312"/>
                <w:color w:val="000000"/>
                <w:sz w:val="24"/>
                <w:szCs w:val="24"/>
              </w:rPr>
            </w:pPr>
          </w:p>
        </w:tc>
        <w:tc>
          <w:tcPr>
            <w:tcW w:w="842"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cs="仿宋_GB2312"/>
                <w:color w:val="000000"/>
                <w:kern w:val="0"/>
                <w:sz w:val="24"/>
                <w:szCs w:val="24"/>
                <w:lang w:bidi="ar"/>
              </w:rPr>
            </w:pPr>
            <w:r>
              <w:rPr>
                <w:rFonts w:hint="eastAsia" w:cs="仿宋_GB2312"/>
                <w:color w:val="000000"/>
                <w:kern w:val="0"/>
                <w:sz w:val="24"/>
                <w:szCs w:val="24"/>
                <w:lang w:bidi="ar"/>
              </w:rPr>
              <w:t>成本指标</w:t>
            </w:r>
          </w:p>
        </w:tc>
        <w:tc>
          <w:tcPr>
            <w:tcW w:w="2107"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eastAsia" w:cs="仿宋_GB2312"/>
                <w:color w:val="000000"/>
                <w:sz w:val="24"/>
                <w:szCs w:val="24"/>
              </w:rPr>
            </w:pPr>
            <w:r>
              <w:rPr>
                <w:rFonts w:hint="default" w:cs="仿宋_GB2312"/>
                <w:color w:val="000000"/>
                <w:sz w:val="24"/>
                <w:szCs w:val="24"/>
                <w:lang w:val="en-US" w:eastAsia="zh-CN"/>
              </w:rPr>
              <w:t>党建工作经费</w:t>
            </w:r>
          </w:p>
        </w:tc>
        <w:tc>
          <w:tcPr>
            <w:tcW w:w="668"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eastAsia" w:cs="仿宋_GB2312"/>
                <w:color w:val="000000"/>
                <w:sz w:val="24"/>
                <w:szCs w:val="24"/>
              </w:rPr>
            </w:pPr>
            <w:r>
              <w:rPr>
                <w:rFonts w:hint="default" w:cs="仿宋_GB2312"/>
                <w:color w:val="000000"/>
                <w:sz w:val="24"/>
                <w:szCs w:val="24"/>
                <w:lang w:val="en-US" w:eastAsia="zh-CN"/>
              </w:rPr>
              <w:t>2.6万元</w:t>
            </w:r>
          </w:p>
        </w:tc>
        <w:tc>
          <w:tcPr>
            <w:tcW w:w="698"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eastAsia" w:cs="仿宋_GB2312"/>
                <w:color w:val="000000"/>
                <w:sz w:val="24"/>
                <w:szCs w:val="24"/>
              </w:rPr>
            </w:pPr>
            <w:r>
              <w:rPr>
                <w:rFonts w:hint="default" w:cs="仿宋_GB2312"/>
                <w:color w:val="000000"/>
                <w:sz w:val="24"/>
                <w:szCs w:val="24"/>
                <w:lang w:val="en-US" w:eastAsia="zh-CN"/>
              </w:rPr>
              <w:t>2.18万元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83" w:type="pct"/>
            <w:shd w:val="clear" w:color="auto" w:fill="auto"/>
            <w:tcMar>
              <w:top w:w="10" w:type="dxa"/>
              <w:left w:w="10" w:type="dxa"/>
              <w:right w:w="10" w:type="dxa"/>
            </w:tcMar>
            <w:vAlign w:val="center"/>
          </w:tcPr>
          <w:p>
            <w:pPr>
              <w:spacing w:line="320" w:lineRule="exact"/>
              <w:ind w:firstLine="0" w:firstLineChars="0"/>
              <w:jc w:val="center"/>
              <w:rPr>
                <w:rFonts w:cs="仿宋_GB2312"/>
                <w:color w:val="000000"/>
                <w:sz w:val="24"/>
                <w:szCs w:val="24"/>
              </w:rPr>
            </w:pPr>
            <w:r>
              <w:rPr>
                <w:rFonts w:hint="eastAsia" w:cs="仿宋_GB2312"/>
                <w:color w:val="000000"/>
                <w:sz w:val="24"/>
                <w:szCs w:val="24"/>
              </w:rPr>
              <w:t>效益指标</w:t>
            </w:r>
          </w:p>
        </w:tc>
        <w:tc>
          <w:tcPr>
            <w:tcW w:w="842"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cs="仿宋_GB2312"/>
                <w:color w:val="000000"/>
                <w:sz w:val="24"/>
                <w:szCs w:val="24"/>
              </w:rPr>
            </w:pPr>
            <w:r>
              <w:rPr>
                <w:rFonts w:hint="eastAsia" w:cs="仿宋_GB2312"/>
                <w:color w:val="000000"/>
                <w:kern w:val="0"/>
                <w:sz w:val="24"/>
                <w:szCs w:val="24"/>
                <w:lang w:bidi="ar"/>
              </w:rPr>
              <w:t>社会效益指标</w:t>
            </w:r>
          </w:p>
        </w:tc>
        <w:tc>
          <w:tcPr>
            <w:tcW w:w="2107"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default" w:cs="仿宋_GB2312"/>
                <w:color w:val="000000"/>
                <w:sz w:val="24"/>
                <w:szCs w:val="24"/>
                <w:lang w:val="en-US" w:eastAsia="zh-CN"/>
              </w:rPr>
            </w:pPr>
            <w:r>
              <w:rPr>
                <w:rFonts w:hint="default" w:cs="仿宋_GB2312"/>
                <w:color w:val="000000"/>
                <w:sz w:val="24"/>
                <w:szCs w:val="24"/>
                <w:lang w:val="en-US" w:eastAsia="zh-CN"/>
              </w:rPr>
              <w:t>加强理论武装</w:t>
            </w:r>
          </w:p>
        </w:tc>
        <w:tc>
          <w:tcPr>
            <w:tcW w:w="668"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default" w:cs="仿宋_GB2312"/>
                <w:color w:val="000000"/>
                <w:sz w:val="24"/>
                <w:szCs w:val="24"/>
                <w:lang w:val="en-US" w:eastAsia="zh-CN"/>
              </w:rPr>
            </w:pPr>
            <w:r>
              <w:rPr>
                <w:rFonts w:hint="default" w:cs="仿宋_GB2312"/>
                <w:color w:val="000000"/>
                <w:sz w:val="24"/>
                <w:szCs w:val="24"/>
                <w:lang w:val="en-US" w:eastAsia="zh-CN"/>
              </w:rPr>
              <w:t>显著</w:t>
            </w:r>
          </w:p>
        </w:tc>
        <w:tc>
          <w:tcPr>
            <w:tcW w:w="698" w:type="pct"/>
            <w:shd w:val="clear" w:color="auto" w:fill="auto"/>
            <w:tcMar>
              <w:top w:w="10" w:type="dxa"/>
              <w:left w:w="10" w:type="dxa"/>
              <w:right w:w="10" w:type="dxa"/>
            </w:tcMar>
            <w:vAlign w:val="center"/>
          </w:tcPr>
          <w:p>
            <w:pPr>
              <w:widowControl/>
              <w:spacing w:line="320" w:lineRule="exact"/>
              <w:ind w:firstLine="0" w:firstLineChars="0"/>
              <w:jc w:val="center"/>
              <w:textAlignment w:val="center"/>
              <w:rPr>
                <w:rFonts w:hint="default" w:cs="仿宋_GB2312"/>
                <w:color w:val="000000"/>
                <w:sz w:val="24"/>
                <w:szCs w:val="24"/>
                <w:lang w:val="en-US" w:eastAsia="zh-CN"/>
              </w:rPr>
            </w:pPr>
            <w:r>
              <w:rPr>
                <w:rFonts w:hint="default" w:cs="仿宋_GB2312"/>
                <w:color w:val="000000"/>
                <w:sz w:val="24"/>
                <w:szCs w:val="24"/>
                <w:lang w:val="en-US" w:eastAsia="zh-CN"/>
              </w:rPr>
              <w:t>100%</w:t>
            </w:r>
          </w:p>
        </w:tc>
      </w:tr>
    </w:tbl>
    <w:p>
      <w:pPr>
        <w:spacing w:line="320" w:lineRule="exact"/>
        <w:ind w:firstLine="480"/>
        <w:rPr>
          <w:rFonts w:cs="仿宋_GB2312"/>
          <w:sz w:val="24"/>
          <w:szCs w:val="24"/>
        </w:rPr>
      </w:pPr>
    </w:p>
    <w:p>
      <w:pPr>
        <w:pStyle w:val="3"/>
        <w:spacing w:line="600" w:lineRule="exact"/>
        <w:ind w:firstLine="640"/>
        <w:rPr>
          <w:rFonts w:hint="eastAsia" w:cs="Times New Roman"/>
        </w:rPr>
      </w:pPr>
      <w:bookmarkStart w:id="27" w:name="_Toc300797223"/>
      <w:bookmarkStart w:id="28" w:name="_Toc28864"/>
      <w:bookmarkStart w:id="29" w:name="_Toc2054090102"/>
      <w:bookmarkStart w:id="30" w:name="_Toc28076"/>
      <w:bookmarkStart w:id="31" w:name="_Toc14403"/>
      <w:r>
        <w:rPr>
          <w:rFonts w:hint="eastAsia" w:cs="Times New Roman"/>
        </w:rPr>
        <w:t>二、绩效评价工作开展情况</w:t>
      </w:r>
      <w:bookmarkEnd w:id="27"/>
      <w:bookmarkEnd w:id="28"/>
      <w:bookmarkEnd w:id="29"/>
      <w:bookmarkEnd w:id="30"/>
    </w:p>
    <w:p>
      <w:pPr>
        <w:pStyle w:val="4"/>
        <w:spacing w:line="600" w:lineRule="exact"/>
        <w:ind w:firstLine="640"/>
        <w:rPr>
          <w:rFonts w:hint="eastAsia" w:cs="Times New Roman"/>
          <w:b w:val="0"/>
          <w:highlight w:val="none"/>
          <w:lang w:eastAsia="zh-Hans"/>
        </w:rPr>
      </w:pPr>
      <w:bookmarkStart w:id="32" w:name="_Toc145235142"/>
      <w:bookmarkStart w:id="33" w:name="_Toc15101"/>
      <w:bookmarkStart w:id="34" w:name="_Toc322421923"/>
      <w:bookmarkStart w:id="35" w:name="_Toc15380"/>
      <w:r>
        <w:rPr>
          <w:rFonts w:hint="eastAsia" w:cs="Times New Roman"/>
          <w:b w:val="0"/>
          <w:highlight w:val="none"/>
          <w:lang w:eastAsia="zh-Hans"/>
        </w:rPr>
        <w:t>（一）绩效评价目的、对象和范围</w:t>
      </w:r>
      <w:bookmarkEnd w:id="32"/>
      <w:bookmarkEnd w:id="33"/>
      <w:bookmarkEnd w:id="34"/>
      <w:bookmarkEnd w:id="35"/>
    </w:p>
    <w:p>
      <w:pPr>
        <w:pStyle w:val="5"/>
        <w:spacing w:line="600" w:lineRule="exact"/>
        <w:ind w:firstLine="640"/>
        <w:rPr>
          <w:rFonts w:hint="eastAsia" w:cs="Times New Roman"/>
          <w:b w:val="0"/>
          <w:lang w:eastAsia="zh-Hans"/>
        </w:rPr>
      </w:pPr>
      <w:r>
        <w:rPr>
          <w:rFonts w:hint="eastAsia" w:cs="Times New Roman"/>
          <w:b w:val="0"/>
          <w:lang w:eastAsia="zh-Hans"/>
        </w:rPr>
        <w:t>1.评价目的</w:t>
      </w:r>
    </w:p>
    <w:p>
      <w:pPr>
        <w:pStyle w:val="8"/>
        <w:spacing w:after="0" w:line="600" w:lineRule="exact"/>
        <w:ind w:firstLine="640"/>
        <w:rPr>
          <w:rFonts w:hint="eastAsia" w:cs="Times New Roman"/>
          <w:lang w:eastAsia="zh-Hans"/>
        </w:rPr>
      </w:pPr>
      <w:r>
        <w:rPr>
          <w:rFonts w:hint="eastAsia" w:cs="Times New Roman"/>
          <w:lang w:eastAsia="zh-Hans"/>
        </w:rPr>
        <w:t>本次绩效评价旨在研究</w:t>
      </w:r>
      <w:r>
        <w:rPr>
          <w:rFonts w:hint="eastAsia" w:cs="Times New Roman"/>
          <w:lang w:eastAsia="zh-CN"/>
        </w:rPr>
        <w:t>“基层党组织党建工作经费”</w:t>
      </w:r>
      <w:r>
        <w:rPr>
          <w:rFonts w:hint="eastAsia" w:cs="Times New Roman"/>
          <w:lang w:eastAsia="zh-Hans"/>
        </w:rPr>
        <w:t>项目的开展情况以及预算资金的经济性、效率性和效益性。同时，通过绩效评价</w:t>
      </w:r>
      <w:r>
        <w:rPr>
          <w:rFonts w:hint="eastAsia" w:cs="Times New Roman"/>
          <w:lang w:eastAsia="zh-CN"/>
        </w:rPr>
        <w:t>总结经验、分析存在问题及原因，采取切实</w:t>
      </w:r>
      <w:r>
        <w:rPr>
          <w:rFonts w:hint="eastAsia" w:cs="Times New Roman"/>
          <w:lang w:val="en-US" w:eastAsia="zh-CN"/>
        </w:rPr>
        <w:t>可行的</w:t>
      </w:r>
      <w:r>
        <w:rPr>
          <w:rFonts w:hint="eastAsia" w:cs="Times New Roman"/>
          <w:lang w:eastAsia="zh-CN"/>
        </w:rPr>
        <w:t>措施，进一步改进和加强财政资金管理，不断提高财政资金</w:t>
      </w:r>
      <w:r>
        <w:rPr>
          <w:rFonts w:hint="eastAsia" w:cs="Times New Roman"/>
          <w:lang w:val="en-US" w:eastAsia="zh-CN"/>
        </w:rPr>
        <w:t>的</w:t>
      </w:r>
      <w:r>
        <w:rPr>
          <w:rFonts w:hint="eastAsia" w:cs="Times New Roman"/>
          <w:lang w:eastAsia="zh-CN"/>
        </w:rPr>
        <w:t>使用效益，</w:t>
      </w:r>
      <w:r>
        <w:rPr>
          <w:rFonts w:hint="eastAsia" w:cs="Times New Roman"/>
          <w:lang w:eastAsia="zh-Hans"/>
        </w:rPr>
        <w:t>为今后</w:t>
      </w:r>
      <w:r>
        <w:rPr>
          <w:rFonts w:hint="eastAsia" w:cs="Times New Roman"/>
          <w:lang w:val="en-US" w:eastAsia="zh-CN"/>
        </w:rPr>
        <w:t>加强</w:t>
      </w:r>
      <w:r>
        <w:rPr>
          <w:rFonts w:hint="eastAsia" w:cs="Times New Roman"/>
          <w:lang w:eastAsia="zh-Hans"/>
        </w:rPr>
        <w:t>同类项目</w:t>
      </w:r>
      <w:r>
        <w:rPr>
          <w:rFonts w:hint="eastAsia" w:cs="Times New Roman"/>
          <w:lang w:val="en-US" w:eastAsia="zh-CN"/>
        </w:rPr>
        <w:t>管理</w:t>
      </w:r>
      <w:r>
        <w:rPr>
          <w:rFonts w:hint="eastAsia" w:cs="Times New Roman"/>
          <w:lang w:eastAsia="zh-Hans"/>
        </w:rPr>
        <w:t>提供可行性参考。</w:t>
      </w:r>
    </w:p>
    <w:p>
      <w:pPr>
        <w:pStyle w:val="5"/>
        <w:spacing w:line="600" w:lineRule="exact"/>
        <w:ind w:firstLine="640"/>
        <w:rPr>
          <w:rFonts w:hint="eastAsia" w:cs="Times New Roman"/>
          <w:b w:val="0"/>
          <w:lang w:eastAsia="zh-Hans"/>
        </w:rPr>
      </w:pPr>
      <w:bookmarkStart w:id="36" w:name="_Toc862130532_WPSOffice_Level2"/>
      <w:r>
        <w:rPr>
          <w:rFonts w:hint="eastAsia" w:cs="Times New Roman"/>
          <w:b w:val="0"/>
          <w:lang w:eastAsia="zh-Hans"/>
        </w:rPr>
        <w:t>2.评价对象和范围</w:t>
      </w:r>
    </w:p>
    <w:p>
      <w:pPr>
        <w:pStyle w:val="8"/>
        <w:spacing w:after="0" w:line="600" w:lineRule="exact"/>
        <w:ind w:firstLine="640"/>
        <w:rPr>
          <w:rFonts w:hint="eastAsia" w:cs="Times New Roman"/>
          <w:lang w:val="zh-CN" w:eastAsia="zh-CN"/>
        </w:rPr>
      </w:pPr>
      <w:r>
        <w:rPr>
          <w:rFonts w:hint="eastAsia" w:cs="Times New Roman"/>
          <w:lang w:val="zh-CN" w:eastAsia="zh-CN"/>
        </w:rPr>
        <w:t>从</w:t>
      </w:r>
      <w:r>
        <w:rPr>
          <w:rFonts w:hint="eastAsia" w:cs="Times New Roman"/>
          <w:lang w:val="en-US" w:eastAsia="zh-CN"/>
        </w:rPr>
        <w:t>决策</w:t>
      </w:r>
      <w:r>
        <w:rPr>
          <w:rFonts w:hint="eastAsia" w:cs="Times New Roman"/>
          <w:lang w:val="zh-CN" w:eastAsia="zh-CN"/>
        </w:rPr>
        <w:t>、</w:t>
      </w:r>
      <w:r>
        <w:rPr>
          <w:rFonts w:hint="eastAsia" w:cs="Times New Roman"/>
          <w:lang w:val="en-US" w:eastAsia="zh-CN"/>
        </w:rPr>
        <w:t>过程</w:t>
      </w:r>
      <w:r>
        <w:rPr>
          <w:rFonts w:hint="eastAsia" w:cs="Times New Roman"/>
          <w:lang w:val="zh-CN" w:eastAsia="zh-CN"/>
        </w:rPr>
        <w:t>、产出、</w:t>
      </w:r>
      <w:r>
        <w:rPr>
          <w:rFonts w:hint="eastAsia" w:cs="Times New Roman"/>
          <w:lang w:val="en-US" w:eastAsia="zh-CN"/>
        </w:rPr>
        <w:t>效益</w:t>
      </w:r>
      <w:r>
        <w:rPr>
          <w:rFonts w:hint="eastAsia" w:cs="Times New Roman"/>
          <w:lang w:eastAsia="zh-CN"/>
        </w:rPr>
        <w:t>等方面</w:t>
      </w:r>
      <w:r>
        <w:rPr>
          <w:rFonts w:hint="eastAsia" w:cs="Times New Roman"/>
          <w:lang w:val="zh-CN" w:eastAsia="zh-CN"/>
        </w:rPr>
        <w:t>对</w:t>
      </w:r>
      <w:r>
        <w:rPr>
          <w:rFonts w:hint="eastAsia" w:cs="Times New Roman"/>
          <w:lang w:val="en-US" w:eastAsia="zh-CN"/>
        </w:rPr>
        <w:t>项目</w:t>
      </w:r>
      <w:r>
        <w:rPr>
          <w:rFonts w:hint="eastAsia" w:cs="Times New Roman"/>
          <w:lang w:val="zh-CN" w:eastAsia="zh-CN"/>
        </w:rPr>
        <w:t>全过程进行绩效评价。根据</w:t>
      </w:r>
      <w:r>
        <w:rPr>
          <w:rFonts w:hint="eastAsia" w:cs="Times New Roman"/>
          <w:lang w:eastAsia="zh-CN"/>
        </w:rPr>
        <w:t>工作</w:t>
      </w:r>
      <w:r>
        <w:rPr>
          <w:rFonts w:hint="eastAsia" w:cs="Times New Roman"/>
          <w:lang w:val="zh-CN" w:eastAsia="zh-CN"/>
        </w:rPr>
        <w:t>完成后的客观事实，对已达成的</w:t>
      </w:r>
      <w:r>
        <w:rPr>
          <w:rFonts w:hint="eastAsia" w:cs="Times New Roman"/>
          <w:lang w:val="en-US" w:eastAsia="zh-CN"/>
        </w:rPr>
        <w:t>目标</w:t>
      </w:r>
      <w:r>
        <w:rPr>
          <w:rFonts w:hint="eastAsia" w:cs="Times New Roman"/>
          <w:lang w:val="zh-CN" w:eastAsia="zh-CN"/>
        </w:rPr>
        <w:t>及可预期的绩效进行鉴定。从绩效结果出发，反查</w:t>
      </w:r>
      <w:r>
        <w:rPr>
          <w:rFonts w:hint="eastAsia" w:cs="Times New Roman"/>
          <w:lang w:eastAsia="zh-CN"/>
        </w:rPr>
        <w:t>工作</w:t>
      </w:r>
      <w:r>
        <w:rPr>
          <w:rFonts w:hint="eastAsia" w:cs="Times New Roman"/>
          <w:lang w:val="zh-CN" w:eastAsia="zh-CN"/>
        </w:rPr>
        <w:t>立项、实施及监管过程，考察</w:t>
      </w:r>
      <w:r>
        <w:rPr>
          <w:rFonts w:hint="eastAsia" w:cs="Times New Roman"/>
          <w:lang w:val="en-US" w:eastAsia="zh-CN"/>
        </w:rPr>
        <w:t>项目</w:t>
      </w:r>
      <w:r>
        <w:rPr>
          <w:rFonts w:hint="eastAsia" w:cs="Times New Roman"/>
          <w:lang w:val="zh-CN" w:eastAsia="zh-CN"/>
        </w:rPr>
        <w:t>具体实施状况、绩效目标</w:t>
      </w:r>
      <w:r>
        <w:rPr>
          <w:rFonts w:hint="eastAsia" w:cs="Times New Roman"/>
          <w:lang w:val="en-US" w:eastAsia="zh-CN"/>
        </w:rPr>
        <w:t>完成</w:t>
      </w:r>
      <w:r>
        <w:rPr>
          <w:rFonts w:hint="eastAsia" w:cs="Times New Roman"/>
          <w:lang w:eastAsia="zh-CN"/>
        </w:rPr>
        <w:t>情况</w:t>
      </w:r>
      <w:r>
        <w:rPr>
          <w:rFonts w:hint="eastAsia" w:cs="Times New Roman"/>
          <w:lang w:val="en-US" w:eastAsia="zh-CN"/>
        </w:rPr>
        <w:t>等</w:t>
      </w:r>
      <w:r>
        <w:rPr>
          <w:rFonts w:hint="eastAsia" w:cs="Times New Roman"/>
          <w:lang w:val="zh-CN" w:eastAsia="zh-CN"/>
        </w:rPr>
        <w:t>。</w:t>
      </w:r>
    </w:p>
    <w:bookmarkEnd w:id="36"/>
    <w:p>
      <w:pPr>
        <w:pStyle w:val="5"/>
        <w:spacing w:line="600" w:lineRule="exact"/>
        <w:ind w:firstLine="640"/>
        <w:rPr>
          <w:rFonts w:hint="eastAsia" w:cs="Times New Roman"/>
          <w:b w:val="0"/>
          <w:lang w:eastAsia="zh-Hans"/>
        </w:rPr>
      </w:pPr>
      <w:bookmarkStart w:id="37" w:name="_Toc4462"/>
      <w:bookmarkStart w:id="38" w:name="_Toc1425608602"/>
      <w:r>
        <w:rPr>
          <w:rFonts w:hint="eastAsia" w:cs="Times New Roman"/>
          <w:b w:val="0"/>
          <w:lang w:eastAsia="zh-Hans"/>
        </w:rPr>
        <w:t>3.绩效评价依据</w:t>
      </w:r>
      <w:bookmarkEnd w:id="37"/>
      <w:bookmarkEnd w:id="38"/>
    </w:p>
    <w:p>
      <w:pPr>
        <w:pStyle w:val="8"/>
        <w:spacing w:after="0" w:line="600" w:lineRule="exact"/>
        <w:ind w:firstLine="640"/>
        <w:rPr>
          <w:rFonts w:hint="eastAsia" w:cs="Times New Roman"/>
          <w:lang w:val="zh-CN" w:eastAsia="zh-CN"/>
        </w:rPr>
      </w:pPr>
      <w:r>
        <w:rPr>
          <w:rFonts w:hint="eastAsia" w:cs="Times New Roman"/>
          <w:lang w:val="zh-CN" w:eastAsia="zh-CN"/>
        </w:rPr>
        <w:t>（1）《中共中央国务院关于全面实施预算绩效管理的意见》（中发〔2018〕34号）；</w:t>
      </w:r>
    </w:p>
    <w:p>
      <w:pPr>
        <w:pStyle w:val="8"/>
        <w:spacing w:after="0" w:line="600" w:lineRule="exact"/>
        <w:ind w:firstLine="640"/>
        <w:rPr>
          <w:rFonts w:hint="eastAsia" w:cs="Times New Roman"/>
          <w:lang w:val="zh-CN" w:eastAsia="zh-CN"/>
        </w:rPr>
      </w:pPr>
      <w:r>
        <w:rPr>
          <w:rFonts w:hint="eastAsia" w:cs="Times New Roman"/>
          <w:lang w:val="zh-CN" w:eastAsia="zh-CN"/>
        </w:rPr>
        <w:t>（2）</w:t>
      </w:r>
      <w:r>
        <w:rPr>
          <w:rFonts w:hint="eastAsia" w:cs="Times New Roman"/>
          <w:lang w:val="zh-CN" w:eastAsia="zh-Hans"/>
        </w:rPr>
        <w:t>《财政部关于印发＜项目支出绩效评价管理办法＞的通知》（财预〔2020〕10号）</w:t>
      </w:r>
      <w:r>
        <w:rPr>
          <w:rFonts w:hint="eastAsia" w:cs="Times New Roman"/>
          <w:lang w:val="zh-CN" w:eastAsia="zh-CN"/>
        </w:rPr>
        <w:t>；</w:t>
      </w:r>
    </w:p>
    <w:p>
      <w:pPr>
        <w:pStyle w:val="8"/>
        <w:spacing w:after="0" w:line="600" w:lineRule="exact"/>
        <w:ind w:firstLine="640"/>
        <w:rPr>
          <w:rFonts w:hint="eastAsia" w:cs="Times New Roman"/>
          <w:lang w:val="zh-CN" w:eastAsia="zh-CN"/>
        </w:rPr>
      </w:pPr>
      <w:r>
        <w:rPr>
          <w:rFonts w:hint="eastAsia" w:cs="Times New Roman"/>
          <w:lang w:val="zh-CN" w:eastAsia="zh-CN"/>
        </w:rPr>
        <w:t>（3）</w:t>
      </w:r>
      <w:r>
        <w:rPr>
          <w:rFonts w:hint="eastAsia" w:cs="Times New Roman"/>
          <w:lang w:val="zh-CN" w:eastAsia="zh-Hans"/>
        </w:rPr>
        <w:t>《深圳市市级项目支出绩效评价工作规程》（深财绩〔2020〕14号）</w:t>
      </w:r>
      <w:r>
        <w:rPr>
          <w:rFonts w:hint="eastAsia" w:cs="Times New Roman"/>
          <w:lang w:val="zh-CN" w:eastAsia="zh-CN"/>
        </w:rPr>
        <w:t>；</w:t>
      </w:r>
    </w:p>
    <w:p>
      <w:pPr>
        <w:pStyle w:val="8"/>
        <w:spacing w:after="0" w:line="600" w:lineRule="exact"/>
        <w:ind w:firstLine="640"/>
        <w:rPr>
          <w:rFonts w:hint="eastAsia" w:cs="Times New Roman"/>
          <w:lang w:val="en-US" w:eastAsia="zh-CN"/>
        </w:rPr>
      </w:pPr>
      <w:r>
        <w:rPr>
          <w:rFonts w:hint="eastAsia" w:cs="Times New Roman"/>
          <w:lang w:val="zh-CN" w:eastAsia="zh-CN"/>
        </w:rPr>
        <w:t>（</w:t>
      </w:r>
      <w:r>
        <w:rPr>
          <w:rFonts w:hint="eastAsia" w:cs="Times New Roman"/>
          <w:lang w:val="en-US" w:eastAsia="zh-CN"/>
        </w:rPr>
        <w:t>4</w:t>
      </w:r>
      <w:r>
        <w:rPr>
          <w:rFonts w:hint="eastAsia" w:cs="Times New Roman"/>
          <w:lang w:val="zh-CN" w:eastAsia="zh-CN"/>
        </w:rPr>
        <w:t>）《深圳市罗湖区财政局关于印发&lt;2025年全面实施预算绩效管理工作方案&gt;的通知》（罗财〔2025〕37号）；</w:t>
      </w:r>
    </w:p>
    <w:p>
      <w:pPr>
        <w:pStyle w:val="8"/>
        <w:spacing w:after="0" w:line="600" w:lineRule="exact"/>
        <w:ind w:firstLine="640"/>
        <w:rPr>
          <w:rFonts w:hint="eastAsia" w:cs="Times New Roman"/>
          <w:lang w:val="zh-CN" w:eastAsia="zh-Hans"/>
        </w:rPr>
      </w:pPr>
      <w:r>
        <w:rPr>
          <w:rFonts w:hint="eastAsia" w:cs="Times New Roman"/>
          <w:lang w:val="zh-CN" w:eastAsia="zh-CN"/>
        </w:rPr>
        <w:t>（</w:t>
      </w:r>
      <w:r>
        <w:rPr>
          <w:rFonts w:hint="eastAsia" w:cs="Times New Roman"/>
          <w:lang w:val="en-US" w:eastAsia="zh-CN"/>
        </w:rPr>
        <w:t>5）其他相关资料、数据</w:t>
      </w:r>
      <w:r>
        <w:rPr>
          <w:rFonts w:hint="eastAsia" w:cs="Times New Roman"/>
          <w:lang w:val="zh-CN" w:eastAsia="zh-CN"/>
        </w:rPr>
        <w:t>。</w:t>
      </w:r>
    </w:p>
    <w:p>
      <w:pPr>
        <w:pStyle w:val="4"/>
        <w:spacing w:line="600" w:lineRule="exact"/>
        <w:ind w:firstLine="640"/>
        <w:rPr>
          <w:rFonts w:hint="eastAsia" w:cs="Times New Roman"/>
          <w:b w:val="0"/>
          <w:highlight w:val="none"/>
          <w:lang w:eastAsia="zh-Hans"/>
        </w:rPr>
      </w:pPr>
      <w:bookmarkStart w:id="39" w:name="_Toc8730"/>
      <w:bookmarkStart w:id="40" w:name="_Toc29237"/>
      <w:bookmarkStart w:id="41" w:name="_Toc844018480"/>
      <w:bookmarkStart w:id="42" w:name="_Toc728724235"/>
      <w:r>
        <w:rPr>
          <w:rFonts w:hint="eastAsia" w:cs="Times New Roman"/>
          <w:b w:val="0"/>
          <w:highlight w:val="none"/>
          <w:lang w:eastAsia="zh-Hans"/>
        </w:rPr>
        <w:t>（二）绩效评价原则、评价方法、评价标准</w:t>
      </w:r>
      <w:bookmarkEnd w:id="39"/>
      <w:bookmarkEnd w:id="40"/>
      <w:bookmarkEnd w:id="41"/>
      <w:bookmarkEnd w:id="42"/>
    </w:p>
    <w:p>
      <w:pPr>
        <w:pStyle w:val="5"/>
        <w:spacing w:line="600" w:lineRule="exact"/>
        <w:ind w:firstLine="640"/>
        <w:rPr>
          <w:rFonts w:hint="eastAsia" w:cs="Times New Roman"/>
          <w:b w:val="0"/>
          <w:lang w:eastAsia="zh-Hans"/>
        </w:rPr>
      </w:pPr>
      <w:r>
        <w:rPr>
          <w:rFonts w:hint="eastAsia" w:cs="Times New Roman"/>
          <w:b w:val="0"/>
          <w:lang w:eastAsia="zh-Hans"/>
        </w:rPr>
        <w:t>1.评价原则</w:t>
      </w:r>
    </w:p>
    <w:p>
      <w:pPr>
        <w:pStyle w:val="8"/>
        <w:spacing w:after="0" w:line="600" w:lineRule="exact"/>
        <w:ind w:firstLine="640"/>
        <w:rPr>
          <w:rFonts w:hint="eastAsia" w:cs="Times New Roman"/>
          <w:lang w:val="zh-CN" w:eastAsia="zh-CN"/>
        </w:rPr>
      </w:pPr>
      <w:r>
        <w:rPr>
          <w:rFonts w:hint="eastAsia" w:cs="Times New Roman"/>
          <w:lang w:val="zh-CN" w:eastAsia="zh-CN"/>
        </w:rPr>
        <w:t>（1）科学规范原则</w:t>
      </w:r>
    </w:p>
    <w:p>
      <w:pPr>
        <w:pStyle w:val="8"/>
        <w:spacing w:after="0" w:line="600" w:lineRule="exact"/>
        <w:ind w:firstLine="640"/>
        <w:rPr>
          <w:rFonts w:hint="eastAsia" w:cs="Times New Roman"/>
          <w:lang w:val="zh-CN" w:eastAsia="zh-CN"/>
        </w:rPr>
      </w:pPr>
      <w:r>
        <w:rPr>
          <w:rFonts w:hint="eastAsia" w:cs="Times New Roman"/>
          <w:lang w:val="zh-CN" w:eastAsia="zh-CN"/>
        </w:rPr>
        <w:t>根据《深圳市罗湖区财政局关于印发&lt;2025年全面实施预算绩效管理工作方案&gt;的通知》（罗财〔2025〕37号）要求，</w:t>
      </w:r>
      <w:r>
        <w:rPr>
          <w:rFonts w:hint="eastAsia" w:cs="Times New Roman"/>
          <w:lang w:val="en-US" w:eastAsia="zh-CN"/>
        </w:rPr>
        <w:t>我单位及时</w:t>
      </w:r>
      <w:r>
        <w:rPr>
          <w:rFonts w:hint="eastAsia" w:cs="Times New Roman"/>
          <w:lang w:val="zh-CN" w:eastAsia="zh-CN"/>
        </w:rPr>
        <w:t>收集整理</w:t>
      </w:r>
      <w:r>
        <w:rPr>
          <w:rFonts w:hint="eastAsia" w:cs="Times New Roman"/>
          <w:lang w:val="en-US" w:eastAsia="zh-CN"/>
        </w:rPr>
        <w:t>相关数据资料</w:t>
      </w:r>
      <w:r>
        <w:rPr>
          <w:rFonts w:hint="eastAsia" w:cs="Times New Roman"/>
          <w:lang w:val="zh-CN" w:eastAsia="zh-CN"/>
        </w:rPr>
        <w:t>，对其中的问题及时发现、处理，保证报告科学、规范。</w:t>
      </w:r>
    </w:p>
    <w:p>
      <w:pPr>
        <w:pStyle w:val="8"/>
        <w:spacing w:after="0" w:line="600" w:lineRule="exact"/>
        <w:ind w:firstLine="640"/>
        <w:rPr>
          <w:rFonts w:hint="eastAsia" w:cs="Times New Roman"/>
          <w:lang w:val="zh-CN" w:eastAsia="zh-CN"/>
        </w:rPr>
      </w:pPr>
      <w:r>
        <w:rPr>
          <w:rFonts w:hint="eastAsia" w:cs="Times New Roman"/>
          <w:lang w:val="zh-CN" w:eastAsia="zh-CN"/>
        </w:rPr>
        <w:t>（2）公正公开原则</w:t>
      </w:r>
    </w:p>
    <w:p>
      <w:pPr>
        <w:pStyle w:val="8"/>
        <w:spacing w:after="0" w:line="600" w:lineRule="exact"/>
        <w:ind w:firstLine="640"/>
        <w:rPr>
          <w:rFonts w:hint="eastAsia" w:cs="Times New Roman"/>
          <w:lang w:val="zh-CN" w:eastAsia="zh-CN"/>
        </w:rPr>
      </w:pPr>
      <w:r>
        <w:rPr>
          <w:rFonts w:hint="eastAsia" w:cs="Times New Roman"/>
          <w:lang w:val="zh-CN" w:eastAsia="zh-CN"/>
        </w:rPr>
        <w:t>保障评价目标的设定、指标体系的研发及设计、数据填报、复核等所有环节公开、程序规范、合理，</w:t>
      </w:r>
      <w:r>
        <w:rPr>
          <w:rFonts w:hint="eastAsia" w:cs="Times New Roman"/>
          <w:lang w:val="en-US" w:eastAsia="zh-CN"/>
        </w:rPr>
        <w:t>并</w:t>
      </w:r>
      <w:r>
        <w:rPr>
          <w:rFonts w:hint="eastAsia" w:cs="Times New Roman"/>
          <w:lang w:val="zh-CN" w:eastAsia="zh-CN"/>
        </w:rPr>
        <w:t>及时发现、处理评价过程中的问题，以保证评价结果准确、客观和科学。</w:t>
      </w:r>
    </w:p>
    <w:p>
      <w:pPr>
        <w:pStyle w:val="8"/>
        <w:spacing w:after="0" w:line="600" w:lineRule="exact"/>
        <w:ind w:firstLine="640"/>
        <w:rPr>
          <w:rFonts w:hint="eastAsia" w:cs="Times New Roman"/>
          <w:lang w:val="zh-CN" w:eastAsia="zh-CN"/>
        </w:rPr>
      </w:pPr>
      <w:r>
        <w:rPr>
          <w:rFonts w:hint="eastAsia" w:cs="Times New Roman"/>
          <w:lang w:val="zh-CN" w:eastAsia="zh-CN"/>
        </w:rPr>
        <w:t>（3）相关性原则</w:t>
      </w:r>
    </w:p>
    <w:p>
      <w:pPr>
        <w:pStyle w:val="8"/>
        <w:spacing w:after="0" w:line="600" w:lineRule="exact"/>
        <w:ind w:firstLine="640"/>
        <w:rPr>
          <w:rFonts w:hint="eastAsia" w:cs="Times New Roman"/>
          <w:lang w:val="zh-CN" w:eastAsia="zh-CN"/>
        </w:rPr>
      </w:pPr>
      <w:r>
        <w:rPr>
          <w:rFonts w:hint="eastAsia" w:cs="Times New Roman"/>
          <w:lang w:val="zh-CN" w:eastAsia="zh-CN"/>
        </w:rPr>
        <w:t>评价以数据为准绳，坚持客观评价，由相关部门填报数据，评价组</w:t>
      </w:r>
      <w:r>
        <w:rPr>
          <w:rFonts w:hint="eastAsia" w:cs="Times New Roman"/>
          <w:lang w:val="en-US" w:eastAsia="zh-CN"/>
        </w:rPr>
        <w:t>进行核对、汇总及分析</w:t>
      </w:r>
      <w:r>
        <w:rPr>
          <w:rFonts w:hint="eastAsia" w:cs="Times New Roman"/>
          <w:lang w:val="zh-CN" w:eastAsia="zh-CN"/>
        </w:rPr>
        <w:t>，独立开展评价，得出评价结果，并形成评价报告。</w:t>
      </w:r>
    </w:p>
    <w:p>
      <w:pPr>
        <w:pStyle w:val="5"/>
        <w:spacing w:line="600" w:lineRule="exact"/>
        <w:ind w:firstLine="640"/>
        <w:rPr>
          <w:rFonts w:hint="eastAsia" w:cs="Times New Roman"/>
          <w:b w:val="0"/>
          <w:lang w:eastAsia="zh-Hans"/>
        </w:rPr>
      </w:pPr>
      <w:r>
        <w:rPr>
          <w:rFonts w:hint="eastAsia" w:cs="Times New Roman"/>
          <w:b w:val="0"/>
          <w:lang w:eastAsia="zh-Hans"/>
        </w:rPr>
        <w:t>2.评价指标体系</w:t>
      </w:r>
    </w:p>
    <w:p>
      <w:pPr>
        <w:pStyle w:val="8"/>
        <w:spacing w:after="0" w:line="600" w:lineRule="exact"/>
        <w:ind w:firstLine="640"/>
        <w:rPr>
          <w:rFonts w:hint="eastAsia" w:cs="Times New Roman"/>
          <w:lang w:val="en-US" w:eastAsia="zh-Hans"/>
        </w:rPr>
      </w:pPr>
      <w:r>
        <w:rPr>
          <w:rFonts w:hint="eastAsia" w:cs="Times New Roman"/>
          <w:lang w:val="en-US" w:eastAsia="zh-CN"/>
        </w:rPr>
        <w:t>我单位结合</w:t>
      </w:r>
      <w:r>
        <w:rPr>
          <w:rFonts w:hint="eastAsia" w:cs="Times New Roman"/>
          <w:lang w:val="en-US" w:eastAsia="zh-Hans"/>
        </w:rPr>
        <w:t>项目资料，</w:t>
      </w:r>
      <w:r>
        <w:rPr>
          <w:rFonts w:hint="eastAsia" w:cs="Times New Roman"/>
          <w:lang w:val="en-US" w:eastAsia="zh-CN"/>
        </w:rPr>
        <w:t>遵循</w:t>
      </w:r>
      <w:r>
        <w:rPr>
          <w:rFonts w:hint="eastAsia" w:cs="Times New Roman"/>
          <w:lang w:val="en-US" w:eastAsia="zh-Hans"/>
        </w:rPr>
        <w:t>绩效评价原理和原则，设置</w:t>
      </w:r>
      <w:r>
        <w:rPr>
          <w:rFonts w:hint="eastAsia" w:cs="Times New Roman"/>
          <w:lang w:val="en-US" w:eastAsia="zh-CN"/>
        </w:rPr>
        <w:t>本项目</w:t>
      </w:r>
      <w:r>
        <w:rPr>
          <w:rFonts w:hint="eastAsia" w:cs="Times New Roman"/>
          <w:lang w:val="en-US" w:eastAsia="zh-Hans"/>
        </w:rPr>
        <w:t>绩效评价指标</w:t>
      </w:r>
      <w:r>
        <w:rPr>
          <w:rFonts w:hint="eastAsia" w:cs="Times New Roman"/>
          <w:lang w:val="en-US" w:eastAsia="zh-CN"/>
        </w:rPr>
        <w:t>体系（</w:t>
      </w:r>
      <w:r>
        <w:rPr>
          <w:rFonts w:hint="eastAsia" w:cs="Times New Roman"/>
          <w:lang w:val="en-US" w:eastAsia="zh-Hans"/>
        </w:rPr>
        <w:t>详见附件</w:t>
      </w:r>
      <w:r>
        <w:rPr>
          <w:rFonts w:hint="eastAsia" w:cs="Times New Roman"/>
          <w:lang w:val="en-US" w:eastAsia="zh-CN"/>
        </w:rPr>
        <w:t>）</w:t>
      </w:r>
      <w:r>
        <w:rPr>
          <w:rFonts w:hint="eastAsia" w:cs="Times New Roman"/>
          <w:lang w:val="en-US" w:eastAsia="zh-Hans"/>
        </w:rPr>
        <w:t>。指标体系</w:t>
      </w:r>
      <w:r>
        <w:rPr>
          <w:rFonts w:hint="eastAsia" w:cs="Times New Roman"/>
          <w:lang w:val="en-US" w:eastAsia="zh-CN"/>
        </w:rPr>
        <w:t>设置</w:t>
      </w:r>
      <w:r>
        <w:rPr>
          <w:rFonts w:hint="eastAsia" w:cs="Times New Roman"/>
          <w:lang w:val="en-US" w:eastAsia="zh-Hans"/>
        </w:rPr>
        <w:t>遵循“相关性、重要性、可比性、系统性、经济性、定量优先”</w:t>
      </w:r>
      <w:r>
        <w:rPr>
          <w:rFonts w:hint="eastAsia" w:cs="Times New Roman"/>
          <w:lang w:val="en-US" w:eastAsia="zh-CN"/>
        </w:rPr>
        <w:t>的</w:t>
      </w:r>
      <w:r>
        <w:rPr>
          <w:rFonts w:hint="eastAsia" w:cs="Times New Roman"/>
          <w:lang w:val="en-US" w:eastAsia="zh-Hans"/>
        </w:rPr>
        <w:t>原则，包括项目决策、项目过程、项目产出及</w:t>
      </w:r>
      <w:r>
        <w:rPr>
          <w:rFonts w:hint="eastAsia" w:cs="Times New Roman"/>
          <w:lang w:val="en-US" w:eastAsia="zh-CN"/>
        </w:rPr>
        <w:t>项目</w:t>
      </w:r>
      <w:r>
        <w:rPr>
          <w:rFonts w:hint="eastAsia" w:cs="Times New Roman"/>
          <w:lang w:val="en-US" w:eastAsia="zh-Hans"/>
        </w:rPr>
        <w:t>效益四部分内容，围绕资金投入、资金使用、项目管理、产出情况及</w:t>
      </w:r>
      <w:r>
        <w:rPr>
          <w:rFonts w:hint="eastAsia" w:cs="Times New Roman"/>
          <w:lang w:val="en-US" w:eastAsia="zh-CN"/>
        </w:rPr>
        <w:t>效益</w:t>
      </w:r>
      <w:r>
        <w:rPr>
          <w:rFonts w:hint="eastAsia" w:cs="Times New Roman"/>
          <w:lang w:val="en-US" w:eastAsia="zh-Hans"/>
        </w:rPr>
        <w:t>等</w:t>
      </w:r>
      <w:r>
        <w:rPr>
          <w:rFonts w:hint="eastAsia" w:cs="Times New Roman"/>
          <w:lang w:val="en-US" w:eastAsia="zh-CN"/>
        </w:rPr>
        <w:t>方面</w:t>
      </w:r>
      <w:r>
        <w:rPr>
          <w:rFonts w:hint="eastAsia" w:cs="Times New Roman"/>
          <w:lang w:val="en-US" w:eastAsia="zh-Hans"/>
        </w:rPr>
        <w:t>客观分析项目的</w:t>
      </w:r>
      <w:r>
        <w:rPr>
          <w:rFonts w:hint="eastAsia" w:cs="Times New Roman"/>
          <w:lang w:val="en-US" w:eastAsia="zh-CN"/>
        </w:rPr>
        <w:t>完成情况</w:t>
      </w:r>
      <w:r>
        <w:rPr>
          <w:rFonts w:hint="eastAsia" w:cs="Times New Roman"/>
          <w:lang w:val="en-US" w:eastAsia="zh-Hans"/>
        </w:rPr>
        <w:t>。</w:t>
      </w:r>
    </w:p>
    <w:p>
      <w:pPr>
        <w:pStyle w:val="5"/>
        <w:spacing w:line="600" w:lineRule="exact"/>
        <w:ind w:firstLine="640"/>
        <w:rPr>
          <w:rFonts w:hint="eastAsia" w:cs="Times New Roman"/>
          <w:b w:val="0"/>
          <w:lang w:eastAsia="zh-Hans"/>
        </w:rPr>
      </w:pPr>
      <w:r>
        <w:rPr>
          <w:rFonts w:hint="eastAsia" w:cs="Times New Roman"/>
          <w:b w:val="0"/>
          <w:lang w:eastAsia="zh-Hans"/>
        </w:rPr>
        <w:t>3.评价方法</w:t>
      </w:r>
    </w:p>
    <w:p>
      <w:pPr>
        <w:pStyle w:val="8"/>
        <w:spacing w:after="0" w:line="600" w:lineRule="exact"/>
        <w:ind w:firstLine="640"/>
        <w:rPr>
          <w:rFonts w:hint="eastAsia" w:cs="Times New Roman"/>
          <w:lang w:val="en-US" w:eastAsia="zh-CN"/>
        </w:rPr>
      </w:pPr>
      <w:r>
        <w:rPr>
          <w:rFonts w:hint="eastAsia" w:cs="Times New Roman"/>
          <w:lang w:val="en-US" w:eastAsia="zh-CN"/>
        </w:rPr>
        <w:t>（1）比较法</w:t>
      </w:r>
    </w:p>
    <w:p>
      <w:pPr>
        <w:pStyle w:val="8"/>
        <w:spacing w:after="0" w:line="600" w:lineRule="exact"/>
        <w:ind w:firstLine="640"/>
        <w:rPr>
          <w:rFonts w:hint="eastAsia" w:cs="Times New Roman"/>
          <w:lang w:val="en-US" w:eastAsia="zh-CN"/>
        </w:rPr>
      </w:pPr>
      <w:r>
        <w:rPr>
          <w:rFonts w:hint="eastAsia" w:cs="Times New Roman"/>
          <w:lang w:val="en-US" w:eastAsia="zh-CN"/>
        </w:rPr>
        <w:t>通过对绩效目标与实施效果、历史与当期情况、不同指标业绩值与评价标准的比较，综合分析绩效目标实现程度。</w:t>
      </w:r>
    </w:p>
    <w:p>
      <w:pPr>
        <w:pStyle w:val="8"/>
        <w:spacing w:after="0" w:line="600" w:lineRule="exact"/>
        <w:ind w:firstLine="640"/>
        <w:rPr>
          <w:rFonts w:hint="eastAsia" w:cs="Times New Roman"/>
          <w:lang w:val="en-US" w:eastAsia="zh-CN"/>
        </w:rPr>
      </w:pPr>
      <w:r>
        <w:rPr>
          <w:rFonts w:hint="eastAsia" w:cs="Times New Roman"/>
          <w:lang w:val="en-US" w:eastAsia="zh-CN"/>
        </w:rPr>
        <w:t>（2）因素分析法</w:t>
      </w:r>
    </w:p>
    <w:p>
      <w:pPr>
        <w:pStyle w:val="8"/>
        <w:spacing w:after="0" w:line="600" w:lineRule="exact"/>
        <w:ind w:firstLine="640"/>
        <w:rPr>
          <w:rFonts w:hint="eastAsia" w:cs="Times New Roman"/>
          <w:lang w:val="en-US" w:eastAsia="zh-CN"/>
        </w:rPr>
      </w:pPr>
      <w:r>
        <w:rPr>
          <w:rFonts w:hint="eastAsia" w:cs="Times New Roman"/>
          <w:lang w:val="en-US" w:eastAsia="zh-CN"/>
        </w:rPr>
        <w:t>通过综合分析影响项目实施效果的内外因素，评价绩效目标的实现程度。</w:t>
      </w:r>
    </w:p>
    <w:p>
      <w:pPr>
        <w:pStyle w:val="5"/>
        <w:spacing w:line="600" w:lineRule="exact"/>
        <w:ind w:firstLine="640"/>
        <w:rPr>
          <w:rFonts w:hint="eastAsia" w:cs="Times New Roman"/>
          <w:b w:val="0"/>
          <w:lang w:eastAsia="zh-Hans"/>
        </w:rPr>
      </w:pPr>
      <w:r>
        <w:rPr>
          <w:rFonts w:hint="eastAsia" w:cs="Times New Roman"/>
          <w:b w:val="0"/>
          <w:lang w:eastAsia="zh-Hans"/>
        </w:rPr>
        <w:t>4.评价标准</w:t>
      </w:r>
    </w:p>
    <w:p>
      <w:pPr>
        <w:pStyle w:val="8"/>
        <w:spacing w:after="0" w:line="600" w:lineRule="exact"/>
        <w:ind w:firstLine="640"/>
        <w:rPr>
          <w:rFonts w:hint="eastAsia" w:cs="Times New Roman"/>
          <w:lang w:val="en-US" w:eastAsia="zh-CN"/>
        </w:rPr>
      </w:pPr>
      <w:r>
        <w:rPr>
          <w:rFonts w:hint="eastAsia" w:cs="Times New Roman"/>
          <w:lang w:val="en-US" w:eastAsia="zh-CN"/>
        </w:rPr>
        <w:t>定性指标，一般通过问卷及访谈采集相关数据，在实施过程中运用等级描述法进行考核，通过设置等级标准来体现该指标认可程度的差异。</w:t>
      </w:r>
    </w:p>
    <w:p>
      <w:pPr>
        <w:pStyle w:val="8"/>
        <w:spacing w:after="0" w:line="600" w:lineRule="exact"/>
        <w:ind w:firstLine="640"/>
        <w:rPr>
          <w:rFonts w:ascii="仿宋_GB2312" w:hAnsi="仿宋_GB2312" w:cs="仿宋_GB2312"/>
          <w:szCs w:val="32"/>
        </w:rPr>
      </w:pPr>
      <w:r>
        <w:rPr>
          <w:rFonts w:hint="eastAsia" w:cs="Times New Roman"/>
          <w:lang w:val="en-US" w:eastAsia="zh-CN"/>
        </w:rPr>
        <w:t>定量指标，指可以准确数量定义、精确衡量指标值的考核指标。在定量评价指标体系中，各指标的评价基准值是衡量该项指标是否符合生产基本要求的评价标准，通常通过公式的方式予以量化。</w:t>
      </w:r>
    </w:p>
    <w:p>
      <w:pPr>
        <w:pStyle w:val="4"/>
        <w:spacing w:line="600" w:lineRule="exact"/>
        <w:ind w:firstLine="640"/>
        <w:rPr>
          <w:rFonts w:hint="eastAsia" w:cs="Times New Roman"/>
          <w:b w:val="0"/>
          <w:highlight w:val="none"/>
          <w:lang w:eastAsia="zh-Hans"/>
        </w:rPr>
      </w:pPr>
      <w:bookmarkStart w:id="43" w:name="_Toc82078737"/>
      <w:bookmarkStart w:id="44" w:name="_Toc17776"/>
      <w:bookmarkStart w:id="45" w:name="_Toc1289104925"/>
      <w:bookmarkStart w:id="46" w:name="_Toc31629"/>
      <w:r>
        <w:rPr>
          <w:rFonts w:hint="eastAsia" w:cs="Times New Roman"/>
          <w:b w:val="0"/>
          <w:highlight w:val="none"/>
          <w:lang w:eastAsia="zh-Hans"/>
        </w:rPr>
        <w:t>（三）绩效评价工作过程</w:t>
      </w:r>
      <w:bookmarkEnd w:id="43"/>
      <w:bookmarkEnd w:id="44"/>
      <w:bookmarkEnd w:id="45"/>
      <w:bookmarkEnd w:id="46"/>
    </w:p>
    <w:p>
      <w:pPr>
        <w:pStyle w:val="8"/>
        <w:spacing w:after="0" w:line="600" w:lineRule="exact"/>
        <w:ind w:firstLine="640"/>
        <w:rPr>
          <w:rFonts w:hint="eastAsia" w:cs="Times New Roman"/>
          <w:lang w:val="en-US" w:eastAsia="zh-CN"/>
        </w:rPr>
      </w:pPr>
      <w:r>
        <w:rPr>
          <w:rFonts w:hint="eastAsia" w:cs="Times New Roman"/>
          <w:lang w:val="en-US" w:eastAsia="zh-CN"/>
        </w:rPr>
        <w:t>1.前期准备阶段。制定工作方案并确定绩效评价报告范本，发送资料清单并收集整理资料。</w:t>
      </w:r>
    </w:p>
    <w:p>
      <w:pPr>
        <w:pStyle w:val="8"/>
        <w:spacing w:after="0" w:line="600" w:lineRule="exact"/>
        <w:ind w:firstLine="640"/>
        <w:rPr>
          <w:rFonts w:hint="eastAsia" w:cs="Times New Roman"/>
          <w:lang w:val="en-US" w:eastAsia="zh-CN"/>
        </w:rPr>
      </w:pPr>
      <w:r>
        <w:rPr>
          <w:rFonts w:hint="eastAsia" w:cs="Times New Roman"/>
          <w:lang w:val="en-US" w:eastAsia="zh-CN"/>
        </w:rPr>
        <w:t>2.评价实施阶段。根据工作方案，结合评价要求及评价总体思路，汇总关于本项目的问题与疑虑，进行事项访谈，进一步了解项目资金的内容、操作流程、管理机制、资金使用、产出和效益等情况。</w:t>
      </w:r>
    </w:p>
    <w:p>
      <w:pPr>
        <w:pStyle w:val="8"/>
        <w:spacing w:after="0" w:line="600" w:lineRule="exact"/>
        <w:ind w:firstLine="640"/>
        <w:rPr>
          <w:rFonts w:hint="eastAsia" w:cs="Times New Roman"/>
          <w:lang w:val="en-US" w:eastAsia="zh-CN"/>
        </w:rPr>
      </w:pPr>
      <w:r>
        <w:rPr>
          <w:rFonts w:hint="eastAsia" w:cs="Times New Roman"/>
          <w:lang w:val="en-US" w:eastAsia="zh-CN"/>
        </w:rPr>
        <w:t>3.报告撰写阶段。根据综合评价结论和项目绩效资料，按照规定的格式文本，撰写评价报告初稿，征求评价项目经办人意见，并根据相关意见修改完成评价报告，出具正式报告。</w:t>
      </w:r>
    </w:p>
    <w:p>
      <w:pPr>
        <w:pStyle w:val="3"/>
        <w:spacing w:line="600" w:lineRule="exact"/>
        <w:ind w:firstLine="640"/>
      </w:pPr>
      <w:bookmarkStart w:id="47" w:name="_Toc23959892"/>
      <w:r>
        <w:rPr>
          <w:rFonts w:hint="eastAsia"/>
          <w:lang w:val="en-US" w:eastAsia="zh-CN"/>
        </w:rPr>
        <w:t>三</w:t>
      </w:r>
      <w:r>
        <w:rPr>
          <w:rFonts w:hint="eastAsia"/>
        </w:rPr>
        <w:t>、</w:t>
      </w:r>
      <w:bookmarkEnd w:id="25"/>
      <w:bookmarkEnd w:id="26"/>
      <w:bookmarkEnd w:id="31"/>
      <w:bookmarkStart w:id="48" w:name="_Toc8313"/>
      <w:bookmarkStart w:id="49" w:name="_Toc712"/>
      <w:bookmarkStart w:id="50" w:name="_Toc27420"/>
      <w:r>
        <w:rPr>
          <w:rFonts w:hint="eastAsia"/>
        </w:rPr>
        <w:t>综合评价情况及评价结论</w:t>
      </w:r>
      <w:bookmarkEnd w:id="47"/>
      <w:bookmarkEnd w:id="48"/>
      <w:bookmarkEnd w:id="49"/>
      <w:bookmarkEnd w:id="50"/>
    </w:p>
    <w:p>
      <w:pPr>
        <w:spacing w:line="600" w:lineRule="exact"/>
        <w:ind w:firstLine="640"/>
        <w:rPr>
          <w:rFonts w:hint="eastAsia"/>
        </w:rPr>
      </w:pPr>
      <w:r>
        <w:rPr>
          <w:rFonts w:hint="eastAsia"/>
          <w:lang w:eastAsia="zh-CN"/>
        </w:rPr>
        <w:t>2024年</w:t>
      </w:r>
      <w:r>
        <w:rPr>
          <w:rFonts w:hint="eastAsia"/>
        </w:rPr>
        <w:t>，“基层党组织党建工作经费”项目整体绩效情况较好，项目实施进度正常，财政资金及时足额到位，项目任务按时按质完成。同时，我单位坚持从严从简，厉行节约，在保证正常履职的前提下勤俭办一切活动，降低成本，项目预算执行率为</w:t>
      </w:r>
      <w:r>
        <w:rPr>
          <w:rFonts w:hint="eastAsia"/>
          <w:lang w:val="en-US" w:eastAsia="zh-CN"/>
        </w:rPr>
        <w:t>83.8</w:t>
      </w:r>
      <w:r>
        <w:rPr>
          <w:rFonts w:hint="eastAsia"/>
        </w:rPr>
        <w:t>%，成本控制较好。</w:t>
      </w:r>
    </w:p>
    <w:p>
      <w:pPr>
        <w:spacing w:line="600" w:lineRule="exact"/>
        <w:ind w:firstLine="640"/>
      </w:pPr>
      <w:r>
        <w:rPr>
          <w:rFonts w:hint="eastAsia"/>
          <w:lang w:val="en-US" w:eastAsia="zh-CN"/>
        </w:rPr>
        <w:t>当年度</w:t>
      </w:r>
      <w:r>
        <w:rPr>
          <w:rFonts w:hint="eastAsia"/>
        </w:rPr>
        <w:t>我单位</w:t>
      </w:r>
      <w:r>
        <w:t>综合考虑投入、产出、效果、影响力等各方面因素，通过数据采集及分析，项目绩效评价得分</w:t>
      </w:r>
      <w:r>
        <w:rPr>
          <w:rFonts w:hint="eastAsia"/>
        </w:rPr>
        <w:t>为</w:t>
      </w:r>
      <w:r>
        <w:rPr>
          <w:rFonts w:hint="eastAsia"/>
          <w:lang w:val="en-US" w:eastAsia="zh-CN"/>
        </w:rPr>
        <w:t>96.59</w:t>
      </w:r>
      <w:r>
        <w:t>分，具体评分情况如表</w:t>
      </w:r>
      <w:r>
        <w:rPr>
          <w:rFonts w:hint="eastAsia"/>
        </w:rPr>
        <w:t>2</w:t>
      </w:r>
      <w:r>
        <w:t>-1所示：</w:t>
      </w:r>
    </w:p>
    <w:p>
      <w:pPr>
        <w:keepNext/>
        <w:adjustRightInd/>
        <w:snapToGrid/>
        <w:spacing w:line="560" w:lineRule="exact"/>
        <w:ind w:firstLine="0" w:firstLineChars="0"/>
        <w:jc w:val="center"/>
        <w:rPr>
          <w:rFonts w:ascii="黑体" w:hAnsi="黑体" w:eastAsia="黑体" w:cs="黑体"/>
          <w:sz w:val="28"/>
          <w:szCs w:val="28"/>
          <w:highlight w:val="yellow"/>
        </w:rPr>
      </w:pPr>
      <w:r>
        <w:rPr>
          <w:rFonts w:hint="eastAsia" w:ascii="黑体" w:hAnsi="黑体" w:eastAsia="黑体" w:cs="黑体"/>
          <w:sz w:val="28"/>
          <w:szCs w:val="28"/>
        </w:rPr>
        <w:t>表2-1 项目支出绩效评价评分表</w:t>
      </w:r>
    </w:p>
    <w:tbl>
      <w:tblPr>
        <w:tblStyle w:val="18"/>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5"/>
        <w:gridCol w:w="1568"/>
        <w:gridCol w:w="2518"/>
        <w:gridCol w:w="1240"/>
        <w:gridCol w:w="869"/>
        <w:gridCol w:w="869"/>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blHeader/>
          <w:jc w:val="center"/>
        </w:trPr>
        <w:tc>
          <w:tcPr>
            <w:tcW w:w="656" w:type="pct"/>
            <w:shd w:val="clear" w:color="auto" w:fill="D7D7D7" w:themeFill="background1" w:themeFillShade="D8"/>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一级指标</w:t>
            </w:r>
          </w:p>
        </w:tc>
        <w:tc>
          <w:tcPr>
            <w:tcW w:w="861" w:type="pct"/>
            <w:shd w:val="clear" w:color="auto" w:fill="D7D7D7" w:themeFill="background1" w:themeFillShade="D8"/>
            <w:noWrap/>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二级指标</w:t>
            </w:r>
          </w:p>
        </w:tc>
        <w:tc>
          <w:tcPr>
            <w:tcW w:w="1384" w:type="pct"/>
            <w:shd w:val="clear" w:color="auto" w:fill="D7D7D7" w:themeFill="background1" w:themeFillShade="D8"/>
            <w:noWrap/>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三级指标</w:t>
            </w:r>
          </w:p>
        </w:tc>
        <w:tc>
          <w:tcPr>
            <w:tcW w:w="681" w:type="pct"/>
            <w:shd w:val="clear" w:color="auto" w:fill="D7D7D7" w:themeFill="background1" w:themeFillShade="D8"/>
            <w:noWrap/>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目标值</w:t>
            </w:r>
          </w:p>
        </w:tc>
        <w:tc>
          <w:tcPr>
            <w:tcW w:w="477" w:type="pct"/>
            <w:shd w:val="clear" w:color="auto" w:fill="D7D7D7" w:themeFill="background1" w:themeFillShade="D8"/>
            <w:noWrap/>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完成值</w:t>
            </w:r>
          </w:p>
        </w:tc>
        <w:tc>
          <w:tcPr>
            <w:tcW w:w="477" w:type="pct"/>
            <w:shd w:val="clear" w:color="auto" w:fill="D7D7D7" w:themeFill="background1" w:themeFillShade="D8"/>
            <w:noWrap/>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权重</w:t>
            </w:r>
          </w:p>
        </w:tc>
        <w:tc>
          <w:tcPr>
            <w:tcW w:w="460" w:type="pct"/>
            <w:shd w:val="clear" w:color="auto" w:fill="D7D7D7" w:themeFill="background1" w:themeFillShade="D8"/>
            <w:noWrap/>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656" w:type="pct"/>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决策</w:t>
            </w:r>
          </w:p>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（20分）</w:t>
            </w:r>
          </w:p>
        </w:tc>
        <w:tc>
          <w:tcPr>
            <w:tcW w:w="861" w:type="pct"/>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项目立项</w:t>
            </w:r>
          </w:p>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（7分）</w:t>
            </w:r>
          </w:p>
        </w:tc>
        <w:tc>
          <w:tcPr>
            <w:tcW w:w="1384" w:type="pc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立项依据充分性</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充分</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656" w:type="pct"/>
            <w:vMerge w:val="continue"/>
            <w:shd w:val="clear" w:color="auto" w:fill="auto"/>
            <w:tcMar>
              <w:top w:w="15" w:type="dxa"/>
              <w:left w:w="15" w:type="dxa"/>
              <w:right w:w="15" w:type="dxa"/>
            </w:tcMar>
            <w:vAlign w:val="center"/>
          </w:tcPr>
          <w:p>
            <w:pPr>
              <w:spacing w:line="320" w:lineRule="exact"/>
              <w:ind w:firstLine="0" w:firstLineChars="0"/>
              <w:jc w:val="center"/>
              <w:rPr>
                <w:rFonts w:hint="eastAsia" w:ascii="仿宋_GB2312" w:hAnsi="仿宋_GB2312" w:eastAsia="仿宋_GB2312" w:cs="仿宋_GB2312"/>
                <w:color w:val="000000"/>
                <w:sz w:val="24"/>
                <w:szCs w:val="24"/>
              </w:rPr>
            </w:pPr>
          </w:p>
        </w:tc>
        <w:tc>
          <w:tcPr>
            <w:tcW w:w="861" w:type="pct"/>
            <w:vMerge w:val="continue"/>
            <w:shd w:val="clear" w:color="auto" w:fill="auto"/>
            <w:tcMar>
              <w:top w:w="15" w:type="dxa"/>
              <w:left w:w="15" w:type="dxa"/>
              <w:right w:w="15" w:type="dxa"/>
            </w:tcMar>
            <w:vAlign w:val="center"/>
          </w:tcPr>
          <w:p>
            <w:pPr>
              <w:spacing w:line="320" w:lineRule="exact"/>
              <w:ind w:firstLine="0" w:firstLineChars="0"/>
              <w:jc w:val="center"/>
              <w:rPr>
                <w:rFonts w:hint="eastAsia" w:ascii="仿宋_GB2312" w:hAnsi="仿宋_GB2312" w:eastAsia="仿宋_GB2312" w:cs="仿宋_GB2312"/>
                <w:color w:val="000000"/>
                <w:sz w:val="24"/>
                <w:szCs w:val="24"/>
              </w:rPr>
            </w:pPr>
          </w:p>
        </w:tc>
        <w:tc>
          <w:tcPr>
            <w:tcW w:w="1384" w:type="pc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立项程序规范性</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规范</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p>
        </w:tc>
        <w:tc>
          <w:tcPr>
            <w:tcW w:w="861" w:type="pct"/>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绩效目标</w:t>
            </w:r>
          </w:p>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（7分）</w:t>
            </w:r>
          </w:p>
        </w:tc>
        <w:tc>
          <w:tcPr>
            <w:tcW w:w="1384" w:type="pc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绩效目标合理性</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合理</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87.5</w:t>
            </w:r>
            <w:r>
              <w:rPr>
                <w:rFonts w:hint="eastAsia" w:ascii="仿宋_GB2312" w:hAnsi="仿宋_GB2312" w:eastAsia="仿宋_GB2312" w:cs="仿宋_GB2312"/>
                <w:color w:val="000000"/>
                <w:kern w:val="0"/>
                <w:sz w:val="24"/>
                <w:szCs w:val="24"/>
                <w:lang w:bidi="ar"/>
              </w:rPr>
              <w:t>%</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pct"/>
            <w:vMerge w:val="continue"/>
            <w:shd w:val="clear" w:color="auto" w:fill="auto"/>
            <w:tcMar>
              <w:top w:w="15" w:type="dxa"/>
              <w:left w:w="15" w:type="dxa"/>
              <w:right w:w="15" w:type="dxa"/>
            </w:tcMar>
            <w:vAlign w:val="center"/>
          </w:tcPr>
          <w:p>
            <w:pPr>
              <w:spacing w:line="320" w:lineRule="exact"/>
              <w:ind w:firstLine="0" w:firstLineChars="0"/>
              <w:jc w:val="center"/>
              <w:rPr>
                <w:rFonts w:hint="eastAsia" w:ascii="仿宋_GB2312" w:hAnsi="仿宋_GB2312" w:eastAsia="仿宋_GB2312" w:cs="仿宋_GB2312"/>
                <w:color w:val="000000"/>
                <w:sz w:val="24"/>
                <w:szCs w:val="24"/>
              </w:rPr>
            </w:pPr>
          </w:p>
        </w:tc>
        <w:tc>
          <w:tcPr>
            <w:tcW w:w="861" w:type="pct"/>
            <w:vMerge w:val="continue"/>
            <w:shd w:val="clear" w:color="auto" w:fill="auto"/>
            <w:tcMar>
              <w:top w:w="15" w:type="dxa"/>
              <w:left w:w="15" w:type="dxa"/>
              <w:right w:w="15" w:type="dxa"/>
            </w:tcMar>
            <w:vAlign w:val="center"/>
          </w:tcPr>
          <w:p>
            <w:pPr>
              <w:spacing w:line="320" w:lineRule="exact"/>
              <w:ind w:firstLine="0" w:firstLineChars="0"/>
              <w:jc w:val="center"/>
              <w:rPr>
                <w:rFonts w:hint="eastAsia" w:ascii="仿宋_GB2312" w:hAnsi="仿宋_GB2312" w:eastAsia="仿宋_GB2312" w:cs="仿宋_GB2312"/>
                <w:color w:val="000000"/>
                <w:sz w:val="24"/>
                <w:szCs w:val="24"/>
              </w:rPr>
            </w:pPr>
          </w:p>
        </w:tc>
        <w:tc>
          <w:tcPr>
            <w:tcW w:w="1384" w:type="pc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绩效指标明确性</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明确</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83.3</w:t>
            </w:r>
            <w:r>
              <w:rPr>
                <w:rFonts w:hint="eastAsia" w:ascii="仿宋_GB2312" w:hAnsi="仿宋_GB2312" w:eastAsia="仿宋_GB2312" w:cs="仿宋_GB2312"/>
                <w:color w:val="000000"/>
                <w:kern w:val="0"/>
                <w:sz w:val="24"/>
                <w:szCs w:val="24"/>
                <w:lang w:bidi="ar"/>
              </w:rPr>
              <w:t>%</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656"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p>
        </w:tc>
        <w:tc>
          <w:tcPr>
            <w:tcW w:w="861" w:type="pct"/>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资金投入</w:t>
            </w:r>
          </w:p>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（6分）</w:t>
            </w:r>
          </w:p>
        </w:tc>
        <w:tc>
          <w:tcPr>
            <w:tcW w:w="1384" w:type="pc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预算编制科学性</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科学</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656"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p>
        </w:tc>
        <w:tc>
          <w:tcPr>
            <w:tcW w:w="861"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p>
        </w:tc>
        <w:tc>
          <w:tcPr>
            <w:tcW w:w="1384" w:type="pc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资金分配合理性</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合理</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656"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p>
        </w:tc>
        <w:tc>
          <w:tcPr>
            <w:tcW w:w="3405" w:type="pct"/>
            <w:gridSpan w:val="4"/>
            <w:shd w:val="clear" w:color="auto" w:fill="D7D7D7" w:themeFill="background1" w:themeFillShade="D8"/>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合计</w:t>
            </w:r>
          </w:p>
        </w:tc>
        <w:tc>
          <w:tcPr>
            <w:tcW w:w="477" w:type="pct"/>
            <w:shd w:val="clear" w:color="auto" w:fill="D7D7D7" w:themeFill="background1" w:themeFillShade="D8"/>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20</w:t>
            </w:r>
          </w:p>
        </w:tc>
        <w:tc>
          <w:tcPr>
            <w:tcW w:w="460" w:type="pct"/>
            <w:shd w:val="clear" w:color="auto" w:fill="D7D7D7" w:themeFill="background1" w:themeFillShade="D8"/>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 w:hRule="atLeast"/>
          <w:jc w:val="center"/>
        </w:trPr>
        <w:tc>
          <w:tcPr>
            <w:tcW w:w="656" w:type="pct"/>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过程</w:t>
            </w:r>
          </w:p>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（20分）</w:t>
            </w:r>
          </w:p>
        </w:tc>
        <w:tc>
          <w:tcPr>
            <w:tcW w:w="861" w:type="pct"/>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资金管理</w:t>
            </w:r>
          </w:p>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（10分）</w:t>
            </w:r>
          </w:p>
        </w:tc>
        <w:tc>
          <w:tcPr>
            <w:tcW w:w="1384" w:type="pc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资金到位率</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656" w:type="pct"/>
            <w:vMerge w:val="continue"/>
            <w:shd w:val="clear" w:color="auto" w:fill="auto"/>
            <w:tcMar>
              <w:top w:w="15" w:type="dxa"/>
              <w:left w:w="15" w:type="dxa"/>
              <w:right w:w="15" w:type="dxa"/>
            </w:tcMar>
            <w:vAlign w:val="center"/>
          </w:tcPr>
          <w:p>
            <w:pPr>
              <w:spacing w:line="320" w:lineRule="exact"/>
              <w:ind w:firstLine="0" w:firstLineChars="0"/>
              <w:jc w:val="center"/>
              <w:rPr>
                <w:rFonts w:hint="eastAsia" w:ascii="仿宋_GB2312" w:hAnsi="仿宋_GB2312" w:eastAsia="仿宋_GB2312" w:cs="仿宋_GB2312"/>
                <w:color w:val="000000"/>
                <w:sz w:val="24"/>
                <w:szCs w:val="24"/>
              </w:rPr>
            </w:pPr>
          </w:p>
        </w:tc>
        <w:tc>
          <w:tcPr>
            <w:tcW w:w="861" w:type="pct"/>
            <w:vMerge w:val="continue"/>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1384" w:type="pc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预算执行率</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83.8</w:t>
            </w:r>
            <w:r>
              <w:rPr>
                <w:rFonts w:hint="eastAsia" w:ascii="仿宋_GB2312" w:hAnsi="仿宋_GB2312" w:eastAsia="仿宋_GB2312" w:cs="仿宋_GB2312"/>
                <w:color w:val="000000"/>
                <w:kern w:val="0"/>
                <w:sz w:val="24"/>
                <w:szCs w:val="24"/>
                <w:lang w:bidi="ar"/>
              </w:rPr>
              <w:t>%</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656" w:type="pct"/>
            <w:vMerge w:val="continue"/>
            <w:shd w:val="clear" w:color="auto" w:fill="auto"/>
            <w:tcMar>
              <w:top w:w="15" w:type="dxa"/>
              <w:left w:w="15" w:type="dxa"/>
              <w:right w:w="15" w:type="dxa"/>
            </w:tcMar>
            <w:vAlign w:val="center"/>
          </w:tcPr>
          <w:p>
            <w:pPr>
              <w:spacing w:line="320" w:lineRule="exact"/>
              <w:ind w:firstLine="0" w:firstLineChars="0"/>
              <w:jc w:val="center"/>
              <w:rPr>
                <w:rFonts w:hint="eastAsia" w:ascii="仿宋_GB2312" w:hAnsi="仿宋_GB2312" w:eastAsia="仿宋_GB2312" w:cs="仿宋_GB2312"/>
                <w:color w:val="000000"/>
                <w:sz w:val="24"/>
                <w:szCs w:val="24"/>
              </w:rPr>
            </w:pPr>
          </w:p>
        </w:tc>
        <w:tc>
          <w:tcPr>
            <w:tcW w:w="861" w:type="pct"/>
            <w:vMerge w:val="continue"/>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1384" w:type="pc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资金使用合规性</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合规</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656"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p>
        </w:tc>
        <w:tc>
          <w:tcPr>
            <w:tcW w:w="861" w:type="pct"/>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组织实施</w:t>
            </w:r>
          </w:p>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（10分）</w:t>
            </w:r>
          </w:p>
        </w:tc>
        <w:tc>
          <w:tcPr>
            <w:tcW w:w="1384" w:type="pc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管理制度健全性</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健全</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pct"/>
            <w:vMerge w:val="continue"/>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861" w:type="pct"/>
            <w:vMerge w:val="continue"/>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1384" w:type="pc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制度执行有效性</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有效</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pct"/>
            <w:vMerge w:val="continue"/>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p>
        </w:tc>
        <w:tc>
          <w:tcPr>
            <w:tcW w:w="3405" w:type="pct"/>
            <w:gridSpan w:val="4"/>
            <w:shd w:val="clear" w:color="auto" w:fill="D7D7D7" w:themeFill="background1" w:themeFillShade="D8"/>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合计</w:t>
            </w:r>
          </w:p>
        </w:tc>
        <w:tc>
          <w:tcPr>
            <w:tcW w:w="477" w:type="pct"/>
            <w:shd w:val="clear" w:color="auto" w:fill="D7D7D7" w:themeFill="background1" w:themeFillShade="D8"/>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20</w:t>
            </w:r>
          </w:p>
        </w:tc>
        <w:tc>
          <w:tcPr>
            <w:tcW w:w="460" w:type="pct"/>
            <w:shd w:val="clear" w:color="auto" w:fill="D7D7D7" w:themeFill="background1" w:themeFillShade="D8"/>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pct"/>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产出</w:t>
            </w:r>
          </w:p>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分）</w:t>
            </w:r>
          </w:p>
        </w:tc>
        <w:tc>
          <w:tcPr>
            <w:tcW w:w="861" w:type="pct"/>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p>
            <w:pPr>
              <w:adjustRightInd/>
              <w:snapToGrid/>
              <w:spacing w:line="320" w:lineRule="exact"/>
              <w:ind w:firstLine="0" w:firstLineChars="0"/>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1384"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主题教育培训开展期数</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i w:val="0"/>
                <w:iCs w:val="0"/>
                <w:color w:val="333333"/>
                <w:kern w:val="0"/>
                <w:sz w:val="24"/>
                <w:szCs w:val="24"/>
                <w:u w:val="none"/>
                <w:lang w:val="en-US" w:eastAsia="zh-CN" w:bidi="ar"/>
              </w:rPr>
              <w:t>≥</w:t>
            </w:r>
            <w:r>
              <w:rPr>
                <w:rFonts w:hint="eastAsia" w:ascii="仿宋_GB2312" w:hAnsi="仿宋_GB2312" w:eastAsia="仿宋_GB2312" w:cs="仿宋_GB2312"/>
                <w:color w:val="000000"/>
                <w:sz w:val="24"/>
                <w:szCs w:val="24"/>
              </w:rPr>
              <w:t>1期</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rPr>
              <w:t>1期</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5</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p>
        </w:tc>
        <w:tc>
          <w:tcPr>
            <w:tcW w:w="861"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p>
        </w:tc>
        <w:tc>
          <w:tcPr>
            <w:tcW w:w="1384"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开展会议专题学习次数</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i w:val="0"/>
                <w:iCs w:val="0"/>
                <w:color w:val="333333"/>
                <w:kern w:val="0"/>
                <w:sz w:val="24"/>
                <w:szCs w:val="24"/>
                <w:u w:val="none"/>
                <w:lang w:val="en-US" w:eastAsia="zh-CN" w:bidi="ar"/>
              </w:rPr>
              <w:t>≥</w:t>
            </w:r>
            <w:r>
              <w:rPr>
                <w:rFonts w:hint="eastAsia" w:ascii="仿宋_GB2312" w:hAnsi="仿宋_GB2312" w:eastAsia="仿宋_GB2312" w:cs="仿宋_GB2312"/>
                <w:color w:val="000000"/>
                <w:kern w:val="0"/>
                <w:sz w:val="24"/>
                <w:szCs w:val="24"/>
                <w:lang w:val="en-US" w:eastAsia="zh-CN" w:bidi="ar"/>
              </w:rPr>
              <w:t>36次</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43次</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p>
        </w:tc>
        <w:tc>
          <w:tcPr>
            <w:tcW w:w="861"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p>
        </w:tc>
        <w:tc>
          <w:tcPr>
            <w:tcW w:w="1384"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党风廉政工作</w:t>
            </w:r>
            <w:r>
              <w:rPr>
                <w:rFonts w:hint="eastAsia" w:ascii="仿宋_GB2312" w:hAnsi="仿宋_GB2312" w:eastAsia="仿宋_GB2312" w:cs="仿宋_GB2312"/>
                <w:color w:val="000000"/>
                <w:sz w:val="24"/>
                <w:szCs w:val="24"/>
                <w:lang w:val="en-US" w:eastAsia="zh-CN"/>
              </w:rPr>
              <w:t>完成率</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5</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p>
        </w:tc>
        <w:tc>
          <w:tcPr>
            <w:tcW w:w="861" w:type="pc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w:t>
            </w:r>
          </w:p>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1384"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参与培训党员</w:t>
            </w:r>
            <w:r>
              <w:rPr>
                <w:rFonts w:hint="eastAsia" w:ascii="仿宋_GB2312" w:hAnsi="仿宋_GB2312" w:eastAsia="仿宋_GB2312" w:cs="仿宋_GB2312"/>
                <w:color w:val="000000"/>
                <w:sz w:val="24"/>
                <w:szCs w:val="24"/>
              </w:rPr>
              <w:t>覆盖率</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lang w:val="en-US" w:eastAsia="zh-CN"/>
              </w:rPr>
              <w:t>5</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656"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p>
        </w:tc>
        <w:tc>
          <w:tcPr>
            <w:tcW w:w="861" w:type="pc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时效</w:t>
            </w:r>
          </w:p>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1384"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党建工作开展</w:t>
            </w:r>
            <w:r>
              <w:rPr>
                <w:rFonts w:hint="eastAsia" w:ascii="仿宋_GB2312" w:hAnsi="仿宋_GB2312" w:eastAsia="仿宋_GB2312" w:cs="仿宋_GB2312"/>
                <w:color w:val="000000"/>
                <w:sz w:val="24"/>
                <w:szCs w:val="24"/>
                <w:lang w:val="en-US" w:eastAsia="zh-CN"/>
              </w:rPr>
              <w:t>时间</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sz w:val="24"/>
                <w:szCs w:val="24"/>
                <w:lang w:val="en-US" w:eastAsia="zh-CN"/>
              </w:rPr>
              <w:t>全年</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全</w:t>
            </w:r>
            <w:r>
              <w:rPr>
                <w:rFonts w:hint="eastAsia" w:ascii="仿宋_GB2312" w:hAnsi="仿宋_GB2312" w:eastAsia="仿宋_GB2312" w:cs="仿宋_GB2312"/>
                <w:color w:val="000000"/>
                <w:kern w:val="0"/>
                <w:sz w:val="24"/>
                <w:szCs w:val="24"/>
                <w:lang w:bidi="ar"/>
              </w:rPr>
              <w:t>年</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6"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p>
        </w:tc>
        <w:tc>
          <w:tcPr>
            <w:tcW w:w="861" w:type="pc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成本</w:t>
            </w:r>
          </w:p>
          <w:p>
            <w:pPr>
              <w:adjustRightInd/>
              <w:snapToGrid/>
              <w:spacing w:line="320" w:lineRule="exact"/>
              <w:ind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1384"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成本节约率</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i w:val="0"/>
                <w:iCs w:val="0"/>
                <w:color w:val="333333"/>
                <w:kern w:val="0"/>
                <w:sz w:val="24"/>
                <w:szCs w:val="24"/>
                <w:u w:val="none"/>
                <w:lang w:val="en-US" w:eastAsia="zh-CN" w:bidi="ar"/>
              </w:rPr>
              <w:t>≥</w:t>
            </w: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kern w:val="0"/>
                <w:sz w:val="24"/>
                <w:szCs w:val="24"/>
                <w:lang w:bidi="ar"/>
              </w:rPr>
              <w:t>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16.2</w:t>
            </w:r>
            <w:r>
              <w:rPr>
                <w:rFonts w:hint="eastAsia" w:ascii="仿宋_GB2312" w:hAnsi="仿宋_GB2312" w:eastAsia="仿宋_GB2312" w:cs="仿宋_GB2312"/>
                <w:color w:val="000000"/>
                <w:kern w:val="0"/>
                <w:sz w:val="24"/>
                <w:szCs w:val="24"/>
                <w:lang w:bidi="ar"/>
              </w:rPr>
              <w:t>%</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5</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6"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color w:val="000000"/>
                <w:sz w:val="24"/>
                <w:szCs w:val="24"/>
              </w:rPr>
            </w:pPr>
          </w:p>
        </w:tc>
        <w:tc>
          <w:tcPr>
            <w:tcW w:w="3405" w:type="pct"/>
            <w:gridSpan w:val="4"/>
            <w:shd w:val="clear" w:color="auto" w:fill="D7D7D7" w:themeFill="background1" w:themeFillShade="D8"/>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合计</w:t>
            </w:r>
          </w:p>
        </w:tc>
        <w:tc>
          <w:tcPr>
            <w:tcW w:w="477" w:type="pct"/>
            <w:shd w:val="clear" w:color="auto" w:fill="D7D7D7" w:themeFill="background1" w:themeFillShade="D8"/>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30</w:t>
            </w:r>
          </w:p>
        </w:tc>
        <w:tc>
          <w:tcPr>
            <w:tcW w:w="460" w:type="pct"/>
            <w:shd w:val="clear" w:color="auto" w:fill="D7D7D7" w:themeFill="background1" w:themeFillShade="D8"/>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6" w:type="pct"/>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效益</w:t>
            </w:r>
          </w:p>
          <w:p>
            <w:pPr>
              <w:adjustRightInd/>
              <w:snapToGrid/>
              <w:spacing w:line="320" w:lineRule="exact"/>
              <w:ind w:firstLine="0" w:firstLineChars="0"/>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分）</w:t>
            </w:r>
          </w:p>
        </w:tc>
        <w:tc>
          <w:tcPr>
            <w:tcW w:w="861" w:type="pct"/>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社会效益</w:t>
            </w:r>
          </w:p>
          <w:p>
            <w:pPr>
              <w:adjustRightInd/>
              <w:snapToGrid/>
              <w:spacing w:line="320" w:lineRule="exact"/>
              <w:ind w:firstLine="0" w:firstLineChars="0"/>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分）</w:t>
            </w:r>
          </w:p>
        </w:tc>
        <w:tc>
          <w:tcPr>
            <w:tcW w:w="1384"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党建活动创新率</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90</w:t>
            </w:r>
            <w:r>
              <w:rPr>
                <w:rFonts w:hint="eastAsia" w:ascii="仿宋_GB2312" w:hAnsi="仿宋_GB2312" w:eastAsia="仿宋_GB2312" w:cs="仿宋_GB2312"/>
                <w:color w:val="000000"/>
                <w:kern w:val="0"/>
                <w:sz w:val="24"/>
                <w:szCs w:val="24"/>
                <w:lang w:bidi="ar"/>
              </w:rPr>
              <w:t>%</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8</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6"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861"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384"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支部党员履职尽责能力提升率</w:t>
            </w:r>
          </w:p>
        </w:tc>
        <w:tc>
          <w:tcPr>
            <w:tcW w:w="681" w:type="pct"/>
            <w:shd w:val="clear" w:color="auto" w:fill="auto"/>
            <w:tcMar>
              <w:top w:w="15" w:type="dxa"/>
              <w:left w:w="15" w:type="dxa"/>
              <w:right w:w="15" w:type="dxa"/>
            </w:tcMar>
            <w:vAlign w:val="center"/>
          </w:tcPr>
          <w:p>
            <w:pPr>
              <w:widowControl/>
              <w:spacing w:line="320" w:lineRule="exact"/>
              <w:ind w:left="0" w:leftChars="0"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8</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6"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861"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384"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党支部廉政工作</w:t>
            </w:r>
            <w:r>
              <w:rPr>
                <w:rFonts w:hint="eastAsia" w:ascii="仿宋_GB2312" w:hAnsi="仿宋_GB2312" w:eastAsia="仿宋_GB2312" w:cs="仿宋_GB2312"/>
                <w:sz w:val="24"/>
                <w:szCs w:val="24"/>
                <w:lang w:val="en-US" w:eastAsia="zh-CN"/>
              </w:rPr>
              <w:t>加强率</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90</w:t>
            </w:r>
            <w:r>
              <w:rPr>
                <w:rFonts w:hint="eastAsia" w:ascii="仿宋_GB2312" w:hAnsi="仿宋_GB2312" w:eastAsia="仿宋_GB2312" w:cs="仿宋_GB2312"/>
                <w:color w:val="000000"/>
                <w:kern w:val="0"/>
                <w:sz w:val="24"/>
                <w:szCs w:val="24"/>
                <w:lang w:bidi="ar"/>
              </w:rPr>
              <w:t>%</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8</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6"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861" w:type="pc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可持续影响</w:t>
            </w:r>
          </w:p>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p>
        </w:tc>
        <w:tc>
          <w:tcPr>
            <w:tcW w:w="1384"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理论武装强化</w:t>
            </w:r>
            <w:r>
              <w:rPr>
                <w:rFonts w:hint="eastAsia" w:ascii="仿宋_GB2312" w:hAnsi="仿宋_GB2312" w:eastAsia="仿宋_GB2312" w:cs="仿宋_GB2312"/>
                <w:sz w:val="24"/>
                <w:szCs w:val="24"/>
                <w:lang w:val="en-US" w:eastAsia="zh-CN"/>
              </w:rPr>
              <w:t>率</w:t>
            </w:r>
          </w:p>
        </w:tc>
        <w:tc>
          <w:tcPr>
            <w:tcW w:w="681"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100%</w:t>
            </w:r>
          </w:p>
        </w:tc>
        <w:tc>
          <w:tcPr>
            <w:tcW w:w="477"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6</w:t>
            </w:r>
          </w:p>
        </w:tc>
        <w:tc>
          <w:tcPr>
            <w:tcW w:w="460" w:type="pct"/>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56" w:type="pct"/>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3405" w:type="pct"/>
            <w:gridSpan w:val="4"/>
            <w:shd w:val="clear" w:color="auto" w:fill="D7D7D7" w:themeFill="background1" w:themeFillShade="D8"/>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合计</w:t>
            </w:r>
          </w:p>
        </w:tc>
        <w:tc>
          <w:tcPr>
            <w:tcW w:w="477" w:type="pct"/>
            <w:shd w:val="clear" w:color="auto" w:fill="D7D7D7" w:themeFill="background1" w:themeFillShade="D8"/>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30</w:t>
            </w:r>
          </w:p>
        </w:tc>
        <w:tc>
          <w:tcPr>
            <w:tcW w:w="460" w:type="pct"/>
            <w:shd w:val="clear" w:color="auto" w:fill="D7D7D7" w:themeFill="background1" w:themeFillShade="D8"/>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62" w:type="pct"/>
            <w:gridSpan w:val="5"/>
            <w:shd w:val="clear" w:color="auto" w:fill="D7D7D7" w:themeFill="background1" w:themeFillShade="D8"/>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总计</w:t>
            </w:r>
          </w:p>
        </w:tc>
        <w:tc>
          <w:tcPr>
            <w:tcW w:w="477" w:type="pct"/>
            <w:shd w:val="clear" w:color="auto" w:fill="D7D7D7" w:themeFill="background1" w:themeFillShade="D8"/>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100</w:t>
            </w:r>
          </w:p>
        </w:tc>
        <w:tc>
          <w:tcPr>
            <w:tcW w:w="460" w:type="pct"/>
            <w:shd w:val="clear" w:color="auto" w:fill="D7D7D7" w:themeFill="background1" w:themeFillShade="D8"/>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9</w:t>
            </w:r>
            <w:r>
              <w:rPr>
                <w:rFonts w:hint="eastAsia" w:ascii="仿宋_GB2312" w:hAnsi="仿宋_GB2312" w:eastAsia="仿宋_GB2312" w:cs="仿宋_GB2312"/>
                <w:color w:val="000000"/>
                <w:kern w:val="0"/>
                <w:sz w:val="24"/>
                <w:szCs w:val="24"/>
                <w:lang w:val="en-US" w:eastAsia="zh-CN" w:bidi="ar"/>
              </w:rPr>
              <w:t>6.59</w:t>
            </w:r>
          </w:p>
        </w:tc>
      </w:tr>
    </w:tbl>
    <w:p>
      <w:pPr>
        <w:spacing w:line="320" w:lineRule="exact"/>
        <w:ind w:firstLine="480"/>
        <w:rPr>
          <w:rFonts w:cs="仿宋_GB2312"/>
          <w:sz w:val="24"/>
          <w:szCs w:val="24"/>
        </w:rPr>
      </w:pPr>
    </w:p>
    <w:p>
      <w:pPr>
        <w:pStyle w:val="3"/>
        <w:spacing w:line="600" w:lineRule="exact"/>
        <w:ind w:firstLine="640"/>
      </w:pPr>
      <w:bookmarkStart w:id="51" w:name="_Toc6498"/>
      <w:bookmarkStart w:id="52" w:name="_Toc8719"/>
      <w:bookmarkStart w:id="53" w:name="_Toc10117"/>
      <w:bookmarkStart w:id="54" w:name="_Toc1114462855"/>
      <w:r>
        <w:rPr>
          <w:rFonts w:hint="eastAsia"/>
          <w:lang w:val="en-US" w:eastAsia="zh-CN"/>
        </w:rPr>
        <w:t>四</w:t>
      </w:r>
      <w:r>
        <w:rPr>
          <w:rFonts w:hint="eastAsia"/>
        </w:rPr>
        <w:t>、绩效评价指标分析</w:t>
      </w:r>
      <w:bookmarkEnd w:id="51"/>
      <w:bookmarkEnd w:id="52"/>
      <w:bookmarkEnd w:id="53"/>
      <w:bookmarkEnd w:id="54"/>
    </w:p>
    <w:p>
      <w:pPr>
        <w:pStyle w:val="4"/>
        <w:spacing w:line="600" w:lineRule="exact"/>
        <w:ind w:firstLine="640"/>
        <w:rPr>
          <w:b w:val="0"/>
        </w:rPr>
      </w:pPr>
      <w:bookmarkStart w:id="55" w:name="_Toc9553"/>
      <w:bookmarkStart w:id="56" w:name="_Toc1293"/>
      <w:bookmarkStart w:id="57" w:name="_Toc424834851"/>
      <w:bookmarkStart w:id="58" w:name="_Toc1728"/>
      <w:r>
        <w:rPr>
          <w:rFonts w:hint="eastAsia"/>
          <w:b w:val="0"/>
        </w:rPr>
        <w:t>（一）项目决策情况</w:t>
      </w:r>
      <w:bookmarkEnd w:id="55"/>
      <w:bookmarkEnd w:id="56"/>
      <w:bookmarkEnd w:id="57"/>
      <w:bookmarkEnd w:id="58"/>
    </w:p>
    <w:p>
      <w:pPr>
        <w:spacing w:line="600" w:lineRule="exact"/>
        <w:ind w:firstLine="640"/>
      </w:pPr>
      <w:r>
        <w:rPr>
          <w:rFonts w:hint="eastAsia"/>
        </w:rPr>
        <w:t>该指标从项目立项、绩效目标、资金投入三个方面对项目决策情况进行评价，共涉及6个三级指标。指标权重20分，评价得19分，得分率95%。具体分析如下：</w:t>
      </w:r>
    </w:p>
    <w:p>
      <w:pPr>
        <w:spacing w:line="600" w:lineRule="exact"/>
        <w:ind w:firstLine="640"/>
        <w:outlineLvl w:val="2"/>
      </w:pPr>
      <w:bookmarkStart w:id="59" w:name="_Toc1536"/>
      <w:r>
        <w:rPr>
          <w:rFonts w:hint="eastAsia"/>
        </w:rPr>
        <w:t>1.项目立项</w:t>
      </w:r>
      <w:bookmarkEnd w:id="59"/>
    </w:p>
    <w:p>
      <w:pPr>
        <w:spacing w:line="600" w:lineRule="exact"/>
        <w:ind w:firstLine="640"/>
      </w:pPr>
      <w:r>
        <w:rPr>
          <w:rFonts w:hint="eastAsia"/>
        </w:rPr>
        <w:t>立项依据充分性。该指标旨在评价项目立项是否符合法律法规、相关政策、发展规划以及部门职责，用以反映和考核项目立项依据情况。指标权重5分，评价得分5分。习近平总书记多次作出重要批示，强调党的工作最坚实的力量支撑在基层，最突出的矛盾和问题也在基层，必须把抓基层打基础作为长远之计和固本之举。因此，开展党建工作适应新时代发展要求，有利于巩固党的执政地位，是实现国家繁荣富强的必然选择。项目立项依据充分，</w:t>
      </w:r>
      <w:r>
        <w:rPr>
          <w:rFonts w:hint="eastAsia"/>
          <w:lang w:val="en-US" w:eastAsia="zh-CN"/>
        </w:rPr>
        <w:t>响应</w:t>
      </w:r>
      <w:r>
        <w:rPr>
          <w:rFonts w:hint="eastAsia"/>
        </w:rPr>
        <w:t>发展规划。</w:t>
      </w:r>
    </w:p>
    <w:p>
      <w:pPr>
        <w:spacing w:line="600" w:lineRule="exact"/>
        <w:ind w:firstLine="640"/>
        <w:rPr>
          <w:rFonts w:cs="仿宋_GB2312"/>
        </w:rPr>
      </w:pPr>
      <w:r>
        <w:rPr>
          <w:rFonts w:hint="eastAsia"/>
        </w:rPr>
        <w:t>立项程序规范性。</w:t>
      </w:r>
      <w:r>
        <w:rPr>
          <w:rFonts w:hint="eastAsia" w:cs="仿宋_GB2312"/>
        </w:rPr>
        <w:t>该指标旨在评价项目申请、设立过程是否符合相关要求，用以反映和考核项目立项的规范情况。指标权重2分，评价得分2分。本项目按照规定的程序申请设立，经区财政局审批通过，审批文件、材料符合相关要求，事前已经过必要的风险评估。</w:t>
      </w:r>
    </w:p>
    <w:p>
      <w:pPr>
        <w:spacing w:line="600" w:lineRule="exact"/>
        <w:ind w:firstLine="640"/>
      </w:pPr>
      <w:r>
        <w:rPr>
          <w:rFonts w:hint="eastAsia"/>
        </w:rPr>
        <w:t>综上，项目立项类指标权重7分，评价得分7分。</w:t>
      </w:r>
    </w:p>
    <w:p>
      <w:pPr>
        <w:spacing w:line="600" w:lineRule="exact"/>
        <w:ind w:firstLine="640"/>
        <w:outlineLvl w:val="2"/>
      </w:pPr>
      <w:bookmarkStart w:id="60" w:name="_Toc25206"/>
      <w:r>
        <w:rPr>
          <w:rFonts w:hint="eastAsia"/>
        </w:rPr>
        <w:t>2.绩效目标</w:t>
      </w:r>
      <w:bookmarkEnd w:id="60"/>
    </w:p>
    <w:p>
      <w:pPr>
        <w:spacing w:line="600" w:lineRule="exact"/>
        <w:ind w:firstLine="640"/>
        <w:rPr>
          <w:rFonts w:hint="default" w:eastAsia="仿宋_GB2312" w:cs="仿宋_GB2312"/>
          <w:lang w:val="en-US" w:eastAsia="zh-CN"/>
        </w:rPr>
      </w:pPr>
      <w:r>
        <w:rPr>
          <w:rFonts w:hint="eastAsia" w:cs="仿宋_GB2312"/>
        </w:rPr>
        <w:t>绩效目标合理性。该指标旨在评价项目所设定的绩效目标是否依据充分，符合客观实际，用以反映和考核项目绩效目标与项目实施的相符情况。指标权重4分，评价得分</w:t>
      </w:r>
      <w:r>
        <w:rPr>
          <w:rFonts w:hint="eastAsia" w:cs="仿宋_GB2312"/>
          <w:lang w:val="en-US" w:eastAsia="zh-CN"/>
        </w:rPr>
        <w:t>3.5</w:t>
      </w:r>
      <w:r>
        <w:rPr>
          <w:rFonts w:hint="eastAsia" w:cs="仿宋_GB2312"/>
        </w:rPr>
        <w:t>分。我单位根据项目年度主要任务和计划，预判</w:t>
      </w:r>
      <w:r>
        <w:rPr>
          <w:rFonts w:hint="eastAsia" w:cs="仿宋_GB2312"/>
          <w:lang w:eastAsia="zh-CN"/>
        </w:rPr>
        <w:t>2024年</w:t>
      </w:r>
      <w:r>
        <w:rPr>
          <w:rFonts w:hint="eastAsia" w:cs="仿宋_GB2312"/>
        </w:rPr>
        <w:t>度履行职能所要达到的总体产出和效果，以定量和定性相结合的方式，制定年度绩效目标，突出项目年度工作重点。绩效目标设置合理可行，与实际工作内容具有较强相关性</w:t>
      </w:r>
      <w:r>
        <w:rPr>
          <w:rFonts w:hint="eastAsia" w:cs="仿宋_GB2312"/>
          <w:lang w:eastAsia="zh-CN"/>
        </w:rPr>
        <w:t>，</w:t>
      </w:r>
      <w:r>
        <w:rPr>
          <w:rFonts w:hint="eastAsia" w:cs="仿宋_GB2312"/>
          <w:lang w:val="en-US" w:eastAsia="zh-CN"/>
        </w:rPr>
        <w:t>但存在未设置效益指标的情况。</w:t>
      </w:r>
    </w:p>
    <w:p>
      <w:pPr>
        <w:spacing w:line="600" w:lineRule="exact"/>
        <w:ind w:firstLine="640"/>
      </w:pPr>
      <w:r>
        <w:rPr>
          <w:rFonts w:hint="eastAsia" w:cs="仿宋_GB2312"/>
        </w:rPr>
        <w:t>绩效指标明确性。该指标旨在评价项目依据绩效目标设定的绩效指标是否清晰、细化、可衡量等，用以反映和考核项目绩效目标的明细化情况。指标权重3分，评价得分2</w:t>
      </w:r>
      <w:r>
        <w:rPr>
          <w:rFonts w:hint="eastAsia" w:cs="仿宋_GB2312"/>
          <w:lang w:val="en-US" w:eastAsia="zh-CN"/>
        </w:rPr>
        <w:t>.5</w:t>
      </w:r>
      <w:r>
        <w:rPr>
          <w:rFonts w:hint="eastAsia" w:cs="仿宋_GB2312"/>
        </w:rPr>
        <w:t>分。我单位遵循“明确性、可衡量性、可达到性、关联性、时限性”五项原则设置绩效目标，目标内容明确，指标值清晰、可衡量。如</w:t>
      </w:r>
      <w:r>
        <w:rPr>
          <w:rFonts w:hint="eastAsia" w:cs="仿宋_GB2312"/>
          <w:lang w:val="en-US" w:eastAsia="zh-CN"/>
        </w:rPr>
        <w:t>设置</w:t>
      </w:r>
      <w:r>
        <w:rPr>
          <w:rFonts w:hint="eastAsia" w:cs="仿宋_GB2312"/>
        </w:rPr>
        <w:t>数量指标“党建工作培训批次</w:t>
      </w:r>
      <w:r>
        <w:rPr>
          <w:rFonts w:hint="eastAsia" w:cs="仿宋_GB2312"/>
          <w:lang w:eastAsia="zh-CN"/>
        </w:rPr>
        <w:t>：</w:t>
      </w:r>
      <w:r>
        <w:rPr>
          <w:rFonts w:hint="eastAsia" w:cs="仿宋_GB2312"/>
          <w:lang w:val="en-US" w:eastAsia="zh-CN"/>
        </w:rPr>
        <w:t>每年1期</w:t>
      </w:r>
      <w:r>
        <w:rPr>
          <w:rFonts w:hint="eastAsia" w:cs="仿宋_GB2312"/>
        </w:rPr>
        <w:t>”</w:t>
      </w:r>
      <w:r>
        <w:rPr>
          <w:rFonts w:hint="eastAsia" w:cs="仿宋_GB2312"/>
          <w:lang w:eastAsia="zh-CN"/>
        </w:rPr>
        <w:t>、</w:t>
      </w:r>
      <w:r>
        <w:rPr>
          <w:rFonts w:hint="eastAsia" w:cs="仿宋_GB2312"/>
          <w:lang w:val="en-US" w:eastAsia="zh-CN"/>
        </w:rPr>
        <w:t>质量指标</w:t>
      </w:r>
      <w:r>
        <w:rPr>
          <w:rFonts w:hint="eastAsia" w:cs="仿宋_GB2312"/>
          <w:lang w:eastAsia="zh-CN"/>
        </w:rPr>
        <w:t>“负责党建工作的人员接受培训率：</w:t>
      </w:r>
      <w:r>
        <w:rPr>
          <w:rFonts w:hint="eastAsia" w:cs="仿宋_GB2312"/>
          <w:lang w:val="en-US" w:eastAsia="zh-CN"/>
        </w:rPr>
        <w:t>100%</w:t>
      </w:r>
      <w:r>
        <w:rPr>
          <w:rFonts w:hint="eastAsia" w:cs="仿宋_GB2312"/>
          <w:lang w:eastAsia="zh-CN"/>
        </w:rPr>
        <w:t>”</w:t>
      </w:r>
      <w:r>
        <w:rPr>
          <w:rFonts w:hint="eastAsia" w:cs="仿宋_GB2312"/>
        </w:rPr>
        <w:t>，指标内容与党建工作息息相关，</w:t>
      </w:r>
      <w:r>
        <w:rPr>
          <w:rFonts w:hint="eastAsia" w:cs="仿宋_GB2312"/>
          <w:lang w:val="en-US" w:eastAsia="zh-CN"/>
        </w:rPr>
        <w:t>切实</w:t>
      </w:r>
      <w:r>
        <w:rPr>
          <w:rFonts w:hint="eastAsia" w:cs="仿宋_GB2312"/>
        </w:rPr>
        <w:t>考核党建</w:t>
      </w:r>
      <w:r>
        <w:rPr>
          <w:rFonts w:hint="eastAsia" w:cs="仿宋_GB2312"/>
          <w:lang w:val="en-US" w:eastAsia="zh-CN"/>
        </w:rPr>
        <w:t>培训</w:t>
      </w:r>
      <w:r>
        <w:rPr>
          <w:rFonts w:hint="eastAsia" w:cs="仿宋_GB2312"/>
        </w:rPr>
        <w:t>活动的</w:t>
      </w:r>
      <w:r>
        <w:rPr>
          <w:rFonts w:hint="eastAsia" w:cs="仿宋_GB2312"/>
          <w:lang w:val="en-US" w:eastAsia="zh-CN"/>
        </w:rPr>
        <w:t>开展</w:t>
      </w:r>
      <w:r>
        <w:rPr>
          <w:rFonts w:hint="eastAsia" w:cs="仿宋_GB2312"/>
        </w:rPr>
        <w:t>情况</w:t>
      </w:r>
      <w:r>
        <w:rPr>
          <w:rFonts w:hint="eastAsia"/>
        </w:rPr>
        <w:t>。但仍存在</w:t>
      </w:r>
      <w:r>
        <w:rPr>
          <w:rFonts w:hint="eastAsia"/>
          <w:lang w:val="en-US" w:eastAsia="zh-CN"/>
        </w:rPr>
        <w:t>指标内容与指标值单位不匹配的</w:t>
      </w:r>
      <w:r>
        <w:rPr>
          <w:rFonts w:hint="eastAsia"/>
        </w:rPr>
        <w:t>情况。</w:t>
      </w:r>
    </w:p>
    <w:p>
      <w:pPr>
        <w:spacing w:line="600" w:lineRule="exact"/>
        <w:ind w:firstLine="640"/>
      </w:pPr>
      <w:r>
        <w:rPr>
          <w:rFonts w:hint="eastAsia"/>
        </w:rPr>
        <w:t>综上所述，绩效目标类指标权重7分，评价得分6分。</w:t>
      </w:r>
    </w:p>
    <w:p>
      <w:pPr>
        <w:spacing w:line="600" w:lineRule="exact"/>
        <w:ind w:firstLine="640"/>
        <w:outlineLvl w:val="2"/>
      </w:pPr>
      <w:bookmarkStart w:id="61" w:name="_Toc22494"/>
      <w:r>
        <w:rPr>
          <w:rFonts w:hint="eastAsia"/>
        </w:rPr>
        <w:t>3.资金投入</w:t>
      </w:r>
      <w:bookmarkEnd w:id="61"/>
    </w:p>
    <w:p>
      <w:pPr>
        <w:spacing w:line="600" w:lineRule="exact"/>
        <w:ind w:firstLine="640"/>
        <w:rPr>
          <w:rFonts w:cs="仿宋_GB2312"/>
        </w:rPr>
      </w:pPr>
      <w:r>
        <w:rPr>
          <w:rFonts w:hint="eastAsia"/>
        </w:rPr>
        <w:t>预算编制科学性。</w:t>
      </w:r>
      <w:r>
        <w:rPr>
          <w:rFonts w:hint="eastAsia" w:cs="仿宋_GB2312"/>
        </w:rPr>
        <w:t>该指标旨在评价项目预算编制是否经过科学论证、有明确标准，资金额度与年度目标相适应，用以反映和考核项目预算编制的科学性、合理性情况。指标权重4分，评价得分4分。我单位根据《罗湖区2024年预算和2024-2026年中期财政规划编制方案》《中国人民政治协商会议深圳市罗湖区委员会内部控制手册》等相关要求，通过“一上一下”“二上二下”程序进行预算编制</w:t>
      </w:r>
      <w:r>
        <w:rPr>
          <w:rFonts w:hint="eastAsia" w:cs="仿宋_GB2312"/>
          <w:lang w:eastAsia="zh-CN"/>
        </w:rPr>
        <w:t>。</w:t>
      </w:r>
      <w:r>
        <w:rPr>
          <w:rFonts w:hint="eastAsia" w:cs="仿宋_GB2312"/>
          <w:lang w:val="en-US" w:eastAsia="zh-CN"/>
        </w:rPr>
        <w:t>项目经办人根据</w:t>
      </w:r>
      <w:r>
        <w:rPr>
          <w:rFonts w:hint="eastAsia" w:cs="仿宋_GB2312"/>
        </w:rPr>
        <w:t>工作计划测算项目</w:t>
      </w:r>
      <w:r>
        <w:rPr>
          <w:rFonts w:hint="eastAsia" w:cs="仿宋_GB2312"/>
          <w:lang w:val="en-US" w:eastAsia="zh-CN"/>
        </w:rPr>
        <w:t>预算指标</w:t>
      </w:r>
      <w:r>
        <w:rPr>
          <w:rFonts w:hint="eastAsia" w:cs="仿宋_GB2312"/>
        </w:rPr>
        <w:t>，提出预算需求，经</w:t>
      </w:r>
      <w:r>
        <w:rPr>
          <w:rFonts w:hint="eastAsia" w:cs="仿宋_GB2312"/>
          <w:lang w:val="en-US" w:eastAsia="zh-CN"/>
        </w:rPr>
        <w:t>办公室</w:t>
      </w:r>
      <w:r>
        <w:rPr>
          <w:rFonts w:hint="eastAsia" w:cs="仿宋_GB2312"/>
        </w:rPr>
        <w:t>协调会议通过后拟定；项目年度经费预算草案经秘书长签署后，提交主席会议形成审定意见；</w:t>
      </w:r>
      <w:r>
        <w:rPr>
          <w:rFonts w:hint="eastAsia" w:cs="仿宋_GB2312"/>
          <w:lang w:val="en-US" w:eastAsia="zh-CN"/>
        </w:rPr>
        <w:t>秘书科</w:t>
      </w:r>
      <w:r>
        <w:rPr>
          <w:rFonts w:hint="eastAsia" w:cs="仿宋_GB2312"/>
        </w:rPr>
        <w:t>根据主席</w:t>
      </w:r>
      <w:r>
        <w:rPr>
          <w:rFonts w:hint="eastAsia" w:cs="仿宋_GB2312"/>
          <w:lang w:eastAsia="zh-CN"/>
        </w:rPr>
        <w:t>会议</w:t>
      </w:r>
      <w:r>
        <w:rPr>
          <w:rFonts w:hint="eastAsia" w:cs="仿宋_GB2312"/>
        </w:rPr>
        <w:t>审议结果，修改完善项目年度预算草案，</w:t>
      </w:r>
      <w:r>
        <w:rPr>
          <w:rFonts w:hint="eastAsia" w:cs="仿宋_GB2312"/>
          <w:lang w:val="en-US" w:eastAsia="zh-CN"/>
        </w:rPr>
        <w:t>后</w:t>
      </w:r>
      <w:r>
        <w:rPr>
          <w:rFonts w:hint="eastAsia" w:cs="仿宋_GB2312"/>
        </w:rPr>
        <w:t>报区财政局核准。逐级审核流程</w:t>
      </w:r>
      <w:r>
        <w:rPr>
          <w:rFonts w:hint="eastAsia" w:cs="仿宋_GB2312"/>
          <w:lang w:val="en-US" w:eastAsia="zh-CN"/>
        </w:rPr>
        <w:t>有效</w:t>
      </w:r>
      <w:r>
        <w:rPr>
          <w:rFonts w:hint="eastAsia" w:cs="仿宋_GB2312"/>
        </w:rPr>
        <w:t>保障预算编制的规范性、科学性，使预算编制与工作情况结合紧密。</w:t>
      </w:r>
    </w:p>
    <w:p>
      <w:pPr>
        <w:spacing w:line="600" w:lineRule="exact"/>
        <w:ind w:firstLine="640"/>
        <w:rPr>
          <w:rFonts w:cs="仿宋_GB2312"/>
        </w:rPr>
      </w:pPr>
      <w:r>
        <w:rPr>
          <w:rFonts w:hint="eastAsia" w:cs="仿宋_GB2312"/>
        </w:rPr>
        <w:t>资金分配合理性。该指标旨在评价项目预算资金分配是否有测算依据，与补助单位或地方实际相适应，用以反映和考核项目预算资金分配的科学性、合理性情况。指标权重2分，评价得分2分。当年度我单位按照项目的职责分工情况，紧扣工作计划和工作重点，将项目经费支出的任务细化到科室，落实到个人，为后续具体业务的开展提供有力保障。</w:t>
      </w:r>
    </w:p>
    <w:p>
      <w:pPr>
        <w:spacing w:line="600" w:lineRule="exact"/>
        <w:ind w:firstLine="640"/>
      </w:pPr>
      <w:r>
        <w:rPr>
          <w:rFonts w:hint="eastAsia" w:cs="仿宋_GB2312"/>
        </w:rPr>
        <w:t>综上所述，资金投入类指标权重6分，评价得分6分。</w:t>
      </w:r>
    </w:p>
    <w:p>
      <w:pPr>
        <w:pStyle w:val="4"/>
        <w:spacing w:line="600" w:lineRule="exact"/>
        <w:ind w:firstLine="640"/>
        <w:rPr>
          <w:b w:val="0"/>
        </w:rPr>
      </w:pPr>
      <w:bookmarkStart w:id="62" w:name="_Toc19196"/>
      <w:bookmarkStart w:id="63" w:name="_Toc24659"/>
      <w:bookmarkStart w:id="64" w:name="_Toc1963698129"/>
      <w:bookmarkStart w:id="65" w:name="_Toc24264"/>
      <w:r>
        <w:rPr>
          <w:rFonts w:hint="eastAsia"/>
          <w:b w:val="0"/>
        </w:rPr>
        <w:t>（二）项目过程情况</w:t>
      </w:r>
      <w:bookmarkEnd w:id="62"/>
      <w:bookmarkEnd w:id="63"/>
      <w:bookmarkEnd w:id="64"/>
      <w:bookmarkEnd w:id="65"/>
    </w:p>
    <w:p>
      <w:pPr>
        <w:spacing w:line="600" w:lineRule="exact"/>
        <w:ind w:firstLine="640"/>
      </w:pPr>
      <w:r>
        <w:rPr>
          <w:rFonts w:hint="eastAsia" w:cs="仿宋_GB2312"/>
        </w:rPr>
        <w:t>该指标从资金管理、组织实施两个方面对项目过程情况进行评价，共涉及5个三级指标。指标权重20分，评价得</w:t>
      </w:r>
      <w:r>
        <w:rPr>
          <w:rFonts w:hint="eastAsia" w:cs="仿宋_GB2312"/>
          <w:lang w:val="en-US" w:eastAsia="zh-CN"/>
        </w:rPr>
        <w:t>19</w:t>
      </w:r>
      <w:r>
        <w:rPr>
          <w:rFonts w:hint="eastAsia" w:cs="仿宋_GB2312"/>
        </w:rPr>
        <w:t>.</w:t>
      </w:r>
      <w:r>
        <w:rPr>
          <w:rFonts w:hint="eastAsia" w:cs="仿宋_GB2312"/>
          <w:lang w:val="en-US" w:eastAsia="zh-CN"/>
        </w:rPr>
        <w:t>19</w:t>
      </w:r>
      <w:r>
        <w:rPr>
          <w:rFonts w:hint="eastAsia" w:cs="仿宋_GB2312"/>
        </w:rPr>
        <w:t>分，得分率</w:t>
      </w:r>
      <w:r>
        <w:rPr>
          <w:rFonts w:hint="eastAsia" w:cs="仿宋_GB2312"/>
          <w:lang w:val="en-US" w:eastAsia="zh-CN"/>
        </w:rPr>
        <w:t>96</w:t>
      </w:r>
      <w:r>
        <w:rPr>
          <w:rFonts w:hint="eastAsia" w:cs="仿宋_GB2312"/>
        </w:rPr>
        <w:t>%。</w:t>
      </w:r>
      <w:r>
        <w:rPr>
          <w:rFonts w:hint="eastAsia"/>
        </w:rPr>
        <w:t>具体分析如下：</w:t>
      </w:r>
    </w:p>
    <w:p>
      <w:pPr>
        <w:spacing w:line="600" w:lineRule="exact"/>
        <w:ind w:firstLine="640"/>
        <w:outlineLvl w:val="2"/>
      </w:pPr>
      <w:bookmarkStart w:id="66" w:name="_Toc23700"/>
      <w:r>
        <w:rPr>
          <w:rFonts w:hint="eastAsia"/>
        </w:rPr>
        <w:t>1.资金管理</w:t>
      </w:r>
      <w:bookmarkEnd w:id="66"/>
    </w:p>
    <w:p>
      <w:pPr>
        <w:spacing w:line="600" w:lineRule="exact"/>
        <w:ind w:firstLine="640"/>
      </w:pPr>
      <w:r>
        <w:rPr>
          <w:rFonts w:hint="eastAsia"/>
        </w:rPr>
        <w:t>资金到位率。该指标旨在评价项目实际到位资金与预算资金的比率，用以反映和考核资金落实情况对项目实施的总体保障程度。指标权重2分，评价得分2分。当年度项目预算安排2.</w:t>
      </w:r>
      <w:r>
        <w:rPr>
          <w:rFonts w:hint="eastAsia"/>
          <w:lang w:val="en-US" w:eastAsia="zh-CN"/>
        </w:rPr>
        <w:t>6</w:t>
      </w:r>
      <w:r>
        <w:rPr>
          <w:rFonts w:hint="eastAsia"/>
        </w:rPr>
        <w:t>万元，已于</w:t>
      </w:r>
      <w:r>
        <w:rPr>
          <w:rFonts w:hint="eastAsia"/>
          <w:lang w:eastAsia="zh-CN"/>
        </w:rPr>
        <w:t>2024年</w:t>
      </w:r>
      <w:r>
        <w:rPr>
          <w:rFonts w:hint="eastAsia"/>
        </w:rPr>
        <w:t>1月全额下达，资金到位率达100%。</w:t>
      </w:r>
    </w:p>
    <w:p>
      <w:pPr>
        <w:spacing w:line="600" w:lineRule="exact"/>
        <w:ind w:firstLine="640"/>
      </w:pPr>
      <w:r>
        <w:rPr>
          <w:rFonts w:hint="eastAsia"/>
        </w:rPr>
        <w:t>预算执行率。该指标旨在评价项目预算资金是否按照计划执行，用以反映或考核项目预算执行情况。指标权重5分，评价得分</w:t>
      </w:r>
      <w:r>
        <w:rPr>
          <w:rFonts w:hint="eastAsia"/>
          <w:lang w:val="en-US" w:eastAsia="zh-CN"/>
        </w:rPr>
        <w:t>4.19</w:t>
      </w:r>
      <w:r>
        <w:rPr>
          <w:rFonts w:hint="eastAsia"/>
        </w:rPr>
        <w:t>分。</w:t>
      </w:r>
      <w:r>
        <w:rPr>
          <w:rFonts w:hint="eastAsia"/>
          <w:lang w:eastAsia="zh-CN"/>
        </w:rPr>
        <w:t>2024年</w:t>
      </w:r>
      <w:r>
        <w:rPr>
          <w:rFonts w:hint="eastAsia"/>
        </w:rPr>
        <w:t>，项目预算金额2.</w:t>
      </w:r>
      <w:r>
        <w:rPr>
          <w:rFonts w:hint="eastAsia"/>
          <w:lang w:val="en-US" w:eastAsia="zh-CN"/>
        </w:rPr>
        <w:t>6</w:t>
      </w:r>
      <w:r>
        <w:rPr>
          <w:rFonts w:hint="eastAsia"/>
        </w:rPr>
        <w:t>万元，实际支出</w:t>
      </w:r>
      <w:r>
        <w:rPr>
          <w:rFonts w:hint="eastAsia"/>
          <w:lang w:val="en-US" w:eastAsia="zh-CN"/>
        </w:rPr>
        <w:t>2</w:t>
      </w:r>
      <w:r>
        <w:rPr>
          <w:rFonts w:hint="eastAsia"/>
        </w:rPr>
        <w:t>.</w:t>
      </w:r>
      <w:r>
        <w:rPr>
          <w:rFonts w:hint="eastAsia"/>
          <w:lang w:val="en-US" w:eastAsia="zh-CN"/>
        </w:rPr>
        <w:t>18</w:t>
      </w:r>
      <w:r>
        <w:rPr>
          <w:rFonts w:hint="eastAsia"/>
        </w:rPr>
        <w:t>万元，预算执行率</w:t>
      </w:r>
      <w:r>
        <w:rPr>
          <w:rFonts w:hint="eastAsia"/>
          <w:lang w:val="en-US" w:eastAsia="zh-CN"/>
        </w:rPr>
        <w:t>83.8</w:t>
      </w:r>
      <w:r>
        <w:rPr>
          <w:rFonts w:hint="eastAsia"/>
        </w:rPr>
        <w:t>%。</w:t>
      </w:r>
    </w:p>
    <w:p>
      <w:pPr>
        <w:spacing w:line="600" w:lineRule="exact"/>
        <w:ind w:firstLine="640"/>
      </w:pPr>
      <w:r>
        <w:rPr>
          <w:rFonts w:hint="eastAsia"/>
        </w:rPr>
        <w:t>资金使用合规性。该指标旨在评价项目资金使用是否符合相关的财务管理制度规定，用以反映和考核项目资金的规范运行情况。指标权重3分，评价得分3分。我单位严格按照《中国人民政治协商会议深圳市罗湖区委员会内部控制手册》</w:t>
      </w:r>
      <w:r>
        <w:rPr>
          <w:rFonts w:hint="eastAsia"/>
          <w:lang w:val="en-US" w:eastAsia="zh-CN"/>
        </w:rPr>
        <w:t>相关</w:t>
      </w:r>
      <w:r>
        <w:rPr>
          <w:rFonts w:hint="eastAsia"/>
        </w:rPr>
        <w:t>规定进行财务管理，有完整的“申请－报销－审批”经费支出程序和手续，资金用途符合项目预算批复及合同规定用途，资金拨付审批手续齐全。</w:t>
      </w:r>
    </w:p>
    <w:p>
      <w:pPr>
        <w:spacing w:line="600" w:lineRule="exact"/>
        <w:ind w:firstLine="640"/>
      </w:pPr>
      <w:r>
        <w:rPr>
          <w:rFonts w:hint="eastAsia"/>
        </w:rPr>
        <w:t>综上所述，资金管理指标权重10分，评价得分</w:t>
      </w:r>
      <w:r>
        <w:rPr>
          <w:rFonts w:hint="eastAsia"/>
          <w:lang w:val="en-US" w:eastAsia="zh-CN"/>
        </w:rPr>
        <w:t>9</w:t>
      </w:r>
      <w:r>
        <w:rPr>
          <w:rFonts w:hint="eastAsia"/>
        </w:rPr>
        <w:t>.</w:t>
      </w:r>
      <w:r>
        <w:rPr>
          <w:rFonts w:hint="eastAsia"/>
          <w:lang w:val="en-US" w:eastAsia="zh-CN"/>
        </w:rPr>
        <w:t>19</w:t>
      </w:r>
      <w:r>
        <w:rPr>
          <w:rFonts w:hint="eastAsia"/>
        </w:rPr>
        <w:t>分。</w:t>
      </w:r>
    </w:p>
    <w:p>
      <w:pPr>
        <w:spacing w:line="600" w:lineRule="exact"/>
        <w:ind w:firstLine="640"/>
        <w:outlineLvl w:val="2"/>
      </w:pPr>
      <w:bookmarkStart w:id="67" w:name="_Toc30756"/>
      <w:r>
        <w:rPr>
          <w:rFonts w:hint="eastAsia"/>
        </w:rPr>
        <w:t>2.组织实施</w:t>
      </w:r>
      <w:bookmarkEnd w:id="67"/>
    </w:p>
    <w:p>
      <w:pPr>
        <w:spacing w:line="600" w:lineRule="exact"/>
        <w:ind w:firstLine="640"/>
      </w:pPr>
      <w:r>
        <w:t>管理制度健全性。该指标旨在评价项目实施单位的财务和业务管理制度是否健全，用以反映和考核财务和业务管理制度对项目顺利实施的保障情况。指标权重5分，评价得分5分。</w:t>
      </w:r>
      <w:r>
        <w:rPr>
          <w:rFonts w:hint="eastAsia"/>
        </w:rPr>
        <w:t>2024年，我单位在2018年11月修订的《中国人民政治协商会议深圳市罗湖区委员会内部控制工作手册》的基础上，根据《行政事业单位内部控制规范（试行）》《财政部关于全面推进行政事业单位内部控制建设的指导意见》《中华人民共和国预算法》《预算法实施条例》《中华人民共和国会计法》《深圳经济特区政府采购条例》等相关法律法规和相关规定，结合本单位实际，制定《中国人民政治协商会议深圳市罗湖区委员会内部控制手册》。</w:t>
      </w:r>
      <w:r>
        <w:rPr>
          <w:rFonts w:hint="eastAsia" w:cs="仿宋_GB2312"/>
          <w:sz w:val="32"/>
          <w:szCs w:val="32"/>
          <w:highlight w:val="none"/>
          <w:lang w:val="en-US" w:eastAsia="zh-CN"/>
        </w:rPr>
        <w:t>新的内部控制手册不仅涵盖原有的财务、采购、资产等方面的内容，还进一步扩展到风险评估、档案管理、议事规则等多个领域，形成一个更加全面、系统的内部控制框架</w:t>
      </w:r>
      <w:r>
        <w:t>。</w:t>
      </w:r>
    </w:p>
    <w:p>
      <w:pPr>
        <w:spacing w:line="600" w:lineRule="exact"/>
        <w:ind w:firstLine="640"/>
      </w:pPr>
      <w:r>
        <w:t>制度执行有效性。该指标旨在评价项目实施是否符合相关管理规定，用以反映和考核相关管理制度的有效执行情况。指标权重5分，评价得分5分。</w:t>
      </w:r>
      <w:r>
        <w:rPr>
          <w:rFonts w:hint="eastAsia"/>
        </w:rPr>
        <w:t>我单位项目支出预算全面实行项目库管理，按照“先有项目后有预算，先有预算后有支出，没有预算不得支出”原则，在储备项目库中录入项目信息，经</w:t>
      </w:r>
      <w:r>
        <w:rPr>
          <w:rFonts w:hint="eastAsia"/>
          <w:lang w:val="en-US" w:eastAsia="zh-CN"/>
        </w:rPr>
        <w:t>秘书科</w:t>
      </w:r>
      <w:r>
        <w:rPr>
          <w:rFonts w:hint="eastAsia"/>
        </w:rPr>
        <w:t>审核，将符合条件的项目纳入项目库储备</w:t>
      </w:r>
      <w:r>
        <w:t>。</w:t>
      </w:r>
      <w:r>
        <w:rPr>
          <w:rFonts w:hint="eastAsia"/>
        </w:rPr>
        <w:t>在项目实施过程中，落实项目监管机制，加强对项目的检查、监控和督促。每月安排监管人员把控项目资金运行情况，跟踪项目目标实现进程，并把监管结果登记至项目支出计划明细表</w:t>
      </w:r>
      <w:r>
        <w:t>。</w:t>
      </w:r>
    </w:p>
    <w:p>
      <w:pPr>
        <w:spacing w:line="600" w:lineRule="exact"/>
        <w:ind w:firstLine="640"/>
      </w:pPr>
      <w:r>
        <w:t>综上所述，组织实施类指标权重</w:t>
      </w:r>
      <w:r>
        <w:rPr>
          <w:rFonts w:hint="eastAsia"/>
        </w:rPr>
        <w:t>10</w:t>
      </w:r>
      <w:r>
        <w:t>分，评价得</w:t>
      </w:r>
      <w:r>
        <w:rPr>
          <w:rFonts w:hint="eastAsia"/>
        </w:rPr>
        <w:t>分10</w:t>
      </w:r>
      <w:r>
        <w:t>分</w:t>
      </w:r>
      <w:r>
        <w:rPr>
          <w:rFonts w:hint="eastAsia"/>
        </w:rPr>
        <w:t>。</w:t>
      </w:r>
    </w:p>
    <w:p>
      <w:pPr>
        <w:pStyle w:val="4"/>
        <w:spacing w:line="600" w:lineRule="exact"/>
        <w:ind w:firstLine="640"/>
        <w:rPr>
          <w:b w:val="0"/>
          <w:highlight w:val="none"/>
        </w:rPr>
      </w:pPr>
      <w:bookmarkStart w:id="68" w:name="_Toc1345767007"/>
      <w:bookmarkStart w:id="69" w:name="_Toc23448"/>
      <w:bookmarkStart w:id="70" w:name="_Toc26829"/>
      <w:bookmarkStart w:id="71" w:name="_Toc16603"/>
      <w:r>
        <w:rPr>
          <w:rFonts w:hint="eastAsia"/>
          <w:b w:val="0"/>
          <w:highlight w:val="none"/>
        </w:rPr>
        <w:t>（三）项目产出情况</w:t>
      </w:r>
      <w:bookmarkEnd w:id="68"/>
      <w:bookmarkEnd w:id="69"/>
      <w:bookmarkEnd w:id="70"/>
      <w:bookmarkEnd w:id="71"/>
    </w:p>
    <w:p>
      <w:pPr>
        <w:spacing w:line="600" w:lineRule="exact"/>
        <w:ind w:firstLine="640"/>
      </w:pPr>
      <w:r>
        <w:rPr>
          <w:rFonts w:hint="eastAsia"/>
          <w:highlight w:val="none"/>
        </w:rPr>
        <w:t>该指标从数量、质量、时效、成</w:t>
      </w:r>
      <w:r>
        <w:rPr>
          <w:rFonts w:hint="eastAsia"/>
        </w:rPr>
        <w:t>本四个方面对项目产出情况进行评价，共涉及</w:t>
      </w:r>
      <w:r>
        <w:rPr>
          <w:rFonts w:hint="eastAsia"/>
          <w:lang w:val="en-US" w:eastAsia="zh-CN"/>
        </w:rPr>
        <w:t>6</w:t>
      </w:r>
      <w:r>
        <w:rPr>
          <w:rFonts w:hint="eastAsia"/>
        </w:rPr>
        <w:t>个三级指标。指标权重3</w:t>
      </w:r>
      <w:r>
        <w:rPr>
          <w:rFonts w:hint="eastAsia"/>
          <w:lang w:val="en-US" w:eastAsia="zh-CN"/>
        </w:rPr>
        <w:t>0</w:t>
      </w:r>
      <w:r>
        <w:rPr>
          <w:rFonts w:hint="eastAsia"/>
        </w:rPr>
        <w:t>分，评价得3</w:t>
      </w:r>
      <w:r>
        <w:rPr>
          <w:rFonts w:hint="eastAsia"/>
          <w:lang w:val="en-US" w:eastAsia="zh-CN"/>
        </w:rPr>
        <w:t>0</w:t>
      </w:r>
      <w:r>
        <w:rPr>
          <w:rFonts w:hint="eastAsia"/>
        </w:rPr>
        <w:t>分，得分率100%。具体分析如下：</w:t>
      </w:r>
    </w:p>
    <w:p>
      <w:pPr>
        <w:spacing w:line="600" w:lineRule="exact"/>
        <w:ind w:firstLine="640"/>
        <w:outlineLvl w:val="2"/>
      </w:pPr>
      <w:bookmarkStart w:id="72" w:name="_Toc12081"/>
      <w:r>
        <w:rPr>
          <w:rFonts w:hint="eastAsia"/>
        </w:rPr>
        <w:t>1.数量指标</w:t>
      </w:r>
      <w:bookmarkEnd w:id="72"/>
    </w:p>
    <w:p>
      <w:pPr>
        <w:spacing w:line="600" w:lineRule="exact"/>
        <w:ind w:firstLine="640"/>
      </w:pPr>
      <w:r>
        <w:rPr>
          <w:rFonts w:hint="eastAsia"/>
        </w:rPr>
        <w:t>主题教育培训开展期数。该指标旨在评价当年度我单位开展主题教育培训的期数情况。指标权重</w:t>
      </w:r>
      <w:r>
        <w:rPr>
          <w:rFonts w:hint="eastAsia"/>
          <w:lang w:val="en-US" w:eastAsia="zh-CN"/>
        </w:rPr>
        <w:t>5</w:t>
      </w:r>
      <w:r>
        <w:rPr>
          <w:rFonts w:hint="eastAsia"/>
        </w:rPr>
        <w:t>分，评价得分</w:t>
      </w:r>
      <w:r>
        <w:rPr>
          <w:rFonts w:hint="eastAsia"/>
          <w:lang w:val="en-US" w:eastAsia="zh-CN"/>
        </w:rPr>
        <w:t>5</w:t>
      </w:r>
      <w:r>
        <w:rPr>
          <w:rFonts w:hint="eastAsia"/>
        </w:rPr>
        <w:t>分。</w:t>
      </w:r>
      <w:r>
        <w:rPr>
          <w:rFonts w:hint="eastAsia"/>
          <w:lang w:eastAsia="zh-CN"/>
        </w:rPr>
        <w:t>2024年</w:t>
      </w:r>
      <w:r>
        <w:rPr>
          <w:rFonts w:hint="eastAsia"/>
        </w:rPr>
        <w:t>，我单位制定并实施《区政协机关党支部党纪</w:t>
      </w:r>
      <w:r>
        <w:rPr>
          <w:rFonts w:hint="eastAsia"/>
          <w:lang w:eastAsia="zh-CN"/>
        </w:rPr>
        <w:t>学习</w:t>
      </w:r>
      <w:r>
        <w:rPr>
          <w:rFonts w:hint="eastAsia"/>
        </w:rPr>
        <w:t>教育学习计划》，组织全体党员干部参加党纪学习教育读书班活动。</w:t>
      </w:r>
    </w:p>
    <w:p>
      <w:pPr>
        <w:spacing w:line="600" w:lineRule="exact"/>
        <w:ind w:firstLine="640"/>
      </w:pPr>
      <w:r>
        <w:rPr>
          <w:rFonts w:hint="eastAsia"/>
        </w:rPr>
        <w:t>开展会议专题学习次数。该指标旨在评价当年度我单位开展会议专题学习次数情况。指标权重</w:t>
      </w:r>
      <w:r>
        <w:rPr>
          <w:rFonts w:hint="eastAsia"/>
          <w:lang w:val="en-US" w:eastAsia="zh-CN"/>
        </w:rPr>
        <w:t>5</w:t>
      </w:r>
      <w:r>
        <w:rPr>
          <w:rFonts w:hint="eastAsia"/>
        </w:rPr>
        <w:t>分，评价得分</w:t>
      </w:r>
      <w:r>
        <w:rPr>
          <w:rFonts w:hint="eastAsia"/>
          <w:lang w:val="en-US" w:eastAsia="zh-CN"/>
        </w:rPr>
        <w:t>5</w:t>
      </w:r>
      <w:r>
        <w:rPr>
          <w:rFonts w:hint="eastAsia"/>
        </w:rPr>
        <w:t>分。</w:t>
      </w:r>
      <w:r>
        <w:rPr>
          <w:rFonts w:hint="eastAsia"/>
          <w:lang w:eastAsia="zh-CN"/>
        </w:rPr>
        <w:t>2024年</w:t>
      </w:r>
      <w:r>
        <w:rPr>
          <w:rFonts w:hint="eastAsia"/>
        </w:rPr>
        <w:t>，我单位通过“三会一课”、主题党日、书记讲党课等形式，召开党员大会及活动31次</w:t>
      </w:r>
      <w:r>
        <w:rPr>
          <w:rFonts w:hint="eastAsia"/>
          <w:lang w:eastAsia="zh-CN"/>
        </w:rPr>
        <w:t>、</w:t>
      </w:r>
      <w:r>
        <w:rPr>
          <w:rFonts w:hint="eastAsia"/>
        </w:rPr>
        <w:t>支委会12次。</w:t>
      </w:r>
    </w:p>
    <w:p>
      <w:pPr>
        <w:spacing w:line="600" w:lineRule="exact"/>
        <w:ind w:firstLine="640"/>
      </w:pPr>
      <w:r>
        <w:rPr>
          <w:rFonts w:hint="eastAsia"/>
        </w:rPr>
        <w:t>党风廉政工作完成率。该指标旨在评价当年度我单位党风廉政工作</w:t>
      </w:r>
      <w:r>
        <w:rPr>
          <w:rFonts w:hint="eastAsia"/>
          <w:lang w:val="en-US" w:eastAsia="zh-CN"/>
        </w:rPr>
        <w:t>的</w:t>
      </w:r>
      <w:r>
        <w:rPr>
          <w:rFonts w:hint="eastAsia"/>
        </w:rPr>
        <w:t>完成情况</w:t>
      </w:r>
      <w:r>
        <w:rPr>
          <w:rFonts w:hint="eastAsia" w:cs="仿宋_GB2312"/>
        </w:rPr>
        <w:t>。指标权重</w:t>
      </w:r>
      <w:r>
        <w:rPr>
          <w:rFonts w:hint="eastAsia" w:cs="仿宋_GB2312"/>
          <w:lang w:val="en-US" w:eastAsia="zh-CN"/>
        </w:rPr>
        <w:t>5</w:t>
      </w:r>
      <w:r>
        <w:rPr>
          <w:rFonts w:hint="eastAsia" w:cs="仿宋_GB2312"/>
        </w:rPr>
        <w:t>分，评价得分</w:t>
      </w:r>
      <w:r>
        <w:rPr>
          <w:rFonts w:hint="eastAsia" w:cs="仿宋_GB2312"/>
          <w:lang w:val="en-US" w:eastAsia="zh-CN"/>
        </w:rPr>
        <w:t>5</w:t>
      </w:r>
      <w:r>
        <w:rPr>
          <w:rFonts w:hint="eastAsia" w:cs="仿宋_GB2312"/>
        </w:rPr>
        <w:t>分。</w:t>
      </w:r>
      <w:r>
        <w:rPr>
          <w:rFonts w:hint="eastAsia"/>
          <w:lang w:eastAsia="zh-CN"/>
        </w:rPr>
        <w:t>2024年</w:t>
      </w:r>
      <w:r>
        <w:rPr>
          <w:rFonts w:hint="eastAsia"/>
        </w:rPr>
        <w:t>，我单位召开支部党风廉政建设会议，专题研究部署年度党风廉政建设工作，制订落实党风廉政建设责任制工作方案，将党风廉政建设工作落实到人。</w:t>
      </w:r>
    </w:p>
    <w:p>
      <w:pPr>
        <w:spacing w:line="600" w:lineRule="exact"/>
        <w:ind w:firstLine="640"/>
      </w:pPr>
      <w:r>
        <w:rPr>
          <w:rFonts w:hint="eastAsia"/>
        </w:rPr>
        <w:t>综上所述，数量类指标权重1</w:t>
      </w:r>
      <w:r>
        <w:rPr>
          <w:rFonts w:hint="eastAsia"/>
          <w:lang w:val="en-US" w:eastAsia="zh-CN"/>
        </w:rPr>
        <w:t>5</w:t>
      </w:r>
      <w:r>
        <w:rPr>
          <w:rFonts w:hint="eastAsia"/>
        </w:rPr>
        <w:t>分，评价得分1</w:t>
      </w:r>
      <w:r>
        <w:rPr>
          <w:rFonts w:hint="eastAsia"/>
          <w:lang w:val="en-US" w:eastAsia="zh-CN"/>
        </w:rPr>
        <w:t>5</w:t>
      </w:r>
      <w:r>
        <w:rPr>
          <w:rFonts w:hint="eastAsia"/>
        </w:rPr>
        <w:t>分。</w:t>
      </w:r>
    </w:p>
    <w:p>
      <w:pPr>
        <w:spacing w:line="600" w:lineRule="exact"/>
        <w:ind w:firstLine="640"/>
        <w:outlineLvl w:val="2"/>
        <w:rPr>
          <w:highlight w:val="none"/>
        </w:rPr>
      </w:pPr>
      <w:bookmarkStart w:id="73" w:name="_Toc31405"/>
      <w:r>
        <w:rPr>
          <w:rFonts w:hint="eastAsia"/>
          <w:highlight w:val="none"/>
        </w:rPr>
        <w:t>2.质量指标</w:t>
      </w:r>
      <w:bookmarkEnd w:id="73"/>
    </w:p>
    <w:p>
      <w:pPr>
        <w:spacing w:line="600" w:lineRule="exact"/>
        <w:ind w:firstLine="640"/>
        <w:rPr>
          <w:rFonts w:cs="仿宋_GB2312"/>
        </w:rPr>
      </w:pPr>
      <w:r>
        <w:rPr>
          <w:rFonts w:hint="eastAsia"/>
        </w:rPr>
        <w:t>参与培训党员覆盖率。该指标旨在评价当年度我单位党员参与主题教育培训的情况</w:t>
      </w:r>
      <w:r>
        <w:rPr>
          <w:rFonts w:hint="eastAsia" w:cs="仿宋_GB2312"/>
        </w:rPr>
        <w:t>。指标权重</w:t>
      </w:r>
      <w:r>
        <w:rPr>
          <w:rFonts w:hint="eastAsia" w:cs="仿宋_GB2312"/>
          <w:lang w:val="en-US" w:eastAsia="zh-CN"/>
        </w:rPr>
        <w:t>5</w:t>
      </w:r>
      <w:r>
        <w:rPr>
          <w:rFonts w:hint="eastAsia" w:cs="仿宋_GB2312"/>
        </w:rPr>
        <w:t>分，评价得分</w:t>
      </w:r>
      <w:r>
        <w:rPr>
          <w:rFonts w:hint="eastAsia" w:cs="仿宋_GB2312"/>
          <w:lang w:val="en-US" w:eastAsia="zh-CN"/>
        </w:rPr>
        <w:t>5</w:t>
      </w:r>
      <w:r>
        <w:rPr>
          <w:rFonts w:hint="eastAsia" w:cs="仿宋_GB2312"/>
        </w:rPr>
        <w:t>分。</w:t>
      </w:r>
      <w:r>
        <w:rPr>
          <w:rFonts w:hint="eastAsia" w:cs="仿宋_GB2312"/>
          <w:lang w:eastAsia="zh-CN"/>
        </w:rPr>
        <w:t>2024年</w:t>
      </w:r>
      <w:r>
        <w:rPr>
          <w:rFonts w:hint="eastAsia" w:cs="仿宋_GB2312"/>
        </w:rPr>
        <w:t>，我单位组织党纪学习教育读书班活动</w:t>
      </w:r>
      <w:r>
        <w:rPr>
          <w:rFonts w:hint="eastAsia" w:cs="仿宋_GB2312"/>
          <w:lang w:eastAsia="zh-CN"/>
        </w:rPr>
        <w:t>，</w:t>
      </w:r>
      <w:r>
        <w:rPr>
          <w:rFonts w:hint="eastAsia" w:cs="仿宋_GB2312"/>
          <w:lang w:val="en-US" w:eastAsia="zh-CN"/>
        </w:rPr>
        <w:t>共24名党员参与，</w:t>
      </w:r>
      <w:r>
        <w:rPr>
          <w:rFonts w:hint="eastAsia"/>
        </w:rPr>
        <w:t>参与培训党员覆盖率</w:t>
      </w:r>
      <w:r>
        <w:rPr>
          <w:rFonts w:hint="eastAsia"/>
          <w:lang w:val="en-US" w:eastAsia="zh-CN"/>
        </w:rPr>
        <w:t>达到100%</w:t>
      </w:r>
      <w:r>
        <w:rPr>
          <w:rFonts w:hint="eastAsia" w:cs="仿宋_GB2312"/>
        </w:rPr>
        <w:t>。</w:t>
      </w:r>
    </w:p>
    <w:p>
      <w:pPr>
        <w:spacing w:line="600" w:lineRule="exact"/>
        <w:ind w:firstLine="640"/>
      </w:pPr>
      <w:r>
        <w:rPr>
          <w:rFonts w:hint="eastAsia" w:cs="仿宋_GB2312"/>
        </w:rPr>
        <w:t>综上所述，质量类指标权重</w:t>
      </w:r>
      <w:r>
        <w:rPr>
          <w:rFonts w:hint="eastAsia" w:cs="仿宋_GB2312"/>
          <w:lang w:val="en-US" w:eastAsia="zh-CN"/>
        </w:rPr>
        <w:t>5</w:t>
      </w:r>
      <w:r>
        <w:rPr>
          <w:rFonts w:hint="eastAsia" w:cs="仿宋_GB2312"/>
        </w:rPr>
        <w:t>分，评价得分</w:t>
      </w:r>
      <w:r>
        <w:rPr>
          <w:rFonts w:hint="eastAsia" w:cs="仿宋_GB2312"/>
          <w:lang w:val="en-US" w:eastAsia="zh-CN"/>
        </w:rPr>
        <w:t>5</w:t>
      </w:r>
      <w:r>
        <w:rPr>
          <w:rFonts w:hint="eastAsia" w:cs="仿宋_GB2312"/>
        </w:rPr>
        <w:t>分。</w:t>
      </w:r>
    </w:p>
    <w:p>
      <w:pPr>
        <w:spacing w:line="600" w:lineRule="exact"/>
        <w:ind w:firstLine="640"/>
        <w:outlineLvl w:val="2"/>
      </w:pPr>
      <w:bookmarkStart w:id="74" w:name="_Toc17646"/>
      <w:r>
        <w:rPr>
          <w:rFonts w:hint="eastAsia"/>
        </w:rPr>
        <w:t>3.时效指标</w:t>
      </w:r>
      <w:bookmarkEnd w:id="74"/>
    </w:p>
    <w:p>
      <w:pPr>
        <w:spacing w:line="600" w:lineRule="exact"/>
        <w:ind w:firstLine="640"/>
        <w:rPr>
          <w:rFonts w:cs="仿宋_GB2312"/>
        </w:rPr>
      </w:pPr>
      <w:r>
        <w:rPr>
          <w:rFonts w:hint="eastAsia"/>
        </w:rPr>
        <w:t>党建工作开展</w:t>
      </w:r>
      <w:r>
        <w:rPr>
          <w:rFonts w:hint="eastAsia"/>
          <w:lang w:val="en-US" w:eastAsia="zh-CN"/>
        </w:rPr>
        <w:t>时间</w:t>
      </w:r>
      <w:r>
        <w:rPr>
          <w:rFonts w:hint="eastAsia" w:cs="仿宋_GB2312"/>
        </w:rPr>
        <w:t>。该指标旨在评价当年度</w:t>
      </w:r>
      <w:r>
        <w:rPr>
          <w:rFonts w:hint="eastAsia" w:cs="仿宋_GB2312"/>
          <w:lang w:val="en-US" w:eastAsia="zh-CN"/>
        </w:rPr>
        <w:t>我单位</w:t>
      </w:r>
      <w:r>
        <w:rPr>
          <w:rFonts w:hint="eastAsia" w:cs="仿宋_GB2312"/>
        </w:rPr>
        <w:t>党建工作开展</w:t>
      </w:r>
      <w:r>
        <w:rPr>
          <w:rFonts w:hint="eastAsia" w:cs="仿宋_GB2312"/>
          <w:lang w:val="en-US" w:eastAsia="zh-CN"/>
        </w:rPr>
        <w:t>的时间</w:t>
      </w:r>
      <w:r>
        <w:rPr>
          <w:rFonts w:hint="eastAsia" w:cs="仿宋_GB2312"/>
        </w:rPr>
        <w:t>。指标权重</w:t>
      </w:r>
      <w:r>
        <w:rPr>
          <w:rFonts w:hint="eastAsia" w:cs="仿宋_GB2312"/>
          <w:lang w:val="en-US" w:eastAsia="zh-CN"/>
        </w:rPr>
        <w:t>5</w:t>
      </w:r>
      <w:r>
        <w:rPr>
          <w:rFonts w:hint="eastAsia" w:cs="仿宋_GB2312"/>
        </w:rPr>
        <w:t>分，评价得分</w:t>
      </w:r>
      <w:r>
        <w:rPr>
          <w:rFonts w:hint="eastAsia" w:cs="仿宋_GB2312"/>
          <w:lang w:val="en-US" w:eastAsia="zh-CN"/>
        </w:rPr>
        <w:t>5</w:t>
      </w:r>
      <w:r>
        <w:rPr>
          <w:rFonts w:hint="eastAsia" w:cs="仿宋_GB2312"/>
        </w:rPr>
        <w:t>分。</w:t>
      </w:r>
      <w:r>
        <w:rPr>
          <w:rFonts w:hint="eastAsia" w:cs="仿宋_GB2312"/>
          <w:lang w:eastAsia="zh-CN"/>
        </w:rPr>
        <w:t>2024年</w:t>
      </w:r>
      <w:r>
        <w:rPr>
          <w:rFonts w:hint="eastAsia" w:cs="仿宋_GB2312"/>
        </w:rPr>
        <w:t>，我单位始终以党的政治建设为统领，把坚持党的领导作为政协工作的生命线，全年无间断开展党建工作，凝聚同心向党、共担使命的奋进力量。</w:t>
      </w:r>
    </w:p>
    <w:p>
      <w:pPr>
        <w:spacing w:line="600" w:lineRule="exact"/>
        <w:ind w:firstLine="640"/>
        <w:rPr>
          <w:rFonts w:cs="仿宋_GB2312"/>
        </w:rPr>
      </w:pPr>
      <w:r>
        <w:rPr>
          <w:rFonts w:hint="eastAsia" w:cs="仿宋_GB2312"/>
        </w:rPr>
        <w:t>综上所述，时效类指标权重</w:t>
      </w:r>
      <w:r>
        <w:rPr>
          <w:rFonts w:hint="eastAsia" w:cs="仿宋_GB2312"/>
          <w:lang w:val="en-US" w:eastAsia="zh-CN"/>
        </w:rPr>
        <w:t>5</w:t>
      </w:r>
      <w:r>
        <w:rPr>
          <w:rFonts w:hint="eastAsia" w:cs="仿宋_GB2312"/>
        </w:rPr>
        <w:t>分，评价得分</w:t>
      </w:r>
      <w:r>
        <w:rPr>
          <w:rFonts w:hint="eastAsia" w:cs="仿宋_GB2312"/>
          <w:lang w:val="en-US" w:eastAsia="zh-CN"/>
        </w:rPr>
        <w:t>5</w:t>
      </w:r>
      <w:r>
        <w:rPr>
          <w:rFonts w:hint="eastAsia" w:cs="仿宋_GB2312"/>
        </w:rPr>
        <w:t>分。</w:t>
      </w:r>
    </w:p>
    <w:p>
      <w:pPr>
        <w:spacing w:line="600" w:lineRule="exact"/>
        <w:ind w:firstLine="640"/>
        <w:outlineLvl w:val="2"/>
      </w:pPr>
      <w:bookmarkStart w:id="75" w:name="_Toc20348"/>
      <w:r>
        <w:rPr>
          <w:rFonts w:hint="eastAsia"/>
        </w:rPr>
        <w:t>4.成本指标</w:t>
      </w:r>
      <w:bookmarkEnd w:id="75"/>
    </w:p>
    <w:p>
      <w:pPr>
        <w:spacing w:line="600" w:lineRule="exact"/>
        <w:ind w:firstLine="640"/>
      </w:pPr>
      <w:r>
        <w:rPr>
          <w:rFonts w:hint="eastAsia"/>
        </w:rPr>
        <w:t>成本节约率。该指标旨在评价项目是否按照厉行节约过“紧日子”的要求，严格控制项目支出，有效节约资金。指标权重</w:t>
      </w:r>
      <w:r>
        <w:rPr>
          <w:rFonts w:hint="eastAsia"/>
          <w:lang w:val="en-US" w:eastAsia="zh-CN"/>
        </w:rPr>
        <w:t>5</w:t>
      </w:r>
      <w:r>
        <w:rPr>
          <w:rFonts w:hint="eastAsia"/>
        </w:rPr>
        <w:t>分，评价得分</w:t>
      </w:r>
      <w:r>
        <w:rPr>
          <w:rFonts w:hint="eastAsia"/>
          <w:lang w:val="en-US" w:eastAsia="zh-CN"/>
        </w:rPr>
        <w:t>5</w:t>
      </w:r>
      <w:r>
        <w:rPr>
          <w:rFonts w:hint="eastAsia"/>
        </w:rPr>
        <w:t>分。项目预算金额为2.</w:t>
      </w:r>
      <w:r>
        <w:rPr>
          <w:rFonts w:hint="eastAsia"/>
          <w:lang w:val="en-US" w:eastAsia="zh-CN"/>
        </w:rPr>
        <w:t>6</w:t>
      </w:r>
      <w:r>
        <w:rPr>
          <w:rFonts w:hint="eastAsia"/>
        </w:rPr>
        <w:t>万元，实际支出</w:t>
      </w:r>
      <w:r>
        <w:rPr>
          <w:rFonts w:hint="eastAsia"/>
          <w:lang w:val="en-US" w:eastAsia="zh-CN"/>
        </w:rPr>
        <w:t>2.18</w:t>
      </w:r>
      <w:r>
        <w:rPr>
          <w:rFonts w:hint="eastAsia"/>
        </w:rPr>
        <w:t>万元，成本节约率为</w:t>
      </w:r>
      <w:r>
        <w:rPr>
          <w:rFonts w:hint="eastAsia"/>
          <w:lang w:val="en-US" w:eastAsia="zh-CN"/>
        </w:rPr>
        <w:t>16.2</w:t>
      </w:r>
      <w:r>
        <w:rPr>
          <w:rFonts w:hint="eastAsia"/>
        </w:rPr>
        <w:t>%。</w:t>
      </w:r>
    </w:p>
    <w:p>
      <w:pPr>
        <w:spacing w:line="600" w:lineRule="exact"/>
        <w:ind w:firstLine="640"/>
      </w:pPr>
      <w:r>
        <w:rPr>
          <w:rFonts w:hint="eastAsia"/>
        </w:rPr>
        <w:t>综上所述，成本类指标权重</w:t>
      </w:r>
      <w:r>
        <w:rPr>
          <w:rFonts w:hint="eastAsia"/>
          <w:lang w:val="en-US" w:eastAsia="zh-CN"/>
        </w:rPr>
        <w:t>5</w:t>
      </w:r>
      <w:r>
        <w:rPr>
          <w:rFonts w:hint="eastAsia"/>
        </w:rPr>
        <w:t>分，评价得分</w:t>
      </w:r>
      <w:r>
        <w:rPr>
          <w:rFonts w:hint="eastAsia"/>
          <w:lang w:val="en-US" w:eastAsia="zh-CN"/>
        </w:rPr>
        <w:t>5</w:t>
      </w:r>
      <w:r>
        <w:rPr>
          <w:rFonts w:hint="eastAsia"/>
        </w:rPr>
        <w:t>分。</w:t>
      </w:r>
    </w:p>
    <w:p>
      <w:pPr>
        <w:pStyle w:val="4"/>
        <w:spacing w:line="600" w:lineRule="exact"/>
        <w:ind w:firstLine="640"/>
        <w:rPr>
          <w:b w:val="0"/>
          <w:highlight w:val="none"/>
        </w:rPr>
      </w:pPr>
      <w:bookmarkStart w:id="76" w:name="_Toc24276"/>
      <w:bookmarkStart w:id="77" w:name="_Toc26000"/>
      <w:bookmarkStart w:id="78" w:name="_Toc1008316445"/>
      <w:bookmarkStart w:id="79" w:name="_Toc26260"/>
      <w:r>
        <w:rPr>
          <w:rFonts w:hint="eastAsia"/>
          <w:b w:val="0"/>
          <w:highlight w:val="none"/>
        </w:rPr>
        <w:t>（四）项目效益情况</w:t>
      </w:r>
      <w:bookmarkEnd w:id="76"/>
      <w:bookmarkEnd w:id="77"/>
      <w:bookmarkEnd w:id="78"/>
      <w:bookmarkEnd w:id="79"/>
    </w:p>
    <w:p>
      <w:pPr>
        <w:spacing w:line="600" w:lineRule="exact"/>
        <w:ind w:firstLine="640"/>
      </w:pPr>
      <w:r>
        <w:rPr>
          <w:rFonts w:hint="eastAsia"/>
        </w:rPr>
        <w:t>该指标从社会效益、</w:t>
      </w:r>
      <w:r>
        <w:rPr>
          <w:rFonts w:hint="eastAsia"/>
          <w:lang w:val="en-US" w:eastAsia="zh-CN"/>
        </w:rPr>
        <w:t>可持续影响</w:t>
      </w:r>
      <w:r>
        <w:rPr>
          <w:rFonts w:hint="eastAsia"/>
        </w:rPr>
        <w:t>两个方面对项目效益情况进行评价，共涉及5个三级指标。指标权重</w:t>
      </w:r>
      <w:r>
        <w:rPr>
          <w:rFonts w:hint="eastAsia"/>
          <w:lang w:val="en-US" w:eastAsia="zh-CN"/>
        </w:rPr>
        <w:t>30</w:t>
      </w:r>
      <w:r>
        <w:rPr>
          <w:rFonts w:hint="eastAsia"/>
        </w:rPr>
        <w:t>分，评价得2</w:t>
      </w:r>
      <w:r>
        <w:rPr>
          <w:rFonts w:hint="eastAsia"/>
          <w:lang w:val="en-US" w:eastAsia="zh-CN"/>
        </w:rPr>
        <w:t>8.4</w:t>
      </w:r>
      <w:r>
        <w:rPr>
          <w:rFonts w:hint="eastAsia"/>
        </w:rPr>
        <w:t>分，得分率</w:t>
      </w:r>
      <w:r>
        <w:rPr>
          <w:rFonts w:hint="eastAsia"/>
          <w:lang w:val="en-US" w:eastAsia="zh-CN"/>
        </w:rPr>
        <w:t>94.7</w:t>
      </w:r>
      <w:r>
        <w:rPr>
          <w:rFonts w:hint="eastAsia"/>
        </w:rPr>
        <w:t>%。具体分析如下：</w:t>
      </w:r>
    </w:p>
    <w:p>
      <w:pPr>
        <w:spacing w:line="600" w:lineRule="exact"/>
        <w:ind w:firstLine="640"/>
        <w:outlineLvl w:val="2"/>
        <w:rPr>
          <w:highlight w:val="none"/>
        </w:rPr>
      </w:pPr>
      <w:bookmarkStart w:id="80" w:name="_Toc27914"/>
      <w:r>
        <w:rPr>
          <w:rFonts w:hint="eastAsia"/>
          <w:highlight w:val="none"/>
        </w:rPr>
        <w:t>1.社会效益指标</w:t>
      </w:r>
      <w:bookmarkEnd w:id="80"/>
    </w:p>
    <w:p>
      <w:pPr>
        <w:spacing w:line="600" w:lineRule="exact"/>
        <w:ind w:firstLine="640"/>
      </w:pPr>
      <w:r>
        <w:rPr>
          <w:rFonts w:hint="eastAsia"/>
        </w:rPr>
        <w:t>党建活动创新率。该指标旨在评价</w:t>
      </w:r>
      <w:r>
        <w:rPr>
          <w:rFonts w:hint="eastAsia"/>
          <w:lang w:val="en-US" w:eastAsia="zh-CN"/>
        </w:rPr>
        <w:t>当年度我单位党建活动的创新情况</w:t>
      </w:r>
      <w:r>
        <w:rPr>
          <w:rFonts w:hint="eastAsia"/>
        </w:rPr>
        <w:t>。指标权重</w:t>
      </w:r>
      <w:r>
        <w:rPr>
          <w:rFonts w:hint="eastAsia"/>
          <w:lang w:val="en-US" w:eastAsia="zh-CN"/>
        </w:rPr>
        <w:t>8</w:t>
      </w:r>
      <w:r>
        <w:rPr>
          <w:rFonts w:hint="eastAsia"/>
        </w:rPr>
        <w:t>分，评价得分</w:t>
      </w:r>
      <w:r>
        <w:rPr>
          <w:rFonts w:hint="eastAsia"/>
          <w:lang w:val="en-US" w:eastAsia="zh-CN"/>
        </w:rPr>
        <w:t>7.2</w:t>
      </w:r>
      <w:r>
        <w:rPr>
          <w:rFonts w:hint="eastAsia"/>
        </w:rPr>
        <w:t>分。当年度我单位</w:t>
      </w:r>
      <w:r>
        <w:rPr>
          <w:rFonts w:hint="eastAsia"/>
          <w:lang w:val="en-US" w:eastAsia="zh-CN"/>
        </w:rPr>
        <w:t>主要以主题党日活动作为新形势下党内组织生活的重要方式，持续强化党员意识，提醒党员时刻牢记自己的党员身份，不忘党性宗旨和使命初心。但因活动类型较为单一，导致学习效果显著性不足</w:t>
      </w:r>
      <w:r>
        <w:rPr>
          <w:rFonts w:hint="eastAsia"/>
        </w:rPr>
        <w:t>。</w:t>
      </w:r>
    </w:p>
    <w:p>
      <w:pPr>
        <w:spacing w:line="600" w:lineRule="exact"/>
        <w:ind w:firstLine="640"/>
      </w:pPr>
      <w:r>
        <w:rPr>
          <w:rFonts w:hint="eastAsia"/>
        </w:rPr>
        <w:t>支部党员履职尽责能力提升率。该指标旨在评价</w:t>
      </w:r>
      <w:r>
        <w:rPr>
          <w:rFonts w:hint="eastAsia"/>
          <w:lang w:val="en-US" w:eastAsia="zh-CN"/>
        </w:rPr>
        <w:t>当年度我单位支部党员履职尽责能力的提升情况</w:t>
      </w:r>
      <w:r>
        <w:rPr>
          <w:rFonts w:hint="eastAsia"/>
        </w:rPr>
        <w:t>。指标权重</w:t>
      </w:r>
      <w:r>
        <w:rPr>
          <w:rFonts w:hint="eastAsia"/>
          <w:lang w:val="en-US" w:eastAsia="zh-CN"/>
        </w:rPr>
        <w:t>8</w:t>
      </w:r>
      <w:r>
        <w:rPr>
          <w:rFonts w:hint="eastAsia"/>
        </w:rPr>
        <w:t>分，评价得分</w:t>
      </w:r>
      <w:r>
        <w:rPr>
          <w:rFonts w:hint="eastAsia"/>
          <w:lang w:val="en-US" w:eastAsia="zh-CN"/>
        </w:rPr>
        <w:t>8</w:t>
      </w:r>
      <w:r>
        <w:rPr>
          <w:rFonts w:hint="eastAsia"/>
        </w:rPr>
        <w:t>分。当年度我单位持之以恒推进制度化、规范化、程序化等功能建设，全力建设责任政协、效能政协，树立良好形象</w:t>
      </w:r>
      <w:r>
        <w:rPr>
          <w:rFonts w:hint="eastAsia"/>
          <w:lang w:eastAsia="zh-CN"/>
        </w:rPr>
        <w:t>。</w:t>
      </w:r>
      <w:r>
        <w:rPr>
          <w:rFonts w:hint="eastAsia"/>
        </w:rPr>
        <w:t>举办“罗政学堂”学习活动4期，为委员履职“加油充电”</w:t>
      </w:r>
      <w:r>
        <w:rPr>
          <w:rFonts w:hint="eastAsia"/>
          <w:lang w:eastAsia="zh-CN"/>
        </w:rPr>
        <w:t>；</w:t>
      </w:r>
      <w:r>
        <w:rPr>
          <w:rFonts w:hint="eastAsia"/>
        </w:rPr>
        <w:t>依托“委员工作站”，举办“委员讲堂”活动4期，发挥界别委员专长优势，送医疗、送法律、送服务下基层，扎实做好委员联系群众工作；举办“区情通报会”4场，协商前邀请职能部门通报相关情况，服务委员知情明政，优化委员联系界别工作，开好界别工作启动会、推进会、总结会。</w:t>
      </w:r>
    </w:p>
    <w:p>
      <w:pPr>
        <w:spacing w:line="600" w:lineRule="exact"/>
        <w:ind w:firstLine="640"/>
      </w:pPr>
      <w:r>
        <w:rPr>
          <w:rFonts w:hint="eastAsia"/>
        </w:rPr>
        <w:t>党支部廉政工作加强率。该指标旨在评价</w:t>
      </w:r>
      <w:r>
        <w:rPr>
          <w:rFonts w:hint="eastAsia"/>
          <w:lang w:val="en-US" w:eastAsia="zh-CN"/>
        </w:rPr>
        <w:t>当年度我单位党支部廉政工作的加强情况</w:t>
      </w:r>
      <w:r>
        <w:rPr>
          <w:rFonts w:hint="eastAsia"/>
        </w:rPr>
        <w:t>。指标权重</w:t>
      </w:r>
      <w:r>
        <w:rPr>
          <w:rFonts w:hint="eastAsia"/>
          <w:lang w:val="en-US" w:eastAsia="zh-CN"/>
        </w:rPr>
        <w:t>8</w:t>
      </w:r>
      <w:r>
        <w:rPr>
          <w:rFonts w:hint="eastAsia"/>
        </w:rPr>
        <w:t>分，评价得分</w:t>
      </w:r>
      <w:r>
        <w:rPr>
          <w:rFonts w:hint="eastAsia"/>
          <w:lang w:val="en-US" w:eastAsia="zh-CN"/>
        </w:rPr>
        <w:t>7.2</w:t>
      </w:r>
      <w:r>
        <w:rPr>
          <w:rFonts w:hint="eastAsia"/>
        </w:rPr>
        <w:t>分。</w:t>
      </w:r>
      <w:r>
        <w:rPr>
          <w:rFonts w:hint="eastAsia"/>
          <w:lang w:eastAsia="zh-CN"/>
        </w:rPr>
        <w:t>2024年</w:t>
      </w:r>
      <w:r>
        <w:rPr>
          <w:rFonts w:hint="eastAsia"/>
        </w:rPr>
        <w:t>，我单位召开机关警示教育会议，组织机关党员集中观看警示教育片《清除国企蛀虫》，通过剖析云南罗永隆案、成都王利志案、北京商霄顺案等三起典型案例，警醒全体党员干部始终保持忠诚干净担当的政治本色</w:t>
      </w:r>
      <w:r>
        <w:rPr>
          <w:rFonts w:hint="eastAsia"/>
          <w:lang w:eastAsia="zh-CN"/>
        </w:rPr>
        <w:t>。</w:t>
      </w:r>
      <w:r>
        <w:rPr>
          <w:rFonts w:hint="eastAsia"/>
        </w:rPr>
        <w:t>带领支部全体党员前往罗湖区廉政教育基地、东江游击队指挥部旧址参观学习，通过实地接受廉洁教育，进一步增强支部党员的廉洁自律意识。</w:t>
      </w:r>
    </w:p>
    <w:p>
      <w:pPr>
        <w:spacing w:line="600" w:lineRule="exact"/>
        <w:ind w:firstLine="640"/>
      </w:pPr>
      <w:r>
        <w:rPr>
          <w:rFonts w:hint="eastAsia"/>
        </w:rPr>
        <w:t>综上所述，社会效益类指标权重</w:t>
      </w:r>
      <w:r>
        <w:rPr>
          <w:rFonts w:hint="eastAsia"/>
          <w:lang w:val="en-US" w:eastAsia="zh-CN"/>
        </w:rPr>
        <w:t>24</w:t>
      </w:r>
      <w:r>
        <w:rPr>
          <w:rFonts w:hint="eastAsia"/>
        </w:rPr>
        <w:t>分，评价得分2</w:t>
      </w:r>
      <w:r>
        <w:rPr>
          <w:rFonts w:hint="eastAsia"/>
          <w:lang w:val="en-US" w:eastAsia="zh-CN"/>
        </w:rPr>
        <w:t>2.4</w:t>
      </w:r>
      <w:r>
        <w:rPr>
          <w:rFonts w:hint="eastAsia"/>
        </w:rPr>
        <w:t>分。</w:t>
      </w:r>
    </w:p>
    <w:p>
      <w:pPr>
        <w:spacing w:line="600" w:lineRule="exact"/>
        <w:ind w:firstLine="640"/>
        <w:outlineLvl w:val="2"/>
      </w:pPr>
      <w:bookmarkStart w:id="81" w:name="_Toc30890"/>
      <w:r>
        <w:rPr>
          <w:rFonts w:hint="eastAsia"/>
        </w:rPr>
        <w:t>2.可持续影响指标</w:t>
      </w:r>
      <w:bookmarkEnd w:id="81"/>
    </w:p>
    <w:p>
      <w:pPr>
        <w:spacing w:line="600" w:lineRule="exact"/>
        <w:ind w:firstLine="640"/>
      </w:pPr>
      <w:r>
        <w:rPr>
          <w:rFonts w:hint="eastAsia"/>
        </w:rPr>
        <w:t>理论武装强化率。该指标旨在评价当年度我单位理论武装</w:t>
      </w:r>
      <w:r>
        <w:rPr>
          <w:rFonts w:hint="eastAsia"/>
          <w:lang w:val="en-US" w:eastAsia="zh-CN"/>
        </w:rPr>
        <w:t>的强化情况</w:t>
      </w:r>
      <w:r>
        <w:rPr>
          <w:rFonts w:hint="eastAsia"/>
        </w:rPr>
        <w:t>。指标权重</w:t>
      </w:r>
      <w:r>
        <w:rPr>
          <w:rFonts w:hint="eastAsia"/>
          <w:lang w:val="en-US" w:eastAsia="zh-CN"/>
        </w:rPr>
        <w:t>6</w:t>
      </w:r>
      <w:r>
        <w:rPr>
          <w:rFonts w:hint="eastAsia"/>
        </w:rPr>
        <w:t>分，评价得分</w:t>
      </w:r>
      <w:r>
        <w:rPr>
          <w:rFonts w:hint="eastAsia"/>
          <w:lang w:val="en-US" w:eastAsia="zh-CN"/>
        </w:rPr>
        <w:t>6</w:t>
      </w:r>
      <w:r>
        <w:rPr>
          <w:rFonts w:hint="eastAsia"/>
        </w:rPr>
        <w:t>分。</w:t>
      </w:r>
      <w:r>
        <w:rPr>
          <w:rFonts w:hint="eastAsia"/>
          <w:lang w:eastAsia="zh-CN"/>
        </w:rPr>
        <w:t>2024年</w:t>
      </w:r>
      <w:r>
        <w:rPr>
          <w:rFonts w:hint="eastAsia"/>
        </w:rPr>
        <w:t>，我单位学习贯彻习近平总书记对广东、深圳系列重要讲话和重要指示精神，坚持“第一议题”学习制度，推动支部党员增强“</w:t>
      </w:r>
      <w:bookmarkStart w:id="111" w:name="_GoBack"/>
      <w:bookmarkEnd w:id="111"/>
      <w:r>
        <w:rPr>
          <w:rFonts w:hint="eastAsia"/>
        </w:rPr>
        <w:t>四个意识”</w:t>
      </w:r>
      <w:r>
        <w:rPr>
          <w:rFonts w:hint="eastAsia"/>
          <w:lang w:eastAsia="zh-CN"/>
        </w:rPr>
        <w:t>、</w:t>
      </w:r>
      <w:r>
        <w:rPr>
          <w:rFonts w:hint="eastAsia"/>
        </w:rPr>
        <w:t>坚定“四个自信”</w:t>
      </w:r>
      <w:r>
        <w:rPr>
          <w:rFonts w:hint="eastAsia"/>
          <w:lang w:eastAsia="zh-CN"/>
        </w:rPr>
        <w:t>、</w:t>
      </w:r>
      <w:r>
        <w:rPr>
          <w:rFonts w:hint="eastAsia"/>
        </w:rPr>
        <w:t>做到“两个维护”。</w:t>
      </w:r>
    </w:p>
    <w:p>
      <w:pPr>
        <w:spacing w:line="600" w:lineRule="exact"/>
        <w:ind w:firstLine="640"/>
      </w:pPr>
      <w:r>
        <w:rPr>
          <w:rFonts w:hint="eastAsia"/>
        </w:rPr>
        <w:t>综上所述，可持续影响类指标权重</w:t>
      </w:r>
      <w:r>
        <w:rPr>
          <w:rFonts w:hint="eastAsia"/>
          <w:lang w:val="en-US" w:eastAsia="zh-CN"/>
        </w:rPr>
        <w:t>6</w:t>
      </w:r>
      <w:r>
        <w:rPr>
          <w:rFonts w:hint="eastAsia"/>
        </w:rPr>
        <w:t>分，评价得分</w:t>
      </w:r>
      <w:r>
        <w:rPr>
          <w:rFonts w:hint="eastAsia"/>
          <w:lang w:val="en-US" w:eastAsia="zh-CN"/>
        </w:rPr>
        <w:t>6</w:t>
      </w:r>
      <w:r>
        <w:rPr>
          <w:rFonts w:hint="eastAsia"/>
        </w:rPr>
        <w:t>分。</w:t>
      </w:r>
    </w:p>
    <w:p>
      <w:pPr>
        <w:pStyle w:val="3"/>
        <w:spacing w:line="600" w:lineRule="exact"/>
        <w:ind w:firstLine="640"/>
        <w:rPr>
          <w:highlight w:val="none"/>
        </w:rPr>
      </w:pPr>
      <w:bookmarkStart w:id="82" w:name="_Toc12817"/>
      <w:bookmarkStart w:id="83" w:name="_Toc981032638"/>
      <w:bookmarkStart w:id="84" w:name="_Toc8970"/>
      <w:bookmarkStart w:id="85" w:name="_Toc23181"/>
      <w:r>
        <w:rPr>
          <w:rFonts w:hint="eastAsia"/>
          <w:highlight w:val="none"/>
        </w:rPr>
        <w:t>五、主要经验及做法</w:t>
      </w:r>
      <w:bookmarkEnd w:id="82"/>
      <w:bookmarkEnd w:id="83"/>
    </w:p>
    <w:p>
      <w:pPr>
        <w:pStyle w:val="4"/>
        <w:spacing w:line="600" w:lineRule="exact"/>
        <w:ind w:firstLine="640"/>
        <w:rPr>
          <w:b w:val="0"/>
        </w:rPr>
      </w:pPr>
      <w:bookmarkStart w:id="86" w:name="_Toc27064"/>
      <w:bookmarkStart w:id="87" w:name="_Toc1983588847"/>
      <w:r>
        <w:rPr>
          <w:rFonts w:hint="eastAsia"/>
          <w:b w:val="0"/>
        </w:rPr>
        <w:t>（一）</w:t>
      </w:r>
      <w:bookmarkEnd w:id="86"/>
      <w:r>
        <w:rPr>
          <w:rFonts w:hint="eastAsia"/>
          <w:b w:val="0"/>
        </w:rPr>
        <w:t>突出政治学习</w:t>
      </w:r>
      <w:bookmarkEnd w:id="87"/>
    </w:p>
    <w:p>
      <w:pPr>
        <w:spacing w:line="600" w:lineRule="exact"/>
        <w:ind w:firstLine="640"/>
      </w:pPr>
      <w:r>
        <w:rPr>
          <w:rFonts w:hint="eastAsia"/>
        </w:rPr>
        <w:t>一是注重发挥党员领导干部的先锋模范作用。</w:t>
      </w:r>
      <w:r>
        <w:rPr>
          <w:rFonts w:hint="eastAsia"/>
          <w:lang w:val="en-US" w:eastAsia="zh-CN"/>
        </w:rPr>
        <w:t>我单位</w:t>
      </w:r>
      <w:r>
        <w:rPr>
          <w:rFonts w:hint="eastAsia"/>
        </w:rPr>
        <w:t>党员领导干部带头深入街道、社区，开展政治理论宣讲，在深学悟透中进一步凝心铸魂。</w:t>
      </w:r>
      <w:r>
        <w:rPr>
          <w:rFonts w:hint="eastAsia"/>
          <w:lang w:val="en-US" w:eastAsia="zh-CN"/>
        </w:rPr>
        <w:t>二</w:t>
      </w:r>
      <w:r>
        <w:rPr>
          <w:rFonts w:hint="eastAsia"/>
        </w:rPr>
        <w:t>是深入开展党纪学习教育。</w:t>
      </w:r>
      <w:r>
        <w:rPr>
          <w:rFonts w:hint="eastAsia"/>
          <w:lang w:val="en-US" w:eastAsia="zh-CN"/>
        </w:rPr>
        <w:t>在</w:t>
      </w:r>
      <w:r>
        <w:rPr>
          <w:rFonts w:hint="eastAsia"/>
        </w:rPr>
        <w:t>党纪学习教育读书班活动</w:t>
      </w:r>
      <w:r>
        <w:rPr>
          <w:rFonts w:hint="eastAsia"/>
          <w:lang w:val="en-US" w:eastAsia="zh-CN"/>
        </w:rPr>
        <w:t>中</w:t>
      </w:r>
      <w:r>
        <w:rPr>
          <w:rFonts w:hint="eastAsia"/>
        </w:rPr>
        <w:t>，6位党员代表依次作交流发言，向全体党员发放《中国共产党纪律处分条例》简明读本、《中国共产党纪律处分条例》百问百答等个人自学参阅资料，推动全体党员干部学纪、知纪、明纪、守纪。</w:t>
      </w:r>
    </w:p>
    <w:p>
      <w:pPr>
        <w:pStyle w:val="4"/>
        <w:keepNext/>
        <w:keepLines/>
        <w:pageBreakBefore w:val="0"/>
        <w:widowControl w:val="0"/>
        <w:kinsoku/>
        <w:wordWrap/>
        <w:overflowPunct/>
        <w:topLinePunct w:val="0"/>
        <w:autoSpaceDE/>
        <w:autoSpaceDN/>
        <w:bidi w:val="0"/>
        <w:adjustRightInd w:val="0"/>
        <w:snapToGrid w:val="0"/>
        <w:spacing w:line="600" w:lineRule="exact"/>
        <w:ind w:firstLine="640"/>
        <w:textAlignment w:val="auto"/>
        <w:rPr>
          <w:b w:val="0"/>
        </w:rPr>
      </w:pPr>
      <w:bookmarkStart w:id="88" w:name="_Toc27934"/>
      <w:bookmarkStart w:id="89" w:name="_Toc641615501"/>
      <w:r>
        <w:rPr>
          <w:rFonts w:hint="eastAsia"/>
          <w:b w:val="0"/>
        </w:rPr>
        <w:t>（二）</w:t>
      </w:r>
      <w:bookmarkEnd w:id="88"/>
      <w:r>
        <w:rPr>
          <w:rFonts w:hint="eastAsia"/>
          <w:b w:val="0"/>
        </w:rPr>
        <w:t>突出党建引领</w:t>
      </w:r>
      <w:bookmarkEnd w:id="89"/>
    </w:p>
    <w:p>
      <w:pPr>
        <w:spacing w:line="600" w:lineRule="exact"/>
        <w:ind w:firstLine="640"/>
      </w:pPr>
      <w:r>
        <w:rPr>
          <w:rFonts w:hint="eastAsia"/>
          <w:lang w:val="en-US" w:eastAsia="zh-CN"/>
        </w:rPr>
        <w:t>一是</w:t>
      </w:r>
      <w:r>
        <w:rPr>
          <w:rFonts w:hint="eastAsia"/>
        </w:rPr>
        <w:t>强化凝心聚力，区政协机关党支部党员联系党外委员14次，党员委员联系党外委员180次，引导全体委员向中心大局聚焦聚力</w:t>
      </w:r>
      <w:r>
        <w:rPr>
          <w:rFonts w:hint="eastAsia"/>
          <w:lang w:eastAsia="zh-CN"/>
        </w:rPr>
        <w:t>。</w:t>
      </w:r>
      <w:r>
        <w:rPr>
          <w:rFonts w:hint="eastAsia"/>
          <w:lang w:val="en-US" w:eastAsia="zh-CN"/>
        </w:rPr>
        <w:t>二是</w:t>
      </w:r>
      <w:r>
        <w:rPr>
          <w:rFonts w:hint="eastAsia"/>
        </w:rPr>
        <w:t>密切同港澳委员联系，组织历届港澳委员开展大湾区考察，支部党员出席历届港澳委员联谊会七周年庆典，开展“一带一路”经济文化考察暨国情教育，走访罗湖口岸港人服务中心，考察港澳委员企业，助推深港深度融合</w:t>
      </w:r>
      <w:r>
        <w:t>。</w:t>
      </w:r>
    </w:p>
    <w:p>
      <w:pPr>
        <w:pStyle w:val="3"/>
        <w:spacing w:line="600" w:lineRule="exact"/>
        <w:ind w:firstLine="640"/>
      </w:pPr>
      <w:bookmarkStart w:id="90" w:name="_Toc1116333720"/>
      <w:bookmarkStart w:id="91" w:name="_Toc8717"/>
      <w:r>
        <w:rPr>
          <w:rFonts w:hint="eastAsia"/>
        </w:rPr>
        <w:t>六、存在问题</w:t>
      </w:r>
      <w:bookmarkEnd w:id="84"/>
      <w:bookmarkEnd w:id="85"/>
      <w:bookmarkEnd w:id="90"/>
      <w:bookmarkEnd w:id="91"/>
    </w:p>
    <w:p>
      <w:pPr>
        <w:pStyle w:val="4"/>
        <w:spacing w:line="600" w:lineRule="exact"/>
        <w:ind w:firstLine="640"/>
        <w:rPr>
          <w:b w:val="0"/>
          <w:bCs/>
        </w:rPr>
      </w:pPr>
      <w:bookmarkStart w:id="92" w:name="_Toc1803691848"/>
      <w:bookmarkStart w:id="93" w:name="_Toc19274"/>
      <w:r>
        <w:rPr>
          <w:rFonts w:hint="eastAsia"/>
          <w:b w:val="0"/>
          <w:bCs/>
        </w:rPr>
        <w:t>（一）绩效指标设置不</w:t>
      </w:r>
      <w:r>
        <w:rPr>
          <w:rFonts w:hint="eastAsia"/>
          <w:b w:val="0"/>
          <w:bCs/>
          <w:lang w:val="en-US" w:eastAsia="zh-CN"/>
        </w:rPr>
        <w:t>规范</w:t>
      </w:r>
      <w:bookmarkEnd w:id="92"/>
      <w:bookmarkEnd w:id="93"/>
    </w:p>
    <w:p>
      <w:pPr>
        <w:spacing w:line="600" w:lineRule="exact"/>
        <w:ind w:firstLine="640"/>
      </w:pPr>
      <w:r>
        <w:rPr>
          <w:rFonts w:hint="eastAsia"/>
        </w:rPr>
        <w:t>一是</w:t>
      </w:r>
      <w:r>
        <w:rPr>
          <w:rFonts w:hint="eastAsia"/>
          <w:lang w:val="en-US" w:eastAsia="zh-CN"/>
        </w:rPr>
        <w:t>未</w:t>
      </w:r>
      <w:r>
        <w:rPr>
          <w:rFonts w:hint="eastAsia"/>
        </w:rPr>
        <w:t>设置</w:t>
      </w:r>
      <w:r>
        <w:rPr>
          <w:rFonts w:hint="eastAsia"/>
          <w:lang w:val="en-US" w:eastAsia="zh-CN"/>
        </w:rPr>
        <w:t>效益指标</w:t>
      </w:r>
      <w:r>
        <w:rPr>
          <w:rFonts w:hint="eastAsia"/>
        </w:rPr>
        <w:t>，</w:t>
      </w:r>
      <w:r>
        <w:rPr>
          <w:rFonts w:hint="eastAsia"/>
          <w:lang w:val="en-US" w:eastAsia="zh-CN"/>
        </w:rPr>
        <w:t>预期效益未彰显</w:t>
      </w:r>
      <w:r>
        <w:rPr>
          <w:rFonts w:hint="eastAsia"/>
        </w:rPr>
        <w:t>。二是数量指标“党建工作培训批次”</w:t>
      </w:r>
      <w:r>
        <w:rPr>
          <w:rFonts w:hint="eastAsia"/>
          <w:lang w:val="en-US" w:eastAsia="zh-CN"/>
        </w:rPr>
        <w:t>的</w:t>
      </w:r>
      <w:r>
        <w:rPr>
          <w:rFonts w:hint="eastAsia"/>
        </w:rPr>
        <w:t>指标值为“每年1期”</w:t>
      </w:r>
      <w:r>
        <w:rPr>
          <w:rFonts w:hint="eastAsia"/>
          <w:lang w:eastAsia="zh-CN"/>
        </w:rPr>
        <w:t>，</w:t>
      </w:r>
      <w:r>
        <w:rPr>
          <w:rFonts w:hint="eastAsia"/>
        </w:rPr>
        <w:t>指标</w:t>
      </w:r>
      <w:r>
        <w:rPr>
          <w:rFonts w:hint="eastAsia"/>
          <w:lang w:val="en-US" w:eastAsia="zh-CN"/>
        </w:rPr>
        <w:t>内容</w:t>
      </w:r>
      <w:r>
        <w:rPr>
          <w:rFonts w:hint="eastAsia"/>
        </w:rPr>
        <w:t>与指标</w:t>
      </w:r>
      <w:r>
        <w:rPr>
          <w:rFonts w:hint="eastAsia"/>
          <w:lang w:val="en-US" w:eastAsia="zh-CN"/>
        </w:rPr>
        <w:t>值</w:t>
      </w:r>
      <w:r>
        <w:rPr>
          <w:rFonts w:hint="eastAsia"/>
        </w:rPr>
        <w:t>单位不匹配。</w:t>
      </w:r>
    </w:p>
    <w:p>
      <w:pPr>
        <w:pStyle w:val="4"/>
        <w:spacing w:line="600" w:lineRule="exact"/>
        <w:ind w:firstLine="640"/>
        <w:rPr>
          <w:b w:val="0"/>
          <w:bCs/>
        </w:rPr>
      </w:pPr>
      <w:bookmarkStart w:id="94" w:name="_Toc10025"/>
      <w:bookmarkStart w:id="95" w:name="_Toc769728284"/>
      <w:r>
        <w:rPr>
          <w:rFonts w:hint="eastAsia"/>
          <w:b w:val="0"/>
          <w:bCs/>
        </w:rPr>
        <w:t>（二）</w:t>
      </w:r>
      <w:bookmarkEnd w:id="94"/>
      <w:r>
        <w:rPr>
          <w:rFonts w:hint="eastAsia"/>
          <w:b w:val="0"/>
          <w:bCs/>
        </w:rPr>
        <w:t>资金未全额支出</w:t>
      </w:r>
      <w:bookmarkEnd w:id="95"/>
    </w:p>
    <w:p>
      <w:pPr>
        <w:spacing w:line="600" w:lineRule="exact"/>
        <w:ind w:firstLine="640"/>
      </w:pPr>
      <w:r>
        <w:rPr>
          <w:rFonts w:hint="eastAsia"/>
        </w:rPr>
        <w:t>本项目预算总规模为2.</w:t>
      </w:r>
      <w:r>
        <w:rPr>
          <w:rFonts w:hint="eastAsia"/>
          <w:lang w:val="en-US" w:eastAsia="zh-CN"/>
        </w:rPr>
        <w:t>6</w:t>
      </w:r>
      <w:r>
        <w:rPr>
          <w:rFonts w:hint="eastAsia"/>
        </w:rPr>
        <w:t>万元，</w:t>
      </w:r>
      <w:r>
        <w:rPr>
          <w:rFonts w:hint="eastAsia"/>
          <w:lang w:val="en-US" w:eastAsia="zh-CN"/>
        </w:rPr>
        <w:t>主要是</w:t>
      </w:r>
      <w:r>
        <w:rPr>
          <w:rFonts w:hint="eastAsia"/>
        </w:rPr>
        <w:t>因</w:t>
      </w:r>
      <w:r>
        <w:rPr>
          <w:rFonts w:hint="eastAsia"/>
          <w:lang w:val="en-US" w:eastAsia="zh-CN"/>
        </w:rPr>
        <w:t>为</w:t>
      </w:r>
      <w:r>
        <w:rPr>
          <w:rFonts w:hint="eastAsia"/>
        </w:rPr>
        <w:t>我单位严格把关经费支出，坚持从严从简，厉行节约，在保证正常履职的前提下勤俭办一切活动，降低成本，导致项目资金结余</w:t>
      </w:r>
      <w:r>
        <w:rPr>
          <w:rFonts w:hint="eastAsia"/>
          <w:lang w:val="en-US" w:eastAsia="zh-CN"/>
        </w:rPr>
        <w:t>0.42</w:t>
      </w:r>
      <w:r>
        <w:rPr>
          <w:rFonts w:hint="eastAsia"/>
        </w:rPr>
        <w:t>万元，预算执行率为</w:t>
      </w:r>
      <w:r>
        <w:rPr>
          <w:rFonts w:hint="eastAsia"/>
          <w:lang w:val="en-US" w:eastAsia="zh-CN"/>
        </w:rPr>
        <w:t>83.8</w:t>
      </w:r>
      <w:r>
        <w:rPr>
          <w:rFonts w:hint="eastAsia"/>
        </w:rPr>
        <w:t>%</w:t>
      </w:r>
      <w:r>
        <w:rPr>
          <w:rFonts w:hint="eastAsia"/>
          <w:lang w:eastAsia="zh-CN"/>
        </w:rPr>
        <w:t>。</w:t>
      </w:r>
      <w:bookmarkStart w:id="96" w:name="_Toc28762"/>
      <w:bookmarkStart w:id="97" w:name="_Toc26977"/>
    </w:p>
    <w:bookmarkEnd w:id="96"/>
    <w:bookmarkEnd w:id="97"/>
    <w:p>
      <w:pPr>
        <w:pStyle w:val="4"/>
        <w:spacing w:line="600" w:lineRule="exact"/>
        <w:ind w:firstLine="640"/>
        <w:rPr>
          <w:rFonts w:hint="eastAsia" w:eastAsia="楷体_GB2312"/>
          <w:b w:val="0"/>
          <w:bCs/>
          <w:lang w:eastAsia="zh-CN"/>
        </w:rPr>
      </w:pPr>
      <w:bookmarkStart w:id="98" w:name="_Toc5114"/>
      <w:bookmarkStart w:id="99" w:name="_Toc381779660"/>
      <w:r>
        <w:rPr>
          <w:rFonts w:hint="eastAsia"/>
          <w:b w:val="0"/>
          <w:bCs/>
        </w:rPr>
        <w:t>（三）</w:t>
      </w:r>
      <w:bookmarkEnd w:id="98"/>
      <w:r>
        <w:rPr>
          <w:rFonts w:hint="eastAsia"/>
          <w:b w:val="0"/>
          <w:bCs/>
        </w:rPr>
        <w:t>主题党日活动思路</w:t>
      </w:r>
      <w:r>
        <w:rPr>
          <w:rFonts w:hint="eastAsia"/>
          <w:b w:val="0"/>
          <w:bCs/>
          <w:lang w:val="en-US" w:eastAsia="zh-CN"/>
        </w:rPr>
        <w:t>还</w:t>
      </w:r>
      <w:r>
        <w:rPr>
          <w:rFonts w:hint="eastAsia"/>
          <w:b w:val="0"/>
          <w:bCs/>
        </w:rPr>
        <w:t>不够创新</w:t>
      </w:r>
      <w:bookmarkEnd w:id="99"/>
    </w:p>
    <w:p>
      <w:pPr>
        <w:spacing w:line="600" w:lineRule="exact"/>
        <w:ind w:firstLine="640"/>
        <w:rPr>
          <w:rFonts w:hint="eastAsia" w:eastAsia="仿宋_GB2312" w:cs="仿宋_GB2312"/>
          <w:lang w:eastAsia="zh-CN"/>
        </w:rPr>
      </w:pPr>
      <w:r>
        <w:rPr>
          <w:rFonts w:hint="eastAsia" w:cs="仿宋_GB2312"/>
        </w:rPr>
        <w:t>支部在新形势下主题党日活动的理念不够新，路子不够宽，内容缺乏吸引力。总体上还停留在“完成规定工作”层面，思路和方法研究思考不深，</w:t>
      </w:r>
      <w:r>
        <w:rPr>
          <w:rFonts w:hint="eastAsia" w:cs="仿宋_GB2312"/>
          <w:lang w:val="en-US" w:eastAsia="zh-CN"/>
        </w:rPr>
        <w:t>未把握</w:t>
      </w:r>
      <w:r>
        <w:rPr>
          <w:rFonts w:hint="eastAsia" w:cs="仿宋_GB2312"/>
        </w:rPr>
        <w:t>抓党建和抓中心工作的最佳结合点，在探索主题党日的模式、释放党建工作活力上还有待创新。</w:t>
      </w:r>
    </w:p>
    <w:p>
      <w:pPr>
        <w:pStyle w:val="4"/>
        <w:spacing w:line="600" w:lineRule="exact"/>
        <w:ind w:firstLine="640"/>
        <w:rPr>
          <w:rFonts w:hint="eastAsia" w:eastAsia="楷体_GB2312"/>
          <w:b w:val="0"/>
          <w:bCs/>
          <w:lang w:eastAsia="zh-CN"/>
        </w:rPr>
      </w:pPr>
      <w:bookmarkStart w:id="100" w:name="_Toc25595"/>
      <w:bookmarkStart w:id="101" w:name="_Toc2037092031"/>
      <w:r>
        <w:rPr>
          <w:rFonts w:hint="eastAsia"/>
          <w:b w:val="0"/>
          <w:bCs/>
        </w:rPr>
        <w:t>（四）</w:t>
      </w:r>
      <w:bookmarkEnd w:id="100"/>
      <w:r>
        <w:rPr>
          <w:rFonts w:hint="eastAsia"/>
          <w:b w:val="0"/>
          <w:bCs/>
        </w:rPr>
        <w:t>党建工作机制还需进一步完善</w:t>
      </w:r>
      <w:bookmarkEnd w:id="101"/>
    </w:p>
    <w:p>
      <w:pPr>
        <w:widowControl/>
        <w:spacing w:line="600" w:lineRule="exact"/>
        <w:ind w:firstLine="640"/>
        <w:rPr>
          <w:szCs w:val="32"/>
        </w:rPr>
      </w:pPr>
      <w:r>
        <w:rPr>
          <w:rFonts w:hint="eastAsia" w:hAnsi="宋体" w:cs="仿宋_GB2312"/>
          <w:color w:val="000000"/>
          <w:kern w:val="0"/>
          <w:szCs w:val="32"/>
          <w:lang w:bidi="ar"/>
        </w:rPr>
        <w:t>区政协机关支部严格按照党风廉政建设和反腐败工作责任分工，切实担负主体责任，但对基层党建工作的考核奖惩办法、党员教育管理制度和激励约束机制尚未健全和完善。</w:t>
      </w:r>
    </w:p>
    <w:p>
      <w:pPr>
        <w:pStyle w:val="3"/>
        <w:spacing w:line="600" w:lineRule="exact"/>
        <w:ind w:firstLine="640"/>
        <w:rPr>
          <w:rFonts w:hint="eastAsia" w:eastAsia="黑体"/>
          <w:lang w:val="en-US" w:eastAsia="zh-CN"/>
        </w:rPr>
      </w:pPr>
      <w:bookmarkStart w:id="102" w:name="_Toc73980896"/>
      <w:r>
        <w:rPr>
          <w:rFonts w:hint="eastAsia"/>
          <w:lang w:val="en-US" w:eastAsia="zh-CN"/>
        </w:rPr>
        <w:t>七</w:t>
      </w:r>
      <w:r>
        <w:rPr>
          <w:rFonts w:hint="eastAsia"/>
        </w:rPr>
        <w:t>、</w:t>
      </w:r>
      <w:r>
        <w:rPr>
          <w:rFonts w:hint="eastAsia"/>
          <w:lang w:val="en-US" w:eastAsia="zh-CN"/>
        </w:rPr>
        <w:t>改进措施</w:t>
      </w:r>
      <w:bookmarkEnd w:id="102"/>
    </w:p>
    <w:p>
      <w:pPr>
        <w:pStyle w:val="4"/>
        <w:spacing w:line="600" w:lineRule="exact"/>
        <w:ind w:firstLine="640"/>
        <w:rPr>
          <w:b w:val="0"/>
          <w:bCs/>
        </w:rPr>
      </w:pPr>
      <w:bookmarkStart w:id="103" w:name="_Toc3887459"/>
      <w:r>
        <w:rPr>
          <w:rFonts w:hint="eastAsia"/>
          <w:b w:val="0"/>
          <w:bCs/>
        </w:rPr>
        <w:t>（一）指标体系有待完善</w:t>
      </w:r>
      <w:bookmarkEnd w:id="103"/>
    </w:p>
    <w:p>
      <w:pPr>
        <w:spacing w:line="600" w:lineRule="exact"/>
        <w:ind w:firstLine="640"/>
      </w:pPr>
      <w:r>
        <w:rPr>
          <w:rFonts w:hint="eastAsia"/>
        </w:rPr>
        <w:t>加大预算绩效目标管理专题培训力度，号召各</w:t>
      </w:r>
      <w:r>
        <w:rPr>
          <w:rFonts w:hint="eastAsia"/>
          <w:lang w:val="en-US" w:eastAsia="zh-CN"/>
        </w:rPr>
        <w:t>部门</w:t>
      </w:r>
      <w:r>
        <w:rPr>
          <w:rFonts w:hint="eastAsia"/>
        </w:rPr>
        <w:t>积极学习绩效目标管理相关知识，提高相关人员对绩效目标的认识，提升绩效指标设置质量。</w:t>
      </w:r>
    </w:p>
    <w:p>
      <w:pPr>
        <w:pStyle w:val="4"/>
        <w:spacing w:line="600" w:lineRule="exact"/>
        <w:ind w:firstLine="640"/>
        <w:rPr>
          <w:b w:val="0"/>
          <w:bCs/>
        </w:rPr>
      </w:pPr>
      <w:bookmarkStart w:id="104" w:name="_Toc912014003"/>
      <w:r>
        <w:rPr>
          <w:rFonts w:hint="eastAsia"/>
          <w:b w:val="0"/>
          <w:bCs/>
        </w:rPr>
        <w:t>（二）预算编制精准性尚存进步空间</w:t>
      </w:r>
      <w:bookmarkEnd w:id="104"/>
    </w:p>
    <w:p>
      <w:pPr>
        <w:spacing w:line="600" w:lineRule="exact"/>
        <w:ind w:firstLine="640"/>
      </w:pPr>
      <w:r>
        <w:rPr>
          <w:rFonts w:hint="eastAsia"/>
        </w:rPr>
        <w:t>要求项目负责人在实施过程中对项目进行监督检查，及时掌握项目实际进度信息，确保预算安排的项目按计划或实施方案执行。</w:t>
      </w:r>
    </w:p>
    <w:p>
      <w:pPr>
        <w:pStyle w:val="4"/>
        <w:spacing w:line="600" w:lineRule="exact"/>
        <w:ind w:firstLine="640"/>
        <w:rPr>
          <w:rFonts w:hint="eastAsia" w:eastAsia="楷体_GB2312"/>
          <w:b w:val="0"/>
          <w:bCs/>
          <w:lang w:eastAsia="zh-CN"/>
        </w:rPr>
      </w:pPr>
      <w:bookmarkStart w:id="105" w:name="_Toc1628559782"/>
      <w:r>
        <w:rPr>
          <w:rFonts w:hint="eastAsia"/>
          <w:b w:val="0"/>
          <w:bCs/>
        </w:rPr>
        <w:t>（三）</w:t>
      </w:r>
      <w:r>
        <w:rPr>
          <w:rFonts w:hint="eastAsia"/>
          <w:b w:val="0"/>
          <w:bCs/>
          <w:lang w:eastAsia="zh-CN"/>
        </w:rPr>
        <w:t>探索创新党建工作的方式方法</w:t>
      </w:r>
      <w:bookmarkEnd w:id="105"/>
    </w:p>
    <w:p>
      <w:pPr>
        <w:spacing w:line="600" w:lineRule="exact"/>
        <w:ind w:firstLine="640"/>
        <w:rPr>
          <w:rFonts w:hint="eastAsia" w:eastAsia="仿宋_GB2312" w:cs="仿宋_GB2312"/>
          <w:lang w:eastAsia="zh-CN"/>
        </w:rPr>
      </w:pPr>
      <w:r>
        <w:rPr>
          <w:rFonts w:hint="eastAsia" w:cs="仿宋_GB2312"/>
          <w:lang w:val="en-US" w:eastAsia="zh-CN"/>
        </w:rPr>
        <w:t>一是</w:t>
      </w:r>
      <w:r>
        <w:rPr>
          <w:rFonts w:hint="eastAsia" w:cs="仿宋_GB2312"/>
        </w:rPr>
        <w:t>创新形式丰富内涵。明确主题党日的主题和内容，紧紧围绕党的五大建设，突出党内政治生活的政治性、思想性、时代性、原则性、战斗性，围绕增强党性、提高素质，让党员增强“四个意识”</w:t>
      </w:r>
      <w:r>
        <w:rPr>
          <w:rFonts w:hint="eastAsia" w:cs="仿宋_GB2312"/>
          <w:lang w:eastAsia="zh-CN"/>
        </w:rPr>
        <w:t>、</w:t>
      </w:r>
      <w:r>
        <w:rPr>
          <w:rFonts w:hint="eastAsia" w:cs="仿宋_GB2312"/>
        </w:rPr>
        <w:t>坚定“四个自信”，真正在活动中收益。</w:t>
      </w:r>
      <w:r>
        <w:rPr>
          <w:rFonts w:hint="eastAsia" w:cs="仿宋_GB2312"/>
          <w:lang w:val="en-US" w:eastAsia="zh-CN"/>
        </w:rPr>
        <w:t>二是</w:t>
      </w:r>
      <w:r>
        <w:rPr>
          <w:rFonts w:hint="eastAsia" w:cs="仿宋_GB2312"/>
        </w:rPr>
        <w:t>创新开展“主题党日+”活动，在不缺乏“党味”的前提下，将实际工作生活与组织活动有机结合，争取做到支部主题党日自选动作贴近工作、深入党员生活、落在实处</w:t>
      </w:r>
      <w:r>
        <w:rPr>
          <w:rFonts w:hint="eastAsia" w:cs="仿宋_GB2312"/>
          <w:lang w:eastAsia="zh-CN"/>
        </w:rPr>
        <w:t>。</w:t>
      </w:r>
    </w:p>
    <w:p>
      <w:pPr>
        <w:pStyle w:val="4"/>
        <w:spacing w:line="600" w:lineRule="exact"/>
        <w:ind w:firstLine="640"/>
        <w:rPr>
          <w:rFonts w:hint="eastAsia" w:eastAsia="楷体_GB2312"/>
          <w:b w:val="0"/>
          <w:bCs/>
          <w:lang w:eastAsia="zh-CN"/>
        </w:rPr>
      </w:pPr>
      <w:bookmarkStart w:id="106" w:name="_Toc1525175059"/>
      <w:r>
        <w:rPr>
          <w:rFonts w:hint="eastAsia"/>
          <w:b w:val="0"/>
          <w:bCs/>
        </w:rPr>
        <w:t>（四）</w:t>
      </w:r>
      <w:r>
        <w:rPr>
          <w:rFonts w:hint="eastAsia"/>
          <w:b w:val="0"/>
          <w:bCs/>
          <w:lang w:eastAsia="zh-CN"/>
        </w:rPr>
        <w:t>持之以恒抓好党风廉政建设</w:t>
      </w:r>
      <w:bookmarkEnd w:id="106"/>
    </w:p>
    <w:p>
      <w:pPr>
        <w:spacing w:line="600" w:lineRule="exact"/>
        <w:ind w:firstLine="640"/>
        <w:rPr>
          <w:rFonts w:hint="eastAsia" w:cs="仿宋_GB2312"/>
        </w:rPr>
        <w:sectPr>
          <w:footerReference r:id="rId7" w:type="default"/>
          <w:pgSz w:w="11906" w:h="16838"/>
          <w:pgMar w:top="2041" w:right="1417" w:bottom="1417" w:left="1531"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cs="仿宋_GB2312"/>
        </w:rPr>
        <w:t>继续深化学习教育，组织党员干部成员学习参观廉政教育基地，深化以案为鉴、以案促改，深刻剖析各类违纪违法案件，增强警示教育效果。</w:t>
      </w:r>
    </w:p>
    <w:p>
      <w:pPr>
        <w:pStyle w:val="4"/>
        <w:spacing w:line="600" w:lineRule="exact"/>
        <w:ind w:firstLine="640"/>
        <w:rPr>
          <w:rFonts w:ascii="楷体_GB2312" w:hAnsi="楷体_GB2312" w:cs="楷体_GB2312"/>
          <w:b w:val="0"/>
          <w:bCs/>
        </w:rPr>
      </w:pPr>
      <w:bookmarkStart w:id="107" w:name="_Toc9367"/>
      <w:bookmarkStart w:id="108" w:name="_Toc28548"/>
      <w:bookmarkStart w:id="109" w:name="_Toc11702"/>
      <w:bookmarkStart w:id="110" w:name="_Toc1252406021"/>
      <w:r>
        <w:rPr>
          <w:rFonts w:hint="eastAsia" w:ascii="楷体_GB2312" w:hAnsi="楷体_GB2312" w:cs="楷体_GB2312"/>
          <w:b w:val="0"/>
          <w:bCs/>
        </w:rPr>
        <w:t>附件：项目支出绩效评价指标</w:t>
      </w:r>
      <w:bookmarkEnd w:id="107"/>
      <w:bookmarkEnd w:id="108"/>
      <w:r>
        <w:rPr>
          <w:rFonts w:hint="eastAsia" w:ascii="楷体_GB2312" w:hAnsi="楷体_GB2312" w:cs="楷体_GB2312"/>
          <w:b w:val="0"/>
          <w:bCs/>
        </w:rPr>
        <w:t>体系</w:t>
      </w:r>
      <w:bookmarkEnd w:id="109"/>
      <w:bookmarkEnd w:id="110"/>
    </w:p>
    <w:tbl>
      <w:tblPr>
        <w:tblStyle w:val="18"/>
        <w:tblW w:w="14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5"/>
        <w:gridCol w:w="1015"/>
        <w:gridCol w:w="1362"/>
        <w:gridCol w:w="773"/>
        <w:gridCol w:w="3347"/>
        <w:gridCol w:w="5905"/>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tblHeader/>
          <w:jc w:val="center"/>
        </w:trPr>
        <w:tc>
          <w:tcPr>
            <w:tcW w:w="1025" w:type="dxa"/>
            <w:shd w:val="clear" w:color="auto" w:fill="BEBEBE" w:themeFill="background1" w:themeFillShade="BF"/>
            <w:tcMar>
              <w:top w:w="15" w:type="dxa"/>
              <w:left w:w="15" w:type="dxa"/>
              <w:right w:w="15" w:type="dxa"/>
            </w:tcMar>
            <w:vAlign w:val="center"/>
          </w:tcPr>
          <w:p>
            <w:pPr>
              <w:adjustRightInd/>
              <w:snapToGrid/>
              <w:spacing w:line="32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一级指标</w:t>
            </w:r>
          </w:p>
        </w:tc>
        <w:tc>
          <w:tcPr>
            <w:tcW w:w="1015" w:type="dxa"/>
            <w:shd w:val="clear" w:color="auto" w:fill="BEBEBE" w:themeFill="background1" w:themeFillShade="BF"/>
            <w:noWrap/>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二级指标</w:t>
            </w:r>
          </w:p>
        </w:tc>
        <w:tc>
          <w:tcPr>
            <w:tcW w:w="1362" w:type="dxa"/>
            <w:shd w:val="clear" w:color="auto" w:fill="BEBEBE" w:themeFill="background1" w:themeFillShade="BF"/>
            <w:noWrap/>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三级指标</w:t>
            </w:r>
          </w:p>
        </w:tc>
        <w:tc>
          <w:tcPr>
            <w:tcW w:w="773" w:type="dxa"/>
            <w:shd w:val="clear" w:color="auto" w:fill="BEBEBE" w:themeFill="background1" w:themeFillShade="BF"/>
            <w:noWrap/>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权重</w:t>
            </w:r>
          </w:p>
        </w:tc>
        <w:tc>
          <w:tcPr>
            <w:tcW w:w="3347" w:type="dxa"/>
            <w:shd w:val="clear" w:color="auto" w:fill="BEBEBE" w:themeFill="background1" w:themeFillShade="BF"/>
            <w:noWrap/>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指标解释</w:t>
            </w:r>
          </w:p>
        </w:tc>
        <w:tc>
          <w:tcPr>
            <w:tcW w:w="5905" w:type="dxa"/>
            <w:shd w:val="clear" w:color="auto" w:fill="BEBEBE" w:themeFill="background1" w:themeFillShade="BF"/>
            <w:noWrap/>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指标说明</w:t>
            </w:r>
          </w:p>
        </w:tc>
        <w:tc>
          <w:tcPr>
            <w:tcW w:w="899" w:type="dxa"/>
            <w:shd w:val="clear" w:color="auto" w:fill="BEBEBE" w:themeFill="background1" w:themeFillShade="BF"/>
            <w:noWrap/>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2" w:hRule="atLeast"/>
          <w:jc w:val="center"/>
        </w:trPr>
        <w:tc>
          <w:tcPr>
            <w:tcW w:w="1025" w:type="dxa"/>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决策</w:t>
            </w:r>
          </w:p>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（20分）</w:t>
            </w:r>
          </w:p>
        </w:tc>
        <w:tc>
          <w:tcPr>
            <w:tcW w:w="1015" w:type="dxa"/>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项目立项（7分）</w:t>
            </w:r>
          </w:p>
        </w:tc>
        <w:tc>
          <w:tcPr>
            <w:tcW w:w="1362"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立项依据</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充分性</w:t>
            </w:r>
          </w:p>
        </w:tc>
        <w:tc>
          <w:tcPr>
            <w:tcW w:w="773"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项目立项是否符合法律法规、相关政策、发展规划以及部门职责，用以反映和考核项目立项依据情况。</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①项目立项符合国家法律法规、国民经济发展规划和相关政策（1分）；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②项目立项符合行业发展规划和政策要求（1分）；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③项目立项与部门职责范围相符，属于部门履职所需（1分）；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④项目属于公共财政支持范围，符合中央、地方事权支出责任划分原则（1分）；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⑤项目不与相关部门同类项目或部门内部相关项目重复（1分）。</w:t>
            </w:r>
          </w:p>
        </w:tc>
        <w:tc>
          <w:tcPr>
            <w:tcW w:w="899" w:type="dxa"/>
            <w:shd w:val="clear" w:color="auto" w:fill="auto"/>
            <w:noWrap/>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jc w:val="center"/>
        </w:trPr>
        <w:tc>
          <w:tcPr>
            <w:tcW w:w="102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01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362"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立项程序</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规范性</w:t>
            </w:r>
          </w:p>
        </w:tc>
        <w:tc>
          <w:tcPr>
            <w:tcW w:w="773"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项目申请、设立过程是否符合相关要求，用以反映和考核项目立项的规范情况。</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①项目按照规定的程序申请设立（1分）；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②审批文件、材料符合相关要求（0.5分）；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③事前已经过必要的可行性研究、专家论证、风险评估、绩效评估、集体决策（0.5分）。</w:t>
            </w:r>
          </w:p>
        </w:tc>
        <w:tc>
          <w:tcPr>
            <w:tcW w:w="899" w:type="dxa"/>
            <w:shd w:val="clear" w:color="auto" w:fill="auto"/>
            <w:noWrap/>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8" w:hRule="atLeast"/>
          <w:jc w:val="center"/>
        </w:trPr>
        <w:tc>
          <w:tcPr>
            <w:tcW w:w="102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015" w:type="dxa"/>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绩效目标（7分）</w:t>
            </w:r>
          </w:p>
        </w:tc>
        <w:tc>
          <w:tcPr>
            <w:tcW w:w="1362"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绩效目标</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合理性</w:t>
            </w:r>
          </w:p>
        </w:tc>
        <w:tc>
          <w:tcPr>
            <w:tcW w:w="773"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项目所设定的绩效目标是否依据充分，符合客观实际，用以反映和考核项目绩效目标与项目实施的相符情况。</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（如未设定预算绩效目标，也可考核其他工作任务目标）</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①项目有绩效目标（1分）；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②项目绩效目标与实际工作内容具有相关性（1分）；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③项目预期产出效益和效果符合正常的业绩水平（1分）；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④与预算确定的项目投资额或资金量相匹配（1分）。</w:t>
            </w:r>
          </w:p>
        </w:tc>
        <w:tc>
          <w:tcPr>
            <w:tcW w:w="899" w:type="dxa"/>
            <w:shd w:val="clear" w:color="auto" w:fill="auto"/>
            <w:noWrap/>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8" w:hRule="atLeast"/>
          <w:jc w:val="center"/>
        </w:trPr>
        <w:tc>
          <w:tcPr>
            <w:tcW w:w="102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01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362"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绩效指标</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明确性</w:t>
            </w:r>
          </w:p>
        </w:tc>
        <w:tc>
          <w:tcPr>
            <w:tcW w:w="773"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项目依据绩效目标设定的绩效指标是否清晰、细化、可衡量等，用以反映和考核项目绩效目标的细化情况。</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①将项目绩效目标细化分解为具体的绩效指标（1分）；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②通过清晰、可衡量的指标值予以体现（1分）；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③与项目目标任务数或计划数相对应（1分）。</w:t>
            </w:r>
          </w:p>
        </w:tc>
        <w:tc>
          <w:tcPr>
            <w:tcW w:w="899" w:type="dxa"/>
            <w:shd w:val="clear" w:color="auto" w:fill="auto"/>
            <w:noWrap/>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5" w:hRule="atLeast"/>
          <w:jc w:val="center"/>
        </w:trPr>
        <w:tc>
          <w:tcPr>
            <w:tcW w:w="102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015" w:type="dxa"/>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资金投入（6分）</w:t>
            </w:r>
          </w:p>
        </w:tc>
        <w:tc>
          <w:tcPr>
            <w:tcW w:w="1362"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预算编制科学性</w:t>
            </w:r>
          </w:p>
        </w:tc>
        <w:tc>
          <w:tcPr>
            <w:tcW w:w="773"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项目预算编制是否经过科学论证、有明确标准，资金额度与年度目标相适应，用以反映和考核项目预算编制的科学性、合理性情况。</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①预算编制经过科学论证（1分）；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②预算内容与项目内容匹配（1分）；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③预算额度测算依据充分，按照标准编制（1分）；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④预算确定的项目投资额或资金量与工作任务相匹配（1分）。</w:t>
            </w:r>
          </w:p>
        </w:tc>
        <w:tc>
          <w:tcPr>
            <w:tcW w:w="899" w:type="dxa"/>
            <w:shd w:val="clear" w:color="auto" w:fill="auto"/>
            <w:noWrap/>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8" w:hRule="atLeast"/>
          <w:jc w:val="center"/>
        </w:trPr>
        <w:tc>
          <w:tcPr>
            <w:tcW w:w="102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01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362"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资金分配合理性</w:t>
            </w:r>
          </w:p>
        </w:tc>
        <w:tc>
          <w:tcPr>
            <w:tcW w:w="773"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项目预算资金分配是否有测算依据，与补助单位或地方实际相适应，用以反映和考核项目预算资金分配的科学性、合理性情况。</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①预算资金分配依据充分，体现厉行节约从严从紧安排的导向（1分）；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②资金分配额度合理，与项目单位或地方实际相适应（1分）。</w:t>
            </w:r>
          </w:p>
        </w:tc>
        <w:tc>
          <w:tcPr>
            <w:tcW w:w="899" w:type="dxa"/>
            <w:shd w:val="clear" w:color="auto" w:fill="auto"/>
            <w:noWrap/>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7" w:hRule="atLeast"/>
          <w:jc w:val="center"/>
        </w:trPr>
        <w:tc>
          <w:tcPr>
            <w:tcW w:w="1025" w:type="dxa"/>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过程</w:t>
            </w:r>
          </w:p>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（20分）</w:t>
            </w:r>
          </w:p>
        </w:tc>
        <w:tc>
          <w:tcPr>
            <w:tcW w:w="1015" w:type="dxa"/>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资金管理（10分）</w:t>
            </w:r>
          </w:p>
        </w:tc>
        <w:tc>
          <w:tcPr>
            <w:tcW w:w="1362"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资金到位率</w:t>
            </w:r>
          </w:p>
        </w:tc>
        <w:tc>
          <w:tcPr>
            <w:tcW w:w="773"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项目实际到位资金与预算资金的比率，用以反映和考核资金落实情况对项目实施的总体保障程度。</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p>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资金到位率=（实际到位资金/预算资金）×100%。</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实际到位资金：一定时期（本年度或项目期）内落实到具体项目的资金。</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预算资金：一定时期（本年度或项目期）内预算安排到具体项目的资金。</w:t>
            </w:r>
          </w:p>
        </w:tc>
        <w:tc>
          <w:tcPr>
            <w:tcW w:w="899" w:type="dxa"/>
            <w:shd w:val="clear" w:color="auto" w:fill="auto"/>
            <w:noWrap/>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5" w:hRule="atLeast"/>
          <w:jc w:val="center"/>
        </w:trPr>
        <w:tc>
          <w:tcPr>
            <w:tcW w:w="102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01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362"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预算执行率</w:t>
            </w:r>
          </w:p>
        </w:tc>
        <w:tc>
          <w:tcPr>
            <w:tcW w:w="773"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项目预算资金是否按照计划执行，用以反映或考核项目预算执行情况。</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p>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预算执行率=（实际支出资金/实际到位资金）×100%。</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实际支出资金：一定时期（本年度或项目期）内项目实际拨付的资金。</w:t>
            </w:r>
          </w:p>
        </w:tc>
        <w:tc>
          <w:tcPr>
            <w:tcW w:w="899" w:type="dxa"/>
            <w:shd w:val="clear" w:color="auto" w:fill="auto"/>
            <w:noWrap/>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2" w:hRule="atLeast"/>
          <w:jc w:val="center"/>
        </w:trPr>
        <w:tc>
          <w:tcPr>
            <w:tcW w:w="102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01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362"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资金使用</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合规性</w:t>
            </w:r>
          </w:p>
        </w:tc>
        <w:tc>
          <w:tcPr>
            <w:tcW w:w="773"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项目资金使用是否符合相关的财务管理制度规定，用以反映和考核项目资金的规范运行情况。</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①符合国家财经法规和财</w:t>
            </w:r>
            <w:r>
              <w:rPr>
                <w:rFonts w:hint="eastAsia" w:ascii="仿宋_GB2312" w:hAnsi="仿宋_GB2312" w:eastAsia="仿宋_GB2312" w:cs="仿宋_GB2312"/>
                <w:sz w:val="24"/>
                <w:szCs w:val="24"/>
                <w:lang w:val="en-US" w:eastAsia="zh-CN"/>
              </w:rPr>
              <w:t>务</w:t>
            </w:r>
            <w:r>
              <w:rPr>
                <w:rFonts w:hint="eastAsia" w:ascii="仿宋_GB2312" w:hAnsi="仿宋_GB2312" w:eastAsia="仿宋_GB2312" w:cs="仿宋_GB2312"/>
                <w:sz w:val="24"/>
                <w:szCs w:val="24"/>
              </w:rPr>
              <w:t>管理制度以及有关专项资金管理规程的规定（1分）；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②资金的拨付有完整的审批程序和手续（1分）；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③符合项目预算批复或合同规定的用途（1分）；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存在截留、挤占、挪用、虚列支出等情况不得分。</w:t>
            </w:r>
          </w:p>
        </w:tc>
        <w:tc>
          <w:tcPr>
            <w:tcW w:w="899" w:type="dxa"/>
            <w:shd w:val="clear" w:color="auto" w:fill="auto"/>
            <w:noWrap/>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1" w:hRule="atLeast"/>
          <w:jc w:val="center"/>
        </w:trPr>
        <w:tc>
          <w:tcPr>
            <w:tcW w:w="102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015" w:type="dxa"/>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组织实施（10分）</w:t>
            </w:r>
          </w:p>
        </w:tc>
        <w:tc>
          <w:tcPr>
            <w:tcW w:w="1362"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管理制度</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健全性</w:t>
            </w:r>
          </w:p>
        </w:tc>
        <w:tc>
          <w:tcPr>
            <w:tcW w:w="773"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项目实施单位的财务和业务管理制度是否健全，用以反映和考核财务和业务管理制度对项目顺利实施的保障情况。</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①已制定或具有相应的财务和业务管理制度（2.5分）；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②财务和业务管理制度合法、合规、完整（2.5分）。</w:t>
            </w:r>
          </w:p>
        </w:tc>
        <w:tc>
          <w:tcPr>
            <w:tcW w:w="899" w:type="dxa"/>
            <w:shd w:val="clear" w:color="auto" w:fill="auto"/>
            <w:noWrap/>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0" w:hRule="atLeast"/>
          <w:jc w:val="center"/>
        </w:trPr>
        <w:tc>
          <w:tcPr>
            <w:tcW w:w="102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01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362"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制度执行</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有效性</w:t>
            </w:r>
          </w:p>
        </w:tc>
        <w:tc>
          <w:tcPr>
            <w:tcW w:w="773"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项目实施是否符合相关管理规定，用以反映和考核相关管理制度的有效执行情况。</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①遵守相关法律法规和相关管理规定（1分）；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②项目调整及支出调整手续完备（1分）；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③项目合同书、验收报告、技术鉴定等资料齐全并及时归档（1分）；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④项目实施的人员条件、场地设备、信息支撑等落实到位（2分）。</w:t>
            </w:r>
          </w:p>
        </w:tc>
        <w:tc>
          <w:tcPr>
            <w:tcW w:w="899" w:type="dxa"/>
            <w:shd w:val="clear" w:color="auto" w:fill="auto"/>
            <w:noWrap/>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jc w:val="center"/>
        </w:trPr>
        <w:tc>
          <w:tcPr>
            <w:tcW w:w="1025" w:type="dxa"/>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产出</w:t>
            </w:r>
          </w:p>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分）</w:t>
            </w:r>
          </w:p>
        </w:tc>
        <w:tc>
          <w:tcPr>
            <w:tcW w:w="1015" w:type="dxa"/>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1362"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主题教育培训开展期数</w:t>
            </w:r>
          </w:p>
        </w:tc>
        <w:tc>
          <w:tcPr>
            <w:tcW w:w="773"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评价</w:t>
            </w:r>
            <w:r>
              <w:rPr>
                <w:rFonts w:hint="eastAsia" w:ascii="仿宋_GB2312" w:hAnsi="仿宋_GB2312" w:eastAsia="仿宋_GB2312" w:cs="仿宋_GB2312"/>
                <w:sz w:val="24"/>
                <w:szCs w:val="24"/>
              </w:rPr>
              <w:t>当年度我单位开展主题教育培训的期数情况。</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p>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当年度</w:t>
            </w:r>
            <w:r>
              <w:rPr>
                <w:rFonts w:hint="eastAsia" w:ascii="仿宋_GB2312" w:hAnsi="仿宋_GB2312" w:eastAsia="仿宋_GB2312" w:cs="仿宋_GB2312"/>
                <w:sz w:val="24"/>
                <w:szCs w:val="24"/>
                <w:lang w:val="en-US" w:eastAsia="zh-CN"/>
              </w:rPr>
              <w:t>我单位</w:t>
            </w:r>
            <w:r>
              <w:rPr>
                <w:rFonts w:hint="eastAsia" w:ascii="仿宋_GB2312" w:hAnsi="仿宋_GB2312" w:eastAsia="仿宋_GB2312" w:cs="仿宋_GB2312"/>
                <w:color w:val="000000"/>
                <w:sz w:val="24"/>
                <w:szCs w:val="24"/>
              </w:rPr>
              <w:t>主题教育培训开展期数大于或等于1期</w:t>
            </w:r>
            <w:r>
              <w:rPr>
                <w:rFonts w:hint="eastAsia" w:ascii="仿宋_GB2312" w:hAnsi="仿宋_GB2312" w:eastAsia="仿宋_GB2312" w:cs="仿宋_GB2312"/>
                <w:sz w:val="24"/>
                <w:szCs w:val="24"/>
              </w:rPr>
              <w:t>得权重分满分，未开展不得分。</w:t>
            </w:r>
          </w:p>
        </w:tc>
        <w:tc>
          <w:tcPr>
            <w:tcW w:w="899" w:type="dxa"/>
            <w:shd w:val="clear" w:color="auto" w:fill="auto"/>
            <w:noWrap/>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jc w:val="center"/>
        </w:trPr>
        <w:tc>
          <w:tcPr>
            <w:tcW w:w="102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01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362"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开展会议专题学习次数</w:t>
            </w:r>
          </w:p>
        </w:tc>
        <w:tc>
          <w:tcPr>
            <w:tcW w:w="773"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评价</w:t>
            </w:r>
            <w:r>
              <w:rPr>
                <w:rFonts w:hint="eastAsia" w:ascii="仿宋_GB2312" w:hAnsi="仿宋_GB2312" w:eastAsia="仿宋_GB2312" w:cs="仿宋_GB2312"/>
                <w:sz w:val="24"/>
                <w:szCs w:val="24"/>
              </w:rPr>
              <w:t>当年度我单位开展</w:t>
            </w:r>
            <w:r>
              <w:rPr>
                <w:rFonts w:hint="eastAsia" w:ascii="仿宋_GB2312" w:hAnsi="仿宋_GB2312" w:eastAsia="仿宋_GB2312" w:cs="仿宋_GB2312"/>
                <w:color w:val="000000"/>
                <w:sz w:val="24"/>
                <w:szCs w:val="24"/>
              </w:rPr>
              <w:t>会议专题学习次数情况</w:t>
            </w:r>
            <w:r>
              <w:rPr>
                <w:rFonts w:hint="eastAsia" w:ascii="仿宋_GB2312" w:hAnsi="仿宋_GB2312" w:eastAsia="仿宋_GB2312" w:cs="仿宋_GB2312"/>
                <w:sz w:val="24"/>
                <w:szCs w:val="24"/>
              </w:rPr>
              <w:t>。</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p>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当年度</w:t>
            </w:r>
            <w:r>
              <w:rPr>
                <w:rFonts w:hint="eastAsia" w:ascii="仿宋_GB2312" w:hAnsi="仿宋_GB2312" w:eastAsia="仿宋_GB2312" w:cs="仿宋_GB2312"/>
                <w:sz w:val="24"/>
                <w:szCs w:val="24"/>
                <w:lang w:val="en-US" w:eastAsia="zh-CN"/>
              </w:rPr>
              <w:t>我单位</w:t>
            </w:r>
            <w:r>
              <w:rPr>
                <w:rFonts w:hint="eastAsia" w:ascii="仿宋_GB2312" w:hAnsi="仿宋_GB2312" w:eastAsia="仿宋_GB2312" w:cs="仿宋_GB2312"/>
                <w:color w:val="000000"/>
                <w:sz w:val="24"/>
                <w:szCs w:val="24"/>
              </w:rPr>
              <w:t>开展会议专题学习次数大于或等于</w:t>
            </w:r>
            <w:r>
              <w:rPr>
                <w:rFonts w:hint="eastAsia" w:ascii="仿宋_GB2312" w:hAnsi="仿宋_GB2312" w:eastAsia="仿宋_GB2312" w:cs="仿宋_GB2312"/>
                <w:color w:val="000000"/>
                <w:sz w:val="24"/>
                <w:szCs w:val="24"/>
                <w:lang w:val="en-US" w:eastAsia="zh-CN"/>
              </w:rPr>
              <w:t>36次</w:t>
            </w:r>
            <w:r>
              <w:rPr>
                <w:rFonts w:hint="eastAsia" w:ascii="仿宋_GB2312" w:hAnsi="仿宋_GB2312" w:eastAsia="仿宋_GB2312" w:cs="仿宋_GB2312"/>
                <w:sz w:val="24"/>
                <w:szCs w:val="24"/>
              </w:rPr>
              <w:t>得权重分满分，每减少1次扣除权重分</w:t>
            </w:r>
            <w:r>
              <w:rPr>
                <w:rFonts w:hint="eastAsia" w:ascii="仿宋_GB2312" w:hAnsi="仿宋_GB2312" w:eastAsia="仿宋_GB2312" w:cs="仿宋_GB2312"/>
                <w:sz w:val="24"/>
                <w:szCs w:val="24"/>
                <w:lang w:val="en-US" w:eastAsia="zh-CN"/>
              </w:rPr>
              <w:t>2.8</w:t>
            </w:r>
            <w:r>
              <w:rPr>
                <w:rFonts w:hint="eastAsia" w:ascii="仿宋_GB2312" w:hAnsi="仿宋_GB2312" w:eastAsia="仿宋_GB2312" w:cs="仿宋_GB2312"/>
                <w:sz w:val="24"/>
                <w:szCs w:val="24"/>
              </w:rPr>
              <w:t>%，扣完为止。</w:t>
            </w:r>
          </w:p>
        </w:tc>
        <w:tc>
          <w:tcPr>
            <w:tcW w:w="899" w:type="dxa"/>
            <w:shd w:val="clear" w:color="auto" w:fill="auto"/>
            <w:noWrap/>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jc w:val="center"/>
        </w:trPr>
        <w:tc>
          <w:tcPr>
            <w:tcW w:w="102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01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362"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党风廉政工作</w:t>
            </w:r>
            <w:r>
              <w:rPr>
                <w:rFonts w:hint="eastAsia" w:ascii="仿宋_GB2312" w:hAnsi="仿宋_GB2312" w:eastAsia="仿宋_GB2312" w:cs="仿宋_GB2312"/>
                <w:color w:val="000000"/>
                <w:sz w:val="24"/>
                <w:szCs w:val="24"/>
                <w:lang w:val="en-US" w:eastAsia="zh-CN"/>
              </w:rPr>
              <w:t>完成率</w:t>
            </w:r>
          </w:p>
        </w:tc>
        <w:tc>
          <w:tcPr>
            <w:tcW w:w="773"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评价</w:t>
            </w:r>
            <w:r>
              <w:rPr>
                <w:rFonts w:hint="eastAsia" w:ascii="仿宋_GB2312" w:hAnsi="仿宋_GB2312" w:eastAsia="仿宋_GB2312" w:cs="仿宋_GB2312"/>
                <w:sz w:val="24"/>
                <w:szCs w:val="24"/>
              </w:rPr>
              <w:t>当年度我单位党风廉政工作的完成情况。</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p>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当年度我单位</w:t>
            </w:r>
            <w:r>
              <w:rPr>
                <w:rFonts w:hint="eastAsia" w:ascii="仿宋_GB2312" w:hAnsi="仿宋_GB2312" w:eastAsia="仿宋_GB2312" w:cs="仿宋_GB2312"/>
                <w:sz w:val="24"/>
                <w:szCs w:val="24"/>
              </w:rPr>
              <w:t>党风廉政工作完成率</w:t>
            </w:r>
            <w:r>
              <w:rPr>
                <w:rFonts w:hint="eastAsia" w:ascii="仿宋_GB2312" w:hAnsi="仿宋_GB2312" w:eastAsia="仿宋_GB2312" w:cs="仿宋_GB2312"/>
                <w:sz w:val="24"/>
                <w:szCs w:val="24"/>
                <w:lang w:val="en-US" w:eastAsia="zh-CN"/>
              </w:rPr>
              <w:t>达到100%</w:t>
            </w:r>
            <w:r>
              <w:rPr>
                <w:rFonts w:hint="eastAsia" w:ascii="仿宋_GB2312" w:hAnsi="仿宋_GB2312" w:eastAsia="仿宋_GB2312" w:cs="仿宋_GB2312"/>
                <w:sz w:val="24"/>
                <w:szCs w:val="24"/>
              </w:rPr>
              <w:t>得权重分满分，每减少1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扣除权重分1%，扣完为止。</w:t>
            </w:r>
          </w:p>
        </w:tc>
        <w:tc>
          <w:tcPr>
            <w:tcW w:w="899" w:type="dxa"/>
            <w:shd w:val="clear" w:color="auto" w:fill="auto"/>
            <w:noWrap/>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8" w:hRule="atLeast"/>
          <w:jc w:val="center"/>
        </w:trPr>
        <w:tc>
          <w:tcPr>
            <w:tcW w:w="102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015"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w:t>
            </w:r>
          </w:p>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1362"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参与培训党员</w:t>
            </w:r>
            <w:r>
              <w:rPr>
                <w:rFonts w:hint="eastAsia" w:ascii="仿宋_GB2312" w:hAnsi="仿宋_GB2312" w:eastAsia="仿宋_GB2312" w:cs="仿宋_GB2312"/>
                <w:color w:val="000000"/>
                <w:sz w:val="24"/>
                <w:szCs w:val="24"/>
              </w:rPr>
              <w:t>覆盖率</w:t>
            </w:r>
          </w:p>
        </w:tc>
        <w:tc>
          <w:tcPr>
            <w:tcW w:w="773"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评价</w:t>
            </w:r>
            <w:r>
              <w:rPr>
                <w:rFonts w:hint="eastAsia" w:ascii="仿宋_GB2312" w:hAnsi="仿宋_GB2312" w:eastAsia="仿宋_GB2312" w:cs="仿宋_GB2312"/>
                <w:sz w:val="24"/>
                <w:szCs w:val="24"/>
              </w:rPr>
              <w:t>当年度我单位</w:t>
            </w:r>
            <w:r>
              <w:rPr>
                <w:rFonts w:hint="eastAsia" w:ascii="仿宋_GB2312" w:hAnsi="仿宋_GB2312" w:eastAsia="仿宋_GB2312" w:cs="仿宋_GB2312"/>
                <w:sz w:val="24"/>
                <w:szCs w:val="24"/>
                <w:lang w:val="en-US" w:eastAsia="zh-CN"/>
              </w:rPr>
              <w:t>党员参与</w:t>
            </w:r>
            <w:r>
              <w:rPr>
                <w:rFonts w:hint="eastAsia" w:ascii="仿宋_GB2312" w:hAnsi="仿宋_GB2312" w:eastAsia="仿宋_GB2312" w:cs="仿宋_GB2312"/>
                <w:color w:val="000000"/>
                <w:sz w:val="24"/>
                <w:szCs w:val="24"/>
              </w:rPr>
              <w:t>主题教育培训</w:t>
            </w:r>
            <w:r>
              <w:rPr>
                <w:rFonts w:hint="eastAsia" w:ascii="仿宋_GB2312" w:hAnsi="仿宋_GB2312" w:eastAsia="仿宋_GB2312" w:cs="仿宋_GB2312"/>
                <w:color w:val="000000"/>
                <w:sz w:val="24"/>
                <w:szCs w:val="24"/>
                <w:lang w:val="en-US" w:eastAsia="zh-CN"/>
              </w:rPr>
              <w:t>的</w:t>
            </w:r>
            <w:r>
              <w:rPr>
                <w:rFonts w:hint="eastAsia" w:ascii="仿宋_GB2312" w:hAnsi="仿宋_GB2312" w:eastAsia="仿宋_GB2312" w:cs="仿宋_GB2312"/>
                <w:color w:val="000000"/>
                <w:sz w:val="24"/>
                <w:szCs w:val="24"/>
              </w:rPr>
              <w:t>覆盖情况</w:t>
            </w:r>
            <w:r>
              <w:rPr>
                <w:rFonts w:hint="eastAsia" w:ascii="仿宋_GB2312" w:hAnsi="仿宋_GB2312" w:eastAsia="仿宋_GB2312" w:cs="仿宋_GB2312"/>
                <w:sz w:val="24"/>
                <w:szCs w:val="24"/>
              </w:rPr>
              <w:t>。</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p>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参与培训党员覆盖率</w:t>
            </w:r>
            <w:r>
              <w:rPr>
                <w:rFonts w:hint="eastAsia" w:ascii="仿宋_GB2312" w:hAnsi="仿宋_GB2312" w:eastAsia="仿宋_GB2312" w:cs="仿宋_GB2312"/>
                <w:sz w:val="24"/>
                <w:szCs w:val="24"/>
              </w:rPr>
              <w:t>=（参加</w:t>
            </w:r>
            <w:r>
              <w:rPr>
                <w:rFonts w:hint="eastAsia" w:ascii="仿宋_GB2312" w:hAnsi="仿宋_GB2312" w:eastAsia="仿宋_GB2312" w:cs="仿宋_GB2312"/>
                <w:color w:val="000000"/>
                <w:sz w:val="24"/>
                <w:szCs w:val="24"/>
              </w:rPr>
              <w:t>主题教育培训党员数量</w:t>
            </w:r>
            <w:r>
              <w:rPr>
                <w:rFonts w:hint="eastAsia" w:ascii="仿宋_GB2312" w:hAnsi="仿宋_GB2312" w:eastAsia="仿宋_GB2312" w:cs="仿宋_GB2312"/>
                <w:sz w:val="24"/>
                <w:szCs w:val="24"/>
              </w:rPr>
              <w:t>/党员数量）×100%。</w:t>
            </w:r>
          </w:p>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得分=</w:t>
            </w:r>
            <w:r>
              <w:rPr>
                <w:rFonts w:hint="eastAsia" w:ascii="仿宋_GB2312" w:hAnsi="仿宋_GB2312" w:eastAsia="仿宋_GB2312" w:cs="仿宋_GB2312"/>
                <w:color w:val="000000"/>
                <w:sz w:val="24"/>
                <w:szCs w:val="24"/>
              </w:rPr>
              <w:t>参与培训党员覆盖率</w:t>
            </w:r>
            <w:r>
              <w:rPr>
                <w:rFonts w:hint="eastAsia" w:ascii="仿宋_GB2312" w:hAnsi="仿宋_GB2312" w:eastAsia="仿宋_GB2312" w:cs="仿宋_GB2312"/>
                <w:sz w:val="24"/>
                <w:szCs w:val="24"/>
              </w:rPr>
              <w:t>*权重。</w:t>
            </w:r>
          </w:p>
        </w:tc>
        <w:tc>
          <w:tcPr>
            <w:tcW w:w="899" w:type="dxa"/>
            <w:shd w:val="clear" w:color="auto" w:fill="auto"/>
            <w:noWrap/>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9" w:hRule="atLeast"/>
          <w:jc w:val="center"/>
        </w:trPr>
        <w:tc>
          <w:tcPr>
            <w:tcW w:w="102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015"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时效</w:t>
            </w:r>
          </w:p>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1362"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党建工作开展</w:t>
            </w:r>
            <w:r>
              <w:rPr>
                <w:rFonts w:hint="eastAsia" w:ascii="仿宋_GB2312" w:hAnsi="仿宋_GB2312" w:eastAsia="仿宋_GB2312" w:cs="仿宋_GB2312"/>
                <w:color w:val="000000"/>
                <w:sz w:val="24"/>
                <w:szCs w:val="24"/>
                <w:lang w:val="en-US" w:eastAsia="zh-CN"/>
              </w:rPr>
              <w:t>时间</w:t>
            </w:r>
          </w:p>
        </w:tc>
        <w:tc>
          <w:tcPr>
            <w:tcW w:w="773"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评价当年度我单位党建工作开展的时间</w:t>
            </w:r>
            <w:r>
              <w:rPr>
                <w:rFonts w:hint="eastAsia" w:ascii="仿宋_GB2312" w:hAnsi="仿宋_GB2312" w:eastAsia="仿宋_GB2312" w:cs="仿宋_GB2312"/>
                <w:color w:val="000000"/>
                <w:sz w:val="24"/>
                <w:szCs w:val="24"/>
              </w:rPr>
              <w:t>。</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p>
          <w:p>
            <w:pPr>
              <w:tabs>
                <w:tab w:val="left" w:pos="975"/>
              </w:tabs>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当年度</w:t>
            </w:r>
            <w:r>
              <w:rPr>
                <w:rFonts w:hint="eastAsia" w:ascii="仿宋_GB2312" w:hAnsi="仿宋_GB2312" w:eastAsia="仿宋_GB2312" w:cs="仿宋_GB2312"/>
                <w:sz w:val="24"/>
                <w:szCs w:val="24"/>
                <w:lang w:val="en-US" w:eastAsia="zh-CN"/>
              </w:rPr>
              <w:t>我单位</w:t>
            </w:r>
            <w:r>
              <w:rPr>
                <w:rFonts w:hint="eastAsia" w:ascii="仿宋_GB2312" w:hAnsi="仿宋_GB2312" w:eastAsia="仿宋_GB2312" w:cs="仿宋_GB2312"/>
                <w:color w:val="000000"/>
                <w:sz w:val="24"/>
                <w:szCs w:val="24"/>
              </w:rPr>
              <w:t>全年无间断开展党建工作</w:t>
            </w:r>
            <w:r>
              <w:rPr>
                <w:rFonts w:hint="eastAsia" w:ascii="仿宋_GB2312" w:hAnsi="仿宋_GB2312" w:eastAsia="仿宋_GB2312" w:cs="仿宋_GB2312"/>
                <w:sz w:val="24"/>
                <w:szCs w:val="24"/>
              </w:rPr>
              <w:t>得权重分满分，每减少1</w:t>
            </w:r>
            <w:r>
              <w:rPr>
                <w:rFonts w:hint="eastAsia" w:ascii="仿宋_GB2312" w:hAnsi="仿宋_GB2312" w:eastAsia="仿宋_GB2312" w:cs="仿宋_GB2312"/>
                <w:sz w:val="24"/>
                <w:szCs w:val="24"/>
                <w:lang w:val="en-US" w:eastAsia="zh-CN"/>
              </w:rPr>
              <w:t>月</w:t>
            </w:r>
            <w:r>
              <w:rPr>
                <w:rFonts w:hint="eastAsia" w:ascii="仿宋_GB2312" w:hAnsi="仿宋_GB2312" w:eastAsia="仿宋_GB2312" w:cs="仿宋_GB2312"/>
                <w:sz w:val="24"/>
                <w:szCs w:val="24"/>
              </w:rPr>
              <w:t>扣除权重分</w:t>
            </w:r>
            <w:r>
              <w:rPr>
                <w:rFonts w:hint="eastAsia" w:ascii="仿宋_GB2312" w:hAnsi="仿宋_GB2312" w:eastAsia="仿宋_GB2312" w:cs="仿宋_GB2312"/>
                <w:sz w:val="24"/>
                <w:szCs w:val="24"/>
                <w:lang w:val="en-US" w:eastAsia="zh-CN"/>
              </w:rPr>
              <w:t>8.3</w:t>
            </w:r>
            <w:r>
              <w:rPr>
                <w:rFonts w:hint="eastAsia" w:ascii="仿宋_GB2312" w:hAnsi="仿宋_GB2312" w:eastAsia="仿宋_GB2312" w:cs="仿宋_GB2312"/>
                <w:sz w:val="24"/>
                <w:szCs w:val="24"/>
              </w:rPr>
              <w:t>%，扣完为止。</w:t>
            </w:r>
          </w:p>
        </w:tc>
        <w:tc>
          <w:tcPr>
            <w:tcW w:w="899" w:type="dxa"/>
            <w:shd w:val="clear" w:color="auto" w:fill="auto"/>
            <w:noWrap/>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2" w:hRule="atLeast"/>
          <w:jc w:val="center"/>
        </w:trPr>
        <w:tc>
          <w:tcPr>
            <w:tcW w:w="102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015"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成本</w:t>
            </w:r>
          </w:p>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1362"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成本节约率</w:t>
            </w:r>
          </w:p>
        </w:tc>
        <w:tc>
          <w:tcPr>
            <w:tcW w:w="773"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5</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评价</w:t>
            </w:r>
            <w:r>
              <w:rPr>
                <w:rFonts w:hint="eastAsia" w:ascii="仿宋_GB2312" w:hAnsi="仿宋_GB2312" w:eastAsia="仿宋_GB2312" w:cs="仿宋_GB2312"/>
                <w:color w:val="000000"/>
                <w:kern w:val="0"/>
                <w:sz w:val="24"/>
                <w:szCs w:val="24"/>
                <w:lang w:bidi="ar"/>
              </w:rPr>
              <w:t>项目是否按照厉行节约过“紧日子”的要求，严格控制项目支出，有效节约资金。</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p>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成本节约率大于</w:t>
            </w:r>
            <w:r>
              <w:rPr>
                <w:rFonts w:hint="eastAsia" w:ascii="仿宋_GB2312" w:hAnsi="仿宋_GB2312" w:eastAsia="仿宋_GB2312" w:cs="仿宋_GB2312"/>
                <w:color w:val="000000"/>
                <w:sz w:val="24"/>
                <w:szCs w:val="24"/>
                <w:lang w:val="en-US" w:eastAsia="zh-CN"/>
              </w:rPr>
              <w:t>或等于1</w:t>
            </w:r>
            <w:r>
              <w:rPr>
                <w:rFonts w:hint="eastAsia" w:ascii="仿宋_GB2312" w:hAnsi="仿宋_GB2312" w:eastAsia="仿宋_GB2312" w:cs="仿宋_GB2312"/>
                <w:color w:val="000000"/>
                <w:sz w:val="24"/>
                <w:szCs w:val="24"/>
              </w:rPr>
              <w:t>0%得权重分满分，</w:t>
            </w:r>
            <w:r>
              <w:rPr>
                <w:rFonts w:hint="eastAsia" w:ascii="仿宋_GB2312" w:hAnsi="仿宋_GB2312" w:eastAsia="仿宋_GB2312" w:cs="仿宋_GB2312"/>
                <w:color w:val="000000"/>
                <w:sz w:val="24"/>
                <w:szCs w:val="24"/>
                <w:lang w:val="en-US" w:eastAsia="zh-CN"/>
              </w:rPr>
              <w:t>每减少1%扣除权重分10%，扣完为止</w:t>
            </w:r>
            <w:r>
              <w:rPr>
                <w:rFonts w:hint="eastAsia" w:ascii="仿宋_GB2312" w:hAnsi="仿宋_GB2312" w:eastAsia="仿宋_GB2312" w:cs="仿宋_GB2312"/>
                <w:color w:val="000000"/>
                <w:sz w:val="24"/>
                <w:szCs w:val="24"/>
              </w:rPr>
              <w:t>。</w:t>
            </w:r>
          </w:p>
        </w:tc>
        <w:tc>
          <w:tcPr>
            <w:tcW w:w="899" w:type="dxa"/>
            <w:shd w:val="clear" w:color="auto" w:fill="auto"/>
            <w:noWrap/>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3" w:hRule="atLeast"/>
          <w:jc w:val="center"/>
        </w:trPr>
        <w:tc>
          <w:tcPr>
            <w:tcW w:w="1025" w:type="dxa"/>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效益</w:t>
            </w:r>
          </w:p>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分）</w:t>
            </w:r>
          </w:p>
        </w:tc>
        <w:tc>
          <w:tcPr>
            <w:tcW w:w="1015" w:type="dxa"/>
            <w:vMerge w:val="restart"/>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社会效益</w:t>
            </w:r>
          </w:p>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分）</w:t>
            </w:r>
          </w:p>
        </w:tc>
        <w:tc>
          <w:tcPr>
            <w:tcW w:w="1362"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党建活动创新率</w:t>
            </w:r>
          </w:p>
        </w:tc>
        <w:tc>
          <w:tcPr>
            <w:tcW w:w="773"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8</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评价</w:t>
            </w:r>
            <w:r>
              <w:rPr>
                <w:rFonts w:hint="eastAsia" w:ascii="仿宋_GB2312" w:hAnsi="仿宋_GB2312" w:eastAsia="仿宋_GB2312" w:cs="仿宋_GB2312"/>
                <w:sz w:val="24"/>
                <w:szCs w:val="24"/>
              </w:rPr>
              <w:t>当年度我单位党建活动的创新情况</w:t>
            </w:r>
            <w:r>
              <w:rPr>
                <w:rFonts w:hint="eastAsia" w:ascii="仿宋_GB2312" w:hAnsi="仿宋_GB2312" w:eastAsia="仿宋_GB2312" w:cs="仿宋_GB2312"/>
                <w:color w:val="000000"/>
                <w:sz w:val="24"/>
                <w:szCs w:val="24"/>
              </w:rPr>
              <w:t>。</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p>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当年度我单位党建活动创新率达到100%</w:t>
            </w:r>
            <w:r>
              <w:rPr>
                <w:rFonts w:hint="eastAsia" w:ascii="仿宋_GB2312" w:hAnsi="仿宋_GB2312" w:eastAsia="仿宋_GB2312" w:cs="仿宋_GB2312"/>
                <w:sz w:val="24"/>
                <w:szCs w:val="24"/>
              </w:rPr>
              <w:t>得权重分满分，每减少1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扣除权重分1%，扣完为止。</w:t>
            </w:r>
          </w:p>
        </w:tc>
        <w:tc>
          <w:tcPr>
            <w:tcW w:w="899" w:type="dxa"/>
            <w:shd w:val="clear" w:color="auto" w:fill="auto"/>
            <w:noWrap/>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jc w:val="center"/>
        </w:trPr>
        <w:tc>
          <w:tcPr>
            <w:tcW w:w="102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01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362"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支部党员履职尽责能力提升率</w:t>
            </w:r>
          </w:p>
        </w:tc>
        <w:tc>
          <w:tcPr>
            <w:tcW w:w="773"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8</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评价</w:t>
            </w:r>
            <w:r>
              <w:rPr>
                <w:rFonts w:hint="eastAsia" w:ascii="仿宋_GB2312" w:hAnsi="仿宋_GB2312" w:eastAsia="仿宋_GB2312" w:cs="仿宋_GB2312"/>
                <w:sz w:val="24"/>
                <w:szCs w:val="24"/>
              </w:rPr>
              <w:t>当年度我单位支部党员履职尽责能力的提升情况</w:t>
            </w:r>
            <w:r>
              <w:rPr>
                <w:rFonts w:hint="eastAsia" w:ascii="仿宋_GB2312" w:hAnsi="仿宋_GB2312" w:eastAsia="仿宋_GB2312" w:cs="仿宋_GB2312"/>
                <w:color w:val="000000"/>
                <w:sz w:val="24"/>
                <w:szCs w:val="24"/>
              </w:rPr>
              <w:t>。</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p>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当年度我单位支部党员履职尽责能力提升率达到100%</w:t>
            </w:r>
            <w:r>
              <w:rPr>
                <w:rFonts w:hint="eastAsia" w:ascii="仿宋_GB2312" w:hAnsi="仿宋_GB2312" w:eastAsia="仿宋_GB2312" w:cs="仿宋_GB2312"/>
                <w:sz w:val="24"/>
                <w:szCs w:val="24"/>
              </w:rPr>
              <w:t>得权重分满分，每减少1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扣除权重分1%，扣完为止。</w:t>
            </w:r>
          </w:p>
        </w:tc>
        <w:tc>
          <w:tcPr>
            <w:tcW w:w="899" w:type="dxa"/>
            <w:shd w:val="clear" w:color="auto" w:fill="auto"/>
            <w:noWrap/>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3" w:hRule="atLeast"/>
          <w:jc w:val="center"/>
        </w:trPr>
        <w:tc>
          <w:tcPr>
            <w:tcW w:w="102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01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362"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党支部廉政工作</w:t>
            </w:r>
            <w:r>
              <w:rPr>
                <w:rFonts w:hint="eastAsia" w:ascii="仿宋_GB2312" w:hAnsi="仿宋_GB2312" w:eastAsia="仿宋_GB2312" w:cs="仿宋_GB2312"/>
                <w:sz w:val="24"/>
                <w:szCs w:val="24"/>
                <w:lang w:val="en-US" w:eastAsia="zh-CN"/>
              </w:rPr>
              <w:t>加强率</w:t>
            </w:r>
          </w:p>
        </w:tc>
        <w:tc>
          <w:tcPr>
            <w:tcW w:w="773"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8</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评价</w:t>
            </w:r>
            <w:r>
              <w:rPr>
                <w:rFonts w:hint="eastAsia" w:ascii="仿宋_GB2312" w:hAnsi="仿宋_GB2312" w:eastAsia="仿宋_GB2312" w:cs="仿宋_GB2312"/>
                <w:sz w:val="24"/>
                <w:szCs w:val="24"/>
              </w:rPr>
              <w:t>当年度我单位党支部廉政工作</w:t>
            </w:r>
            <w:r>
              <w:rPr>
                <w:rFonts w:hint="eastAsia" w:ascii="仿宋_GB2312" w:hAnsi="仿宋_GB2312" w:eastAsia="仿宋_GB2312" w:cs="仿宋_GB2312"/>
                <w:sz w:val="24"/>
                <w:szCs w:val="24"/>
                <w:lang w:val="en-US" w:eastAsia="zh-CN"/>
              </w:rPr>
              <w:t>的加强</w:t>
            </w:r>
            <w:r>
              <w:rPr>
                <w:rFonts w:hint="eastAsia" w:ascii="仿宋_GB2312" w:hAnsi="仿宋_GB2312" w:eastAsia="仿宋_GB2312" w:cs="仿宋_GB2312"/>
                <w:sz w:val="24"/>
                <w:szCs w:val="24"/>
              </w:rPr>
              <w:t>情况</w:t>
            </w:r>
            <w:r>
              <w:rPr>
                <w:rFonts w:hint="eastAsia" w:ascii="仿宋_GB2312" w:hAnsi="仿宋_GB2312" w:eastAsia="仿宋_GB2312" w:cs="仿宋_GB2312"/>
                <w:color w:val="000000"/>
                <w:sz w:val="24"/>
                <w:szCs w:val="24"/>
              </w:rPr>
              <w:t>。</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p>
          <w:p>
            <w:pPr>
              <w:adjustRightInd/>
              <w:snapToGrid/>
              <w:spacing w:line="320" w:lineRule="exact"/>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当年度我单位</w:t>
            </w:r>
            <w:r>
              <w:rPr>
                <w:rFonts w:hint="eastAsia" w:ascii="仿宋_GB2312" w:hAnsi="仿宋_GB2312" w:eastAsia="仿宋_GB2312" w:cs="仿宋_GB2312"/>
                <w:sz w:val="24"/>
                <w:szCs w:val="24"/>
              </w:rPr>
              <w:t>党支部廉政工作</w:t>
            </w:r>
            <w:r>
              <w:rPr>
                <w:rFonts w:hint="eastAsia" w:ascii="仿宋_GB2312" w:hAnsi="仿宋_GB2312" w:eastAsia="仿宋_GB2312" w:cs="仿宋_GB2312"/>
                <w:sz w:val="24"/>
                <w:szCs w:val="24"/>
                <w:lang w:val="en-US" w:eastAsia="zh-CN"/>
              </w:rPr>
              <w:t>加强率达到100%</w:t>
            </w:r>
            <w:r>
              <w:rPr>
                <w:rFonts w:hint="eastAsia" w:ascii="仿宋_GB2312" w:hAnsi="仿宋_GB2312" w:eastAsia="仿宋_GB2312" w:cs="仿宋_GB2312"/>
                <w:sz w:val="24"/>
                <w:szCs w:val="24"/>
              </w:rPr>
              <w:t>得权重分满分，每减少1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扣除权重分1%，扣完为止。</w:t>
            </w:r>
          </w:p>
        </w:tc>
        <w:tc>
          <w:tcPr>
            <w:tcW w:w="899" w:type="dxa"/>
            <w:shd w:val="clear" w:color="auto" w:fill="auto"/>
            <w:noWrap/>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jc w:val="center"/>
        </w:trPr>
        <w:tc>
          <w:tcPr>
            <w:tcW w:w="1025" w:type="dxa"/>
            <w:vMerge w:val="continue"/>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rPr>
            </w:pPr>
          </w:p>
        </w:tc>
        <w:tc>
          <w:tcPr>
            <w:tcW w:w="1015" w:type="dxa"/>
            <w:shd w:val="clear" w:color="auto" w:fill="auto"/>
            <w:tcMar>
              <w:top w:w="15" w:type="dxa"/>
              <w:left w:w="15" w:type="dxa"/>
              <w:right w:w="15" w:type="dxa"/>
            </w:tcMar>
            <w:vAlign w:val="center"/>
          </w:tcPr>
          <w:p>
            <w:pPr>
              <w:adjustRightInd/>
              <w:snapToGrid/>
              <w:spacing w:line="320" w:lineRule="exact"/>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可持续影响</w:t>
            </w:r>
          </w:p>
          <w:p>
            <w:pPr>
              <w:adjustRightInd/>
              <w:snapToGrid/>
              <w:spacing w:line="32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p>
        </w:tc>
        <w:tc>
          <w:tcPr>
            <w:tcW w:w="1362"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理论武装强化</w:t>
            </w:r>
            <w:r>
              <w:rPr>
                <w:rFonts w:hint="eastAsia" w:ascii="仿宋_GB2312" w:hAnsi="仿宋_GB2312" w:eastAsia="仿宋_GB2312" w:cs="仿宋_GB2312"/>
                <w:sz w:val="24"/>
                <w:szCs w:val="24"/>
                <w:lang w:val="en-US" w:eastAsia="zh-CN"/>
              </w:rPr>
              <w:t>率</w:t>
            </w:r>
          </w:p>
        </w:tc>
        <w:tc>
          <w:tcPr>
            <w:tcW w:w="773" w:type="dxa"/>
            <w:shd w:val="clear" w:color="auto" w:fill="auto"/>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lang w:val="en-US" w:eastAsia="zh-CN"/>
              </w:rPr>
              <w:t>6</w:t>
            </w:r>
          </w:p>
        </w:tc>
        <w:tc>
          <w:tcPr>
            <w:tcW w:w="3347"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评价</w:t>
            </w:r>
            <w:r>
              <w:rPr>
                <w:rFonts w:hint="eastAsia" w:ascii="仿宋_GB2312" w:hAnsi="仿宋_GB2312" w:eastAsia="仿宋_GB2312" w:cs="仿宋_GB2312"/>
                <w:sz w:val="24"/>
                <w:szCs w:val="24"/>
              </w:rPr>
              <w:t>当年度我单位理论武装</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rPr>
              <w:t>强化</w:t>
            </w:r>
            <w:r>
              <w:rPr>
                <w:rFonts w:hint="eastAsia" w:ascii="仿宋_GB2312" w:hAnsi="仿宋_GB2312" w:eastAsia="仿宋_GB2312" w:cs="仿宋_GB2312"/>
                <w:sz w:val="24"/>
                <w:szCs w:val="24"/>
                <w:lang w:val="en-US" w:eastAsia="zh-CN"/>
              </w:rPr>
              <w:t>情况</w:t>
            </w:r>
            <w:r>
              <w:rPr>
                <w:rFonts w:hint="eastAsia" w:ascii="仿宋_GB2312" w:hAnsi="仿宋_GB2312" w:eastAsia="仿宋_GB2312" w:cs="仿宋_GB2312"/>
                <w:sz w:val="24"/>
                <w:szCs w:val="24"/>
              </w:rPr>
              <w:t>。</w:t>
            </w:r>
          </w:p>
        </w:tc>
        <w:tc>
          <w:tcPr>
            <w:tcW w:w="5905" w:type="dxa"/>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评价要点：</w:t>
            </w:r>
          </w:p>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当年度我单位</w:t>
            </w:r>
            <w:r>
              <w:rPr>
                <w:rFonts w:hint="eastAsia" w:ascii="仿宋_GB2312" w:hAnsi="仿宋_GB2312" w:eastAsia="仿宋_GB2312" w:cs="仿宋_GB2312"/>
                <w:sz w:val="24"/>
                <w:szCs w:val="24"/>
              </w:rPr>
              <w:t>理论武装强化</w:t>
            </w:r>
            <w:r>
              <w:rPr>
                <w:rFonts w:hint="eastAsia" w:ascii="仿宋_GB2312" w:hAnsi="仿宋_GB2312" w:eastAsia="仿宋_GB2312" w:cs="仿宋_GB2312"/>
                <w:sz w:val="24"/>
                <w:szCs w:val="24"/>
                <w:lang w:val="en-US" w:eastAsia="zh-CN"/>
              </w:rPr>
              <w:t>率达到100%</w:t>
            </w:r>
            <w:r>
              <w:rPr>
                <w:rFonts w:hint="eastAsia" w:ascii="仿宋_GB2312" w:hAnsi="仿宋_GB2312" w:eastAsia="仿宋_GB2312" w:cs="仿宋_GB2312"/>
                <w:sz w:val="24"/>
                <w:szCs w:val="24"/>
              </w:rPr>
              <w:t>得权重分满分，每减少1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扣除权重分1%，扣完为止。</w:t>
            </w:r>
          </w:p>
        </w:tc>
        <w:tc>
          <w:tcPr>
            <w:tcW w:w="899" w:type="dxa"/>
            <w:shd w:val="clear" w:color="auto" w:fill="auto"/>
            <w:noWrap/>
            <w:tcMar>
              <w:top w:w="15" w:type="dxa"/>
              <w:left w:w="15" w:type="dxa"/>
              <w:right w:w="15" w:type="dxa"/>
            </w:tcMar>
            <w:vAlign w:val="center"/>
          </w:tcPr>
          <w:p>
            <w:pPr>
              <w:widowControl/>
              <w:spacing w:line="320" w:lineRule="exact"/>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14326" w:type="dxa"/>
            <w:gridSpan w:val="7"/>
            <w:shd w:val="clear" w:color="auto" w:fill="auto"/>
            <w:tcMar>
              <w:top w:w="15" w:type="dxa"/>
              <w:left w:w="15" w:type="dxa"/>
              <w:right w:w="15" w:type="dxa"/>
            </w:tcMar>
            <w:vAlign w:val="center"/>
          </w:tcPr>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合计得分：</w:t>
            </w:r>
            <w:r>
              <w:rPr>
                <w:rFonts w:hint="eastAsia" w:ascii="仿宋_GB2312" w:hAnsi="仿宋_GB2312" w:eastAsia="仿宋_GB2312" w:cs="仿宋_GB2312"/>
                <w:sz w:val="24"/>
                <w:szCs w:val="24"/>
                <w:lang w:val="en-US" w:eastAsia="zh-CN"/>
              </w:rPr>
              <w:t>96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59</w:t>
            </w:r>
            <w:r>
              <w:rPr>
                <w:rFonts w:hint="eastAsia" w:ascii="仿宋_GB2312" w:hAnsi="仿宋_GB2312" w:eastAsia="仿宋_GB2312" w:cs="仿宋_GB2312"/>
                <w:sz w:val="24"/>
                <w:szCs w:val="24"/>
              </w:rPr>
              <w:t>分                 等级为：优</w:t>
            </w:r>
          </w:p>
          <w:p>
            <w:pPr>
              <w:adjustRightInd/>
              <w:snapToGrid/>
              <w:spacing w:line="32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90（含）-100分为优、80（含）-90分为良、60（含）-80分为中、60分以下为差。</w:t>
            </w:r>
          </w:p>
        </w:tc>
      </w:tr>
    </w:tbl>
    <w:p>
      <w:pPr>
        <w:spacing w:line="320" w:lineRule="exact"/>
        <w:ind w:firstLine="0" w:firstLineChars="0"/>
      </w:pPr>
    </w:p>
    <w:sectPr>
      <w:pgSz w:w="16838" w:h="11906" w:orient="landscape"/>
      <w:pgMar w:top="1531" w:right="2041"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86"/>
    <w:family w:val="auto"/>
    <w:pitch w:val="default"/>
    <w:sig w:usb0="00000000" w:usb1="00000000" w:usb2="00000001" w:usb3="00000000" w:csb0="400001BF" w:csb1="DFF7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Adobe 楷体 Std R">
    <w:altName w:val="方正楷体_GBK"/>
    <w:panose1 w:val="00000000000000000000"/>
    <w:charset w:val="86"/>
    <w:family w:val="roman"/>
    <w:pitch w:val="default"/>
    <w:sig w:usb0="00000000" w:usb1="00000000" w:usb2="00000010" w:usb3="00000000" w:csb0="00060007"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640"/>
    </w:pPr>
    <w:r>
      <mc:AlternateContent>
        <mc:Choice Requires="wps">
          <w:drawing>
            <wp:anchor distT="0" distB="0" distL="114300" distR="114300" simplePos="0" relativeHeight="251659264" behindDoc="0" locked="0" layoutInCell="1" allowOverlap="1">
              <wp:simplePos x="0" y="0"/>
              <wp:positionH relativeFrom="margin">
                <wp:posOffset>2618740</wp:posOffset>
              </wp:positionH>
              <wp:positionV relativeFrom="paragraph">
                <wp:posOffset>635</wp:posOffset>
              </wp:positionV>
              <wp:extent cx="981075" cy="1828800"/>
              <wp:effectExtent l="0" t="0" r="9525" b="9525"/>
              <wp:wrapNone/>
              <wp:docPr id="1" name="文本框 1"/>
              <wp:cNvGraphicFramePr/>
              <a:graphic xmlns:a="http://schemas.openxmlformats.org/drawingml/2006/main">
                <a:graphicData uri="http://schemas.microsoft.com/office/word/2010/wordprocessingShape">
                  <wps:wsp>
                    <wps:cNvSpPr txBox="1"/>
                    <wps:spPr>
                      <a:xfrm>
                        <a:off x="0" y="0"/>
                        <a:ext cx="9810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560"/>
                            <w:rPr>
                              <w:rFonts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2</w:t>
                          </w:r>
                          <w:r>
                            <w:rPr>
                              <w:rFonts w:hint="eastAsia" w:ascii="仿宋_GB2312" w:hAnsi="仿宋_GB2312" w:cs="仿宋_GB2312"/>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6.2pt;margin-top:0.05pt;height:144pt;width:77.25pt;mso-position-horizontal-relative:margin;z-index:251659264;mso-width-relative:page;mso-height-relative:page;" filled="f" stroked="f" coordsize="21600,21600" o:gfxdata="UEsFBgAAAAAAAAAAAAAAAAAAAAAAAFBLAwQKAAAAAACHTuJAAAAAAAAAAAAAAAAABAAAAGRycy9Q&#10;SwMEFAAAAAgAh07iQFmTlpfWAAAACAEAAA8AAABkcnMvZG93bnJldi54bWxNj8FOwzAMhu9IvENk&#10;JG4sbTWqUprugGAHONEhxNFr3KbQOFWTdYOnJzvB0fp+//5cbU52FAvNfnCsIF0lIIhbpwfuFbzt&#10;nm4KED4gaxwdk4Jv8rCpLy8qLLU78istTehFLGFfogITwlRK6VtDFv3KTcSRdW62GOI491LPeIzl&#10;dpRZkuTS4sDxgsGJHgy1X83BRo33l8RufzrzYZ+x843ZLdvHT6Wur9LkHkSgU/gLw1k/7kAdnfbu&#10;wNqLUcE6zdYxegYi4ts8vwOxV5AVRQqyruT/B+pfUEsDBBQAAAAIAIdO4kDrTDc1MQIAAFYEAAAO&#10;AAAAZHJzL2Uyb0RvYy54bWytVMtuEzEU3SPxD5b3ZCZBLSHqpAqtgpAiWqkg1o7H0xnJL2wnM+ED&#10;4A9YsWHPd+U7OPbMpKiw6IKNc8f3ec49zsVlpyTZC+cbows6neSUCM1N2ej7gn78sH4xp8QHpksm&#10;jRYFPQhPL5fPn120diFmpjayFI6giPaL1ha0DsEusszzWijmJ8YKDWdlnGIBn+4+Kx1rUV3JbJbn&#10;51lrXGmd4cJ73F73TjpUdE8paKqq4eLa8J0SOvRVnZAsAJKvG+vpMk1bVYKHm6ryIhBZUCAN6UQT&#10;2Nt4ZssLtrh3zNYNH0ZgTxnhESbFGo2mp1LXLDCyc81fpVTDnfGmChNuVNYDSYwAxTR/xM1dzaxI&#10;WEC1tyfS/f8ry9/vbx1pSiiBEs0UFn78/u3449fx51cyjfS01i8QdWcRF7o3pouhw73HZUTdVU7F&#10;X+Ah8IPcw4lc0QXCcfl6Ps1fnVHC4ZrOZ/N5ntjPHrKt8+GtMIpEo6AOy0ucsv3GB3RE6BgSm2mz&#10;bqRMC5SatAU9f3mWp4STBxlSIzFi6GeNVui23QBga8oDcDnTC8Nbvm7QfMN8uGUOSgAUvJVwg6OS&#10;Bk3MYFFSG/flX/cxHguCl5IWyiqo/7xjTlAi32msLspwNNxobEdD79SVgVixDkyTTCS4IEezckZ9&#10;whNaxS5wMc3Rq6BhNK9Cr288QS5WqxQEsVkWNvrO8lg60uftahdAYWI20tJzMbAFuSXCh6cR9fzn&#10;d4p6+Dt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BZk5aX1gAAAAgBAAAPAAAAAAAAAAEAIAAA&#10;ADgAAABkcnMvZG93bnJldi54bWxQSwECFAAUAAAACACHTuJA60w3NTECAABWBAAADgAAAAAAAAAB&#10;ACAAAAA7AQAAZHJzL2Uyb0RvYy54bWxQSwUGAAAAAAYABgBZAQAA3gUAAAAA&#10;">
              <v:fill on="f" focussize="0,0"/>
              <v:stroke on="f" weight="0.5pt"/>
              <v:imagedata o:title=""/>
              <o:lock v:ext="edit" aspectratio="f"/>
              <v:textbox inset="0mm,0mm,0mm,0mm" style="mso-fit-shape-to-text:t;">
                <w:txbxContent>
                  <w:p>
                    <w:pPr>
                      <w:pStyle w:val="11"/>
                      <w:ind w:firstLine="560"/>
                      <w:rPr>
                        <w:rFonts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2</w:t>
                    </w:r>
                    <w:r>
                      <w:rPr>
                        <w:rFonts w:hint="eastAsia" w:ascii="仿宋_GB2312" w:hAnsi="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ind w:firstLine="0" w:firstLineChars="0"/>
      <w:jc w:val="center"/>
      <w:rPr>
        <w:rFonts w:ascii="Calibri" w:hAnsi="Calibri" w:eastAsia="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2NjQ4MDA5ZmIzMjk5MjYzZjliZWFkZjM0ZjQ0ZTkifQ=="/>
  </w:docVars>
  <w:rsids>
    <w:rsidRoot w:val="00CA01A3"/>
    <w:rsid w:val="00013D68"/>
    <w:rsid w:val="000267A8"/>
    <w:rsid w:val="000463AB"/>
    <w:rsid w:val="0009317C"/>
    <w:rsid w:val="00096C00"/>
    <w:rsid w:val="000A7513"/>
    <w:rsid w:val="0011477B"/>
    <w:rsid w:val="00137BF3"/>
    <w:rsid w:val="0014032F"/>
    <w:rsid w:val="001470F9"/>
    <w:rsid w:val="001620FD"/>
    <w:rsid w:val="0016351F"/>
    <w:rsid w:val="00181B7B"/>
    <w:rsid w:val="00196F96"/>
    <w:rsid w:val="001A57A0"/>
    <w:rsid w:val="001B6D30"/>
    <w:rsid w:val="001C58FF"/>
    <w:rsid w:val="001C7892"/>
    <w:rsid w:val="001F22C8"/>
    <w:rsid w:val="002039A5"/>
    <w:rsid w:val="00216BAE"/>
    <w:rsid w:val="00226D7A"/>
    <w:rsid w:val="00227F8F"/>
    <w:rsid w:val="00237E7C"/>
    <w:rsid w:val="002563D9"/>
    <w:rsid w:val="002A1E16"/>
    <w:rsid w:val="002B32EE"/>
    <w:rsid w:val="002B4AE5"/>
    <w:rsid w:val="002C00F9"/>
    <w:rsid w:val="002D14B6"/>
    <w:rsid w:val="002D2241"/>
    <w:rsid w:val="002F36DD"/>
    <w:rsid w:val="0031139E"/>
    <w:rsid w:val="00324D55"/>
    <w:rsid w:val="003255E2"/>
    <w:rsid w:val="00325703"/>
    <w:rsid w:val="0033286C"/>
    <w:rsid w:val="0033345A"/>
    <w:rsid w:val="00341C1B"/>
    <w:rsid w:val="00345A0F"/>
    <w:rsid w:val="00345A5B"/>
    <w:rsid w:val="00351EEC"/>
    <w:rsid w:val="00353F49"/>
    <w:rsid w:val="00374069"/>
    <w:rsid w:val="00386582"/>
    <w:rsid w:val="00386D38"/>
    <w:rsid w:val="0039159F"/>
    <w:rsid w:val="003A37FD"/>
    <w:rsid w:val="003B2474"/>
    <w:rsid w:val="003C2BEA"/>
    <w:rsid w:val="003F21D4"/>
    <w:rsid w:val="004251F7"/>
    <w:rsid w:val="00430524"/>
    <w:rsid w:val="00436142"/>
    <w:rsid w:val="00466056"/>
    <w:rsid w:val="00493345"/>
    <w:rsid w:val="004B2317"/>
    <w:rsid w:val="004B6563"/>
    <w:rsid w:val="005032E6"/>
    <w:rsid w:val="00504FA5"/>
    <w:rsid w:val="00527CB5"/>
    <w:rsid w:val="00531E4D"/>
    <w:rsid w:val="00552ADB"/>
    <w:rsid w:val="005A61E0"/>
    <w:rsid w:val="005C0399"/>
    <w:rsid w:val="005D3A75"/>
    <w:rsid w:val="006223BA"/>
    <w:rsid w:val="00642F22"/>
    <w:rsid w:val="00665F96"/>
    <w:rsid w:val="006829E2"/>
    <w:rsid w:val="006B0583"/>
    <w:rsid w:val="006C08C0"/>
    <w:rsid w:val="006E764A"/>
    <w:rsid w:val="006F3ED8"/>
    <w:rsid w:val="00740314"/>
    <w:rsid w:val="0074126B"/>
    <w:rsid w:val="00741931"/>
    <w:rsid w:val="00781CD1"/>
    <w:rsid w:val="007B0DA0"/>
    <w:rsid w:val="007B3CA7"/>
    <w:rsid w:val="007C4628"/>
    <w:rsid w:val="007D4963"/>
    <w:rsid w:val="007E2748"/>
    <w:rsid w:val="007F284C"/>
    <w:rsid w:val="008250DF"/>
    <w:rsid w:val="00825DAE"/>
    <w:rsid w:val="0083403B"/>
    <w:rsid w:val="00834F02"/>
    <w:rsid w:val="008457BB"/>
    <w:rsid w:val="00866EDA"/>
    <w:rsid w:val="00867D30"/>
    <w:rsid w:val="00867F87"/>
    <w:rsid w:val="008C2FDA"/>
    <w:rsid w:val="008C473D"/>
    <w:rsid w:val="008E31B9"/>
    <w:rsid w:val="008F0D04"/>
    <w:rsid w:val="008F49D2"/>
    <w:rsid w:val="00907D9F"/>
    <w:rsid w:val="009164F2"/>
    <w:rsid w:val="00920009"/>
    <w:rsid w:val="00935023"/>
    <w:rsid w:val="009457D5"/>
    <w:rsid w:val="009533B5"/>
    <w:rsid w:val="00974605"/>
    <w:rsid w:val="00976E59"/>
    <w:rsid w:val="009A143D"/>
    <w:rsid w:val="009E1233"/>
    <w:rsid w:val="009F43DF"/>
    <w:rsid w:val="009F4E02"/>
    <w:rsid w:val="00A439C8"/>
    <w:rsid w:val="00A6342C"/>
    <w:rsid w:val="00A63DA6"/>
    <w:rsid w:val="00A713D4"/>
    <w:rsid w:val="00A806F4"/>
    <w:rsid w:val="00A83EB7"/>
    <w:rsid w:val="00A86EC3"/>
    <w:rsid w:val="00AC3E91"/>
    <w:rsid w:val="00AE4981"/>
    <w:rsid w:val="00AE5A0F"/>
    <w:rsid w:val="00AE6DE9"/>
    <w:rsid w:val="00AF5610"/>
    <w:rsid w:val="00B065BF"/>
    <w:rsid w:val="00B150EF"/>
    <w:rsid w:val="00B63618"/>
    <w:rsid w:val="00B84E63"/>
    <w:rsid w:val="00BA71DC"/>
    <w:rsid w:val="00BC7237"/>
    <w:rsid w:val="00BD2AE7"/>
    <w:rsid w:val="00BE0E8E"/>
    <w:rsid w:val="00BE1196"/>
    <w:rsid w:val="00BE226F"/>
    <w:rsid w:val="00BE5879"/>
    <w:rsid w:val="00BF308C"/>
    <w:rsid w:val="00C12DC6"/>
    <w:rsid w:val="00C13BC2"/>
    <w:rsid w:val="00C24251"/>
    <w:rsid w:val="00C251F0"/>
    <w:rsid w:val="00C4204C"/>
    <w:rsid w:val="00C4279C"/>
    <w:rsid w:val="00C55EE5"/>
    <w:rsid w:val="00C61CCE"/>
    <w:rsid w:val="00CA01A3"/>
    <w:rsid w:val="00CA0DA9"/>
    <w:rsid w:val="00CB4B87"/>
    <w:rsid w:val="00CB506D"/>
    <w:rsid w:val="00CC0D13"/>
    <w:rsid w:val="00CC7E1A"/>
    <w:rsid w:val="00CD78CA"/>
    <w:rsid w:val="00D16F3D"/>
    <w:rsid w:val="00D171CB"/>
    <w:rsid w:val="00D32C9A"/>
    <w:rsid w:val="00D337CC"/>
    <w:rsid w:val="00D34F1B"/>
    <w:rsid w:val="00D4091F"/>
    <w:rsid w:val="00D41B8F"/>
    <w:rsid w:val="00D556A2"/>
    <w:rsid w:val="00D57D55"/>
    <w:rsid w:val="00D65D87"/>
    <w:rsid w:val="00D908B5"/>
    <w:rsid w:val="00D91C7F"/>
    <w:rsid w:val="00DB4823"/>
    <w:rsid w:val="00DC53EE"/>
    <w:rsid w:val="00DD3882"/>
    <w:rsid w:val="00DE1831"/>
    <w:rsid w:val="00DF5F92"/>
    <w:rsid w:val="00DF6FD4"/>
    <w:rsid w:val="00E04D96"/>
    <w:rsid w:val="00E059F3"/>
    <w:rsid w:val="00E2350E"/>
    <w:rsid w:val="00E242D6"/>
    <w:rsid w:val="00E51DAF"/>
    <w:rsid w:val="00E62C5C"/>
    <w:rsid w:val="00E772C1"/>
    <w:rsid w:val="00E80D80"/>
    <w:rsid w:val="00E93BA9"/>
    <w:rsid w:val="00E93C11"/>
    <w:rsid w:val="00E949AB"/>
    <w:rsid w:val="00EB3F4D"/>
    <w:rsid w:val="00EF15DC"/>
    <w:rsid w:val="00EF5C10"/>
    <w:rsid w:val="00F0748E"/>
    <w:rsid w:val="00F1261C"/>
    <w:rsid w:val="00F227A0"/>
    <w:rsid w:val="00F375BB"/>
    <w:rsid w:val="00F411B1"/>
    <w:rsid w:val="00F44137"/>
    <w:rsid w:val="00F756AA"/>
    <w:rsid w:val="00FA591D"/>
    <w:rsid w:val="00FF1475"/>
    <w:rsid w:val="012873E0"/>
    <w:rsid w:val="012C0987"/>
    <w:rsid w:val="01411607"/>
    <w:rsid w:val="01593FAB"/>
    <w:rsid w:val="01676520"/>
    <w:rsid w:val="01701A6F"/>
    <w:rsid w:val="017C168A"/>
    <w:rsid w:val="01897CD9"/>
    <w:rsid w:val="01AC3B62"/>
    <w:rsid w:val="01BA755E"/>
    <w:rsid w:val="01BC2275"/>
    <w:rsid w:val="01BF12D3"/>
    <w:rsid w:val="01CC635E"/>
    <w:rsid w:val="01DC75CC"/>
    <w:rsid w:val="02067828"/>
    <w:rsid w:val="020A42C2"/>
    <w:rsid w:val="020E7E2D"/>
    <w:rsid w:val="021855EF"/>
    <w:rsid w:val="02194A7E"/>
    <w:rsid w:val="022A7968"/>
    <w:rsid w:val="027C52BB"/>
    <w:rsid w:val="02824BF8"/>
    <w:rsid w:val="02A6002A"/>
    <w:rsid w:val="02FF623D"/>
    <w:rsid w:val="03254239"/>
    <w:rsid w:val="032E0321"/>
    <w:rsid w:val="034B7E4B"/>
    <w:rsid w:val="036E5B30"/>
    <w:rsid w:val="03810ABC"/>
    <w:rsid w:val="038A1428"/>
    <w:rsid w:val="039E12C4"/>
    <w:rsid w:val="03A42B51"/>
    <w:rsid w:val="03A86809"/>
    <w:rsid w:val="03B60271"/>
    <w:rsid w:val="03F36A6A"/>
    <w:rsid w:val="0411592A"/>
    <w:rsid w:val="04156078"/>
    <w:rsid w:val="043810A3"/>
    <w:rsid w:val="044743D0"/>
    <w:rsid w:val="046352DA"/>
    <w:rsid w:val="046F5E76"/>
    <w:rsid w:val="049E7BD0"/>
    <w:rsid w:val="04AD6777"/>
    <w:rsid w:val="04C2108A"/>
    <w:rsid w:val="04E26333"/>
    <w:rsid w:val="04EB05D8"/>
    <w:rsid w:val="04EF00E8"/>
    <w:rsid w:val="04F31120"/>
    <w:rsid w:val="04F31B75"/>
    <w:rsid w:val="04FA2CC7"/>
    <w:rsid w:val="05131AA3"/>
    <w:rsid w:val="052909B5"/>
    <w:rsid w:val="052E3778"/>
    <w:rsid w:val="05304A2B"/>
    <w:rsid w:val="05412A0A"/>
    <w:rsid w:val="05510AB4"/>
    <w:rsid w:val="0557674E"/>
    <w:rsid w:val="057B2BC5"/>
    <w:rsid w:val="058D0A6F"/>
    <w:rsid w:val="059D3729"/>
    <w:rsid w:val="05A44EB6"/>
    <w:rsid w:val="05A831AA"/>
    <w:rsid w:val="05B15161"/>
    <w:rsid w:val="05B96FE3"/>
    <w:rsid w:val="05BD54E4"/>
    <w:rsid w:val="05D53DB4"/>
    <w:rsid w:val="05E33BA2"/>
    <w:rsid w:val="05EC2156"/>
    <w:rsid w:val="05F54F6E"/>
    <w:rsid w:val="05FE54FA"/>
    <w:rsid w:val="061923CE"/>
    <w:rsid w:val="062555A0"/>
    <w:rsid w:val="062B4F44"/>
    <w:rsid w:val="062D185E"/>
    <w:rsid w:val="063C7FF6"/>
    <w:rsid w:val="064A7C4F"/>
    <w:rsid w:val="064B6CBD"/>
    <w:rsid w:val="06550F72"/>
    <w:rsid w:val="065E064D"/>
    <w:rsid w:val="06644CB2"/>
    <w:rsid w:val="06715358"/>
    <w:rsid w:val="068348AA"/>
    <w:rsid w:val="06936BFB"/>
    <w:rsid w:val="06A82A55"/>
    <w:rsid w:val="06B86C80"/>
    <w:rsid w:val="06C3221E"/>
    <w:rsid w:val="06CD1824"/>
    <w:rsid w:val="073766EA"/>
    <w:rsid w:val="073A7CFC"/>
    <w:rsid w:val="074A1F03"/>
    <w:rsid w:val="074C68F0"/>
    <w:rsid w:val="075E687F"/>
    <w:rsid w:val="07894DC9"/>
    <w:rsid w:val="07A2095C"/>
    <w:rsid w:val="07AC5155"/>
    <w:rsid w:val="07B40D8C"/>
    <w:rsid w:val="07B968B7"/>
    <w:rsid w:val="08181087"/>
    <w:rsid w:val="083E7307"/>
    <w:rsid w:val="0846157D"/>
    <w:rsid w:val="08472497"/>
    <w:rsid w:val="084F1E7A"/>
    <w:rsid w:val="085A0D32"/>
    <w:rsid w:val="086D61BC"/>
    <w:rsid w:val="08830FFE"/>
    <w:rsid w:val="089822FA"/>
    <w:rsid w:val="08A77FC2"/>
    <w:rsid w:val="08AB6721"/>
    <w:rsid w:val="08AB6733"/>
    <w:rsid w:val="08AF294E"/>
    <w:rsid w:val="08B5697A"/>
    <w:rsid w:val="08C22AF4"/>
    <w:rsid w:val="08C85220"/>
    <w:rsid w:val="08CF6373"/>
    <w:rsid w:val="08D718D4"/>
    <w:rsid w:val="08FE1BC7"/>
    <w:rsid w:val="08FF4074"/>
    <w:rsid w:val="09120E2B"/>
    <w:rsid w:val="09150D46"/>
    <w:rsid w:val="092F6A2E"/>
    <w:rsid w:val="09350E7E"/>
    <w:rsid w:val="09562C79"/>
    <w:rsid w:val="097B292C"/>
    <w:rsid w:val="097C2A88"/>
    <w:rsid w:val="098018F9"/>
    <w:rsid w:val="09991F47"/>
    <w:rsid w:val="09DA5FE0"/>
    <w:rsid w:val="09F57405"/>
    <w:rsid w:val="0A597EAA"/>
    <w:rsid w:val="0A624C18"/>
    <w:rsid w:val="0A817FB6"/>
    <w:rsid w:val="0A8C7A7D"/>
    <w:rsid w:val="0A8D1ABF"/>
    <w:rsid w:val="0A9B22D6"/>
    <w:rsid w:val="0AE132C2"/>
    <w:rsid w:val="0AE63424"/>
    <w:rsid w:val="0AEC3924"/>
    <w:rsid w:val="0AF2459F"/>
    <w:rsid w:val="0B10029D"/>
    <w:rsid w:val="0B14240C"/>
    <w:rsid w:val="0B2F2568"/>
    <w:rsid w:val="0B365421"/>
    <w:rsid w:val="0B3A79C4"/>
    <w:rsid w:val="0B89710A"/>
    <w:rsid w:val="0B9F48D8"/>
    <w:rsid w:val="0BA64653"/>
    <w:rsid w:val="0BBB56C0"/>
    <w:rsid w:val="0BCB51D1"/>
    <w:rsid w:val="0BF706F4"/>
    <w:rsid w:val="0C2F7368"/>
    <w:rsid w:val="0C3B3C80"/>
    <w:rsid w:val="0C3F0447"/>
    <w:rsid w:val="0C467E46"/>
    <w:rsid w:val="0C51597A"/>
    <w:rsid w:val="0C5B2ABF"/>
    <w:rsid w:val="0C716EA5"/>
    <w:rsid w:val="0C7C7780"/>
    <w:rsid w:val="0C9120AD"/>
    <w:rsid w:val="0CAD42A1"/>
    <w:rsid w:val="0CB564D5"/>
    <w:rsid w:val="0CCB4E3B"/>
    <w:rsid w:val="0CE40E33"/>
    <w:rsid w:val="0CF03EE2"/>
    <w:rsid w:val="0D040742"/>
    <w:rsid w:val="0D075BF0"/>
    <w:rsid w:val="0D160EA6"/>
    <w:rsid w:val="0D39790D"/>
    <w:rsid w:val="0D5530D0"/>
    <w:rsid w:val="0D5F339D"/>
    <w:rsid w:val="0D817D72"/>
    <w:rsid w:val="0D941165"/>
    <w:rsid w:val="0D983F0E"/>
    <w:rsid w:val="0DA721AE"/>
    <w:rsid w:val="0DAA7870"/>
    <w:rsid w:val="0DAB1BAC"/>
    <w:rsid w:val="0DCE1484"/>
    <w:rsid w:val="0DD01694"/>
    <w:rsid w:val="0DD704BD"/>
    <w:rsid w:val="0DDA3976"/>
    <w:rsid w:val="0DE54166"/>
    <w:rsid w:val="0DF83D06"/>
    <w:rsid w:val="0E0B4AFD"/>
    <w:rsid w:val="0E1A20E9"/>
    <w:rsid w:val="0E294B7B"/>
    <w:rsid w:val="0E385B26"/>
    <w:rsid w:val="0E545073"/>
    <w:rsid w:val="0E7846A9"/>
    <w:rsid w:val="0E796708"/>
    <w:rsid w:val="0E7A6487"/>
    <w:rsid w:val="0E8E0C56"/>
    <w:rsid w:val="0E912B11"/>
    <w:rsid w:val="0E9616F1"/>
    <w:rsid w:val="0EAE58E1"/>
    <w:rsid w:val="0EB05584"/>
    <w:rsid w:val="0EB96BD9"/>
    <w:rsid w:val="0EC658EC"/>
    <w:rsid w:val="0EE97D7A"/>
    <w:rsid w:val="0EEC5CD8"/>
    <w:rsid w:val="0F0073EA"/>
    <w:rsid w:val="0F161E35"/>
    <w:rsid w:val="0F1666F2"/>
    <w:rsid w:val="0F166DCD"/>
    <w:rsid w:val="0F316767"/>
    <w:rsid w:val="0F456FCF"/>
    <w:rsid w:val="0F61317E"/>
    <w:rsid w:val="0F7F3116"/>
    <w:rsid w:val="0F8C55B5"/>
    <w:rsid w:val="0FA70623"/>
    <w:rsid w:val="0FE61B0C"/>
    <w:rsid w:val="0FF0418A"/>
    <w:rsid w:val="100819CE"/>
    <w:rsid w:val="100D4DF5"/>
    <w:rsid w:val="100E55CE"/>
    <w:rsid w:val="101F58C9"/>
    <w:rsid w:val="102A55B9"/>
    <w:rsid w:val="102F14D2"/>
    <w:rsid w:val="10422F5B"/>
    <w:rsid w:val="10423A34"/>
    <w:rsid w:val="10597E54"/>
    <w:rsid w:val="106F4E44"/>
    <w:rsid w:val="1080185A"/>
    <w:rsid w:val="108C22B9"/>
    <w:rsid w:val="10C341B7"/>
    <w:rsid w:val="10D47942"/>
    <w:rsid w:val="11032685"/>
    <w:rsid w:val="110D2BAD"/>
    <w:rsid w:val="112B579C"/>
    <w:rsid w:val="113B7322"/>
    <w:rsid w:val="114F7F2F"/>
    <w:rsid w:val="11564F16"/>
    <w:rsid w:val="116A4FC3"/>
    <w:rsid w:val="117E4F26"/>
    <w:rsid w:val="119B1586"/>
    <w:rsid w:val="11C13242"/>
    <w:rsid w:val="11C27EA7"/>
    <w:rsid w:val="11E2047D"/>
    <w:rsid w:val="11FD3488"/>
    <w:rsid w:val="11FE527B"/>
    <w:rsid w:val="12072B29"/>
    <w:rsid w:val="12152094"/>
    <w:rsid w:val="125A2F53"/>
    <w:rsid w:val="125C34B3"/>
    <w:rsid w:val="12726CC1"/>
    <w:rsid w:val="127E37DF"/>
    <w:rsid w:val="12844900"/>
    <w:rsid w:val="12893580"/>
    <w:rsid w:val="129D0095"/>
    <w:rsid w:val="12D209C3"/>
    <w:rsid w:val="12D43D75"/>
    <w:rsid w:val="12E25033"/>
    <w:rsid w:val="12ED01C8"/>
    <w:rsid w:val="12F038DB"/>
    <w:rsid w:val="12F31D70"/>
    <w:rsid w:val="130A6672"/>
    <w:rsid w:val="13261ED5"/>
    <w:rsid w:val="13277D25"/>
    <w:rsid w:val="13354857"/>
    <w:rsid w:val="136777DA"/>
    <w:rsid w:val="136E05B3"/>
    <w:rsid w:val="1375132B"/>
    <w:rsid w:val="13765D6E"/>
    <w:rsid w:val="137B51D0"/>
    <w:rsid w:val="139139F8"/>
    <w:rsid w:val="13A473FD"/>
    <w:rsid w:val="13B1255C"/>
    <w:rsid w:val="13CF6F87"/>
    <w:rsid w:val="13E64319"/>
    <w:rsid w:val="13EC28EF"/>
    <w:rsid w:val="13FE3AD8"/>
    <w:rsid w:val="1401413F"/>
    <w:rsid w:val="146D3253"/>
    <w:rsid w:val="147472A1"/>
    <w:rsid w:val="14B22914"/>
    <w:rsid w:val="14B56BEA"/>
    <w:rsid w:val="14D0370A"/>
    <w:rsid w:val="14D80CAF"/>
    <w:rsid w:val="1528251A"/>
    <w:rsid w:val="15413A1D"/>
    <w:rsid w:val="15547AB6"/>
    <w:rsid w:val="15723A02"/>
    <w:rsid w:val="1588002F"/>
    <w:rsid w:val="159F27CA"/>
    <w:rsid w:val="15A57378"/>
    <w:rsid w:val="15E31C32"/>
    <w:rsid w:val="15EE79B2"/>
    <w:rsid w:val="15FA3F6A"/>
    <w:rsid w:val="15FE4F93"/>
    <w:rsid w:val="160105A1"/>
    <w:rsid w:val="16074FF9"/>
    <w:rsid w:val="160D2BC5"/>
    <w:rsid w:val="162B4D68"/>
    <w:rsid w:val="16312245"/>
    <w:rsid w:val="163143C0"/>
    <w:rsid w:val="16497E19"/>
    <w:rsid w:val="166C2175"/>
    <w:rsid w:val="166C4350"/>
    <w:rsid w:val="16A2302B"/>
    <w:rsid w:val="16C15FF1"/>
    <w:rsid w:val="16C41137"/>
    <w:rsid w:val="16D0666A"/>
    <w:rsid w:val="16DF354C"/>
    <w:rsid w:val="16E77A12"/>
    <w:rsid w:val="16EE095B"/>
    <w:rsid w:val="170B6684"/>
    <w:rsid w:val="17156DCC"/>
    <w:rsid w:val="171946F8"/>
    <w:rsid w:val="1723579C"/>
    <w:rsid w:val="172C543E"/>
    <w:rsid w:val="17316A87"/>
    <w:rsid w:val="17466190"/>
    <w:rsid w:val="174E08F8"/>
    <w:rsid w:val="175B5656"/>
    <w:rsid w:val="176700A2"/>
    <w:rsid w:val="178E44E6"/>
    <w:rsid w:val="179A5194"/>
    <w:rsid w:val="179F0740"/>
    <w:rsid w:val="17B95FCA"/>
    <w:rsid w:val="17C705F4"/>
    <w:rsid w:val="17CC4BF0"/>
    <w:rsid w:val="17CF713B"/>
    <w:rsid w:val="17E210D4"/>
    <w:rsid w:val="18347B2F"/>
    <w:rsid w:val="184B5976"/>
    <w:rsid w:val="1853787B"/>
    <w:rsid w:val="18765576"/>
    <w:rsid w:val="188A1C54"/>
    <w:rsid w:val="188B3E01"/>
    <w:rsid w:val="18972C2E"/>
    <w:rsid w:val="18A675FE"/>
    <w:rsid w:val="18BA672F"/>
    <w:rsid w:val="18C0510B"/>
    <w:rsid w:val="18C63922"/>
    <w:rsid w:val="18D82962"/>
    <w:rsid w:val="18ED6394"/>
    <w:rsid w:val="18F02CE9"/>
    <w:rsid w:val="191C0B5A"/>
    <w:rsid w:val="191E0AE8"/>
    <w:rsid w:val="1932370C"/>
    <w:rsid w:val="1932501E"/>
    <w:rsid w:val="19374F77"/>
    <w:rsid w:val="193A0748"/>
    <w:rsid w:val="193A6755"/>
    <w:rsid w:val="19421ECA"/>
    <w:rsid w:val="19555441"/>
    <w:rsid w:val="195F41CA"/>
    <w:rsid w:val="196F7FA0"/>
    <w:rsid w:val="199B1277"/>
    <w:rsid w:val="19D54EA3"/>
    <w:rsid w:val="19DB1DAE"/>
    <w:rsid w:val="19E42BC1"/>
    <w:rsid w:val="19ED5BF2"/>
    <w:rsid w:val="1A466373"/>
    <w:rsid w:val="1A656122"/>
    <w:rsid w:val="1A9E7138"/>
    <w:rsid w:val="1AAA2986"/>
    <w:rsid w:val="1AC67CF0"/>
    <w:rsid w:val="1B202B51"/>
    <w:rsid w:val="1B21263F"/>
    <w:rsid w:val="1B370069"/>
    <w:rsid w:val="1B4C31D2"/>
    <w:rsid w:val="1B4D46B2"/>
    <w:rsid w:val="1B595EDD"/>
    <w:rsid w:val="1B7A0CF3"/>
    <w:rsid w:val="1B8E303C"/>
    <w:rsid w:val="1BB35623"/>
    <w:rsid w:val="1BCE7E47"/>
    <w:rsid w:val="1BDD4E64"/>
    <w:rsid w:val="1BE2784E"/>
    <w:rsid w:val="1BEA024B"/>
    <w:rsid w:val="1BFF1268"/>
    <w:rsid w:val="1C0C7E1B"/>
    <w:rsid w:val="1C245008"/>
    <w:rsid w:val="1C2710C1"/>
    <w:rsid w:val="1C7B78A2"/>
    <w:rsid w:val="1C9359C6"/>
    <w:rsid w:val="1C95239E"/>
    <w:rsid w:val="1CB71DA1"/>
    <w:rsid w:val="1CBC62F6"/>
    <w:rsid w:val="1CE27243"/>
    <w:rsid w:val="1CEF202F"/>
    <w:rsid w:val="1CF675F6"/>
    <w:rsid w:val="1D0B4105"/>
    <w:rsid w:val="1D110683"/>
    <w:rsid w:val="1D257705"/>
    <w:rsid w:val="1D4C7B05"/>
    <w:rsid w:val="1D5D0700"/>
    <w:rsid w:val="1D730675"/>
    <w:rsid w:val="1D845DCF"/>
    <w:rsid w:val="1D8C4CAE"/>
    <w:rsid w:val="1DCF4FCC"/>
    <w:rsid w:val="1DE87BB6"/>
    <w:rsid w:val="1DF91F74"/>
    <w:rsid w:val="1E037A02"/>
    <w:rsid w:val="1E056BA6"/>
    <w:rsid w:val="1E1532AC"/>
    <w:rsid w:val="1E267A6F"/>
    <w:rsid w:val="1E2C1375"/>
    <w:rsid w:val="1E3853F0"/>
    <w:rsid w:val="1E460E05"/>
    <w:rsid w:val="1E4974E1"/>
    <w:rsid w:val="1E5720D6"/>
    <w:rsid w:val="1E591DF6"/>
    <w:rsid w:val="1E731E62"/>
    <w:rsid w:val="1E7F3BFF"/>
    <w:rsid w:val="1E871B09"/>
    <w:rsid w:val="1E875420"/>
    <w:rsid w:val="1EA769E7"/>
    <w:rsid w:val="1EAB23C4"/>
    <w:rsid w:val="1EAB6E52"/>
    <w:rsid w:val="1EAE6D9A"/>
    <w:rsid w:val="1EB0066D"/>
    <w:rsid w:val="1EB746F7"/>
    <w:rsid w:val="1EB83BC1"/>
    <w:rsid w:val="1EC575D3"/>
    <w:rsid w:val="1EE57527"/>
    <w:rsid w:val="1EEC7EAC"/>
    <w:rsid w:val="1F025520"/>
    <w:rsid w:val="1F2B1E0E"/>
    <w:rsid w:val="1F2E1AA8"/>
    <w:rsid w:val="1F2F3400"/>
    <w:rsid w:val="1F3B636C"/>
    <w:rsid w:val="1F3F5A8C"/>
    <w:rsid w:val="1F573A4A"/>
    <w:rsid w:val="1F587735"/>
    <w:rsid w:val="1F647376"/>
    <w:rsid w:val="1F715F96"/>
    <w:rsid w:val="1F7E004F"/>
    <w:rsid w:val="1FB26626"/>
    <w:rsid w:val="1FC30BFC"/>
    <w:rsid w:val="1FE03D5A"/>
    <w:rsid w:val="1FE269DB"/>
    <w:rsid w:val="1FE54FC7"/>
    <w:rsid w:val="1FE77F7B"/>
    <w:rsid w:val="1FF64400"/>
    <w:rsid w:val="201474F9"/>
    <w:rsid w:val="20166336"/>
    <w:rsid w:val="20231592"/>
    <w:rsid w:val="2033270B"/>
    <w:rsid w:val="204617F1"/>
    <w:rsid w:val="20492437"/>
    <w:rsid w:val="20543079"/>
    <w:rsid w:val="206B4E26"/>
    <w:rsid w:val="20D82551"/>
    <w:rsid w:val="20E73EDF"/>
    <w:rsid w:val="212D4308"/>
    <w:rsid w:val="2130355C"/>
    <w:rsid w:val="21354D69"/>
    <w:rsid w:val="213C7493"/>
    <w:rsid w:val="21495735"/>
    <w:rsid w:val="21870B95"/>
    <w:rsid w:val="21B04306"/>
    <w:rsid w:val="21BA4E3B"/>
    <w:rsid w:val="21C32510"/>
    <w:rsid w:val="21D81730"/>
    <w:rsid w:val="21E96570"/>
    <w:rsid w:val="21E97562"/>
    <w:rsid w:val="21F90255"/>
    <w:rsid w:val="21FE7A6F"/>
    <w:rsid w:val="220C05E6"/>
    <w:rsid w:val="22120C44"/>
    <w:rsid w:val="22140A49"/>
    <w:rsid w:val="22231553"/>
    <w:rsid w:val="22267EC3"/>
    <w:rsid w:val="222B582E"/>
    <w:rsid w:val="22356090"/>
    <w:rsid w:val="224A2C6C"/>
    <w:rsid w:val="224E79F6"/>
    <w:rsid w:val="2253068A"/>
    <w:rsid w:val="225E400E"/>
    <w:rsid w:val="22624D74"/>
    <w:rsid w:val="228C44E0"/>
    <w:rsid w:val="22A051FD"/>
    <w:rsid w:val="22A9586B"/>
    <w:rsid w:val="22BB35F2"/>
    <w:rsid w:val="22BB729B"/>
    <w:rsid w:val="22D52B50"/>
    <w:rsid w:val="22D74F00"/>
    <w:rsid w:val="22F14523"/>
    <w:rsid w:val="22FB4101"/>
    <w:rsid w:val="230B4842"/>
    <w:rsid w:val="231D0A9E"/>
    <w:rsid w:val="23396A05"/>
    <w:rsid w:val="233C198F"/>
    <w:rsid w:val="2348670C"/>
    <w:rsid w:val="2360102D"/>
    <w:rsid w:val="236304FD"/>
    <w:rsid w:val="23646812"/>
    <w:rsid w:val="237A71DE"/>
    <w:rsid w:val="2380031E"/>
    <w:rsid w:val="238463F5"/>
    <w:rsid w:val="23993BA3"/>
    <w:rsid w:val="23A36B30"/>
    <w:rsid w:val="23B72BD7"/>
    <w:rsid w:val="23BF7188"/>
    <w:rsid w:val="23CA10B4"/>
    <w:rsid w:val="23D06D3B"/>
    <w:rsid w:val="23E22775"/>
    <w:rsid w:val="23F27F70"/>
    <w:rsid w:val="241349EE"/>
    <w:rsid w:val="24272523"/>
    <w:rsid w:val="242739DE"/>
    <w:rsid w:val="244A6193"/>
    <w:rsid w:val="244F3407"/>
    <w:rsid w:val="245F6775"/>
    <w:rsid w:val="247127B2"/>
    <w:rsid w:val="247319B9"/>
    <w:rsid w:val="247C1DA2"/>
    <w:rsid w:val="248613D4"/>
    <w:rsid w:val="249A23D0"/>
    <w:rsid w:val="24A74DEF"/>
    <w:rsid w:val="24A91C86"/>
    <w:rsid w:val="24B824F4"/>
    <w:rsid w:val="24BD218A"/>
    <w:rsid w:val="24BF239E"/>
    <w:rsid w:val="24C06E8C"/>
    <w:rsid w:val="24CE5DAE"/>
    <w:rsid w:val="24E25F74"/>
    <w:rsid w:val="24F76A28"/>
    <w:rsid w:val="251A740A"/>
    <w:rsid w:val="25341E06"/>
    <w:rsid w:val="25545D27"/>
    <w:rsid w:val="25560F52"/>
    <w:rsid w:val="2562397B"/>
    <w:rsid w:val="256A711C"/>
    <w:rsid w:val="25716C9B"/>
    <w:rsid w:val="25771EBE"/>
    <w:rsid w:val="259041AD"/>
    <w:rsid w:val="259D1DEB"/>
    <w:rsid w:val="259D4E61"/>
    <w:rsid w:val="25A65F0B"/>
    <w:rsid w:val="260857CB"/>
    <w:rsid w:val="261A224A"/>
    <w:rsid w:val="26661540"/>
    <w:rsid w:val="267F78F8"/>
    <w:rsid w:val="269C6E58"/>
    <w:rsid w:val="26BF4CEF"/>
    <w:rsid w:val="26D870C4"/>
    <w:rsid w:val="26D9210A"/>
    <w:rsid w:val="26E1328E"/>
    <w:rsid w:val="26F17413"/>
    <w:rsid w:val="26FC62B1"/>
    <w:rsid w:val="270229DC"/>
    <w:rsid w:val="27142478"/>
    <w:rsid w:val="2715134F"/>
    <w:rsid w:val="27215D41"/>
    <w:rsid w:val="27447495"/>
    <w:rsid w:val="274D1CE6"/>
    <w:rsid w:val="27581EAF"/>
    <w:rsid w:val="27593E96"/>
    <w:rsid w:val="277233CC"/>
    <w:rsid w:val="277A1B0D"/>
    <w:rsid w:val="27A73E97"/>
    <w:rsid w:val="27AC6863"/>
    <w:rsid w:val="27CF1B1E"/>
    <w:rsid w:val="27E03532"/>
    <w:rsid w:val="27F07E0B"/>
    <w:rsid w:val="27F7724F"/>
    <w:rsid w:val="282A19B6"/>
    <w:rsid w:val="28442C40"/>
    <w:rsid w:val="285B143F"/>
    <w:rsid w:val="286F7923"/>
    <w:rsid w:val="289D1E29"/>
    <w:rsid w:val="289F259D"/>
    <w:rsid w:val="28A95510"/>
    <w:rsid w:val="28B41313"/>
    <w:rsid w:val="28EE1AC0"/>
    <w:rsid w:val="28F135B1"/>
    <w:rsid w:val="28FF3ACE"/>
    <w:rsid w:val="29020D47"/>
    <w:rsid w:val="29030D90"/>
    <w:rsid w:val="29203254"/>
    <w:rsid w:val="293945B9"/>
    <w:rsid w:val="294E4202"/>
    <w:rsid w:val="29587810"/>
    <w:rsid w:val="29646265"/>
    <w:rsid w:val="298771A2"/>
    <w:rsid w:val="29A862F4"/>
    <w:rsid w:val="29AD65E9"/>
    <w:rsid w:val="2A1F423A"/>
    <w:rsid w:val="2A3C55F0"/>
    <w:rsid w:val="2A5344A0"/>
    <w:rsid w:val="2A611C57"/>
    <w:rsid w:val="2A655317"/>
    <w:rsid w:val="2A735B35"/>
    <w:rsid w:val="2A79539D"/>
    <w:rsid w:val="2AC23458"/>
    <w:rsid w:val="2AC74CFE"/>
    <w:rsid w:val="2B107CC9"/>
    <w:rsid w:val="2B3E4873"/>
    <w:rsid w:val="2B5D0F05"/>
    <w:rsid w:val="2B9C66F0"/>
    <w:rsid w:val="2BAB304F"/>
    <w:rsid w:val="2BB63AF5"/>
    <w:rsid w:val="2BC639CF"/>
    <w:rsid w:val="2BDB4F97"/>
    <w:rsid w:val="2BE73503"/>
    <w:rsid w:val="2BED2ACF"/>
    <w:rsid w:val="2BEE6CF7"/>
    <w:rsid w:val="2BF3288C"/>
    <w:rsid w:val="2BF67F80"/>
    <w:rsid w:val="2C2143BE"/>
    <w:rsid w:val="2C314C14"/>
    <w:rsid w:val="2C466E3D"/>
    <w:rsid w:val="2C4D6B4E"/>
    <w:rsid w:val="2C587F6F"/>
    <w:rsid w:val="2C8B5671"/>
    <w:rsid w:val="2C8D3C15"/>
    <w:rsid w:val="2C8D66E8"/>
    <w:rsid w:val="2CA27F12"/>
    <w:rsid w:val="2CA73BA2"/>
    <w:rsid w:val="2CAA5300"/>
    <w:rsid w:val="2CC579B5"/>
    <w:rsid w:val="2CD546EE"/>
    <w:rsid w:val="2CE734B8"/>
    <w:rsid w:val="2D0F5CBB"/>
    <w:rsid w:val="2D14238F"/>
    <w:rsid w:val="2D251FE8"/>
    <w:rsid w:val="2D486595"/>
    <w:rsid w:val="2D4B50DA"/>
    <w:rsid w:val="2D4B565F"/>
    <w:rsid w:val="2D4D40F7"/>
    <w:rsid w:val="2D5174A5"/>
    <w:rsid w:val="2D5B30A6"/>
    <w:rsid w:val="2D8C1939"/>
    <w:rsid w:val="2D9528DF"/>
    <w:rsid w:val="2DEE740C"/>
    <w:rsid w:val="2E212E5B"/>
    <w:rsid w:val="2E3D7BED"/>
    <w:rsid w:val="2E453444"/>
    <w:rsid w:val="2E941F31"/>
    <w:rsid w:val="2EBE59D5"/>
    <w:rsid w:val="2EC36B64"/>
    <w:rsid w:val="2EC83B1E"/>
    <w:rsid w:val="2EC9309F"/>
    <w:rsid w:val="2EDB5454"/>
    <w:rsid w:val="2EDD2DA8"/>
    <w:rsid w:val="2EEC2BD0"/>
    <w:rsid w:val="2F3E67CB"/>
    <w:rsid w:val="2F4D2184"/>
    <w:rsid w:val="2F6E0715"/>
    <w:rsid w:val="2F711121"/>
    <w:rsid w:val="2F851376"/>
    <w:rsid w:val="2F9E0123"/>
    <w:rsid w:val="2FA76F74"/>
    <w:rsid w:val="2FC25B25"/>
    <w:rsid w:val="2FDE1B59"/>
    <w:rsid w:val="2FE41C95"/>
    <w:rsid w:val="2FEC63B1"/>
    <w:rsid w:val="2FF83CCD"/>
    <w:rsid w:val="300B6FAF"/>
    <w:rsid w:val="301F5A98"/>
    <w:rsid w:val="304B2655"/>
    <w:rsid w:val="305F42D6"/>
    <w:rsid w:val="306837D8"/>
    <w:rsid w:val="30683818"/>
    <w:rsid w:val="306A2703"/>
    <w:rsid w:val="30CF3653"/>
    <w:rsid w:val="30CF76D9"/>
    <w:rsid w:val="30D84DCD"/>
    <w:rsid w:val="30DF2265"/>
    <w:rsid w:val="30FB412E"/>
    <w:rsid w:val="30FC1C4F"/>
    <w:rsid w:val="31006111"/>
    <w:rsid w:val="311C2BE7"/>
    <w:rsid w:val="312F56D0"/>
    <w:rsid w:val="31455503"/>
    <w:rsid w:val="31526A31"/>
    <w:rsid w:val="315622BD"/>
    <w:rsid w:val="31720BB8"/>
    <w:rsid w:val="31892E42"/>
    <w:rsid w:val="31924728"/>
    <w:rsid w:val="31A11CF2"/>
    <w:rsid w:val="31BE28CB"/>
    <w:rsid w:val="31C07A7D"/>
    <w:rsid w:val="31C35B25"/>
    <w:rsid w:val="31F17100"/>
    <w:rsid w:val="31FA0109"/>
    <w:rsid w:val="320872DE"/>
    <w:rsid w:val="323F0FCA"/>
    <w:rsid w:val="323F4F24"/>
    <w:rsid w:val="325B6EA1"/>
    <w:rsid w:val="327E16ED"/>
    <w:rsid w:val="32825FC6"/>
    <w:rsid w:val="329A3F68"/>
    <w:rsid w:val="32A05030"/>
    <w:rsid w:val="32B15984"/>
    <w:rsid w:val="32D11008"/>
    <w:rsid w:val="32D7144E"/>
    <w:rsid w:val="32E4494E"/>
    <w:rsid w:val="32E54EFD"/>
    <w:rsid w:val="333D00E3"/>
    <w:rsid w:val="334E1D8D"/>
    <w:rsid w:val="335B7B19"/>
    <w:rsid w:val="3368588F"/>
    <w:rsid w:val="33705AB0"/>
    <w:rsid w:val="33752A91"/>
    <w:rsid w:val="337847FD"/>
    <w:rsid w:val="338E233D"/>
    <w:rsid w:val="33B250C0"/>
    <w:rsid w:val="33C976CD"/>
    <w:rsid w:val="33D9788D"/>
    <w:rsid w:val="33E37F62"/>
    <w:rsid w:val="33EF50B5"/>
    <w:rsid w:val="34002A9D"/>
    <w:rsid w:val="34021AF7"/>
    <w:rsid w:val="34150D46"/>
    <w:rsid w:val="341F0C5C"/>
    <w:rsid w:val="34285B15"/>
    <w:rsid w:val="34347DF9"/>
    <w:rsid w:val="343832BB"/>
    <w:rsid w:val="34474B5B"/>
    <w:rsid w:val="34576D70"/>
    <w:rsid w:val="34771F02"/>
    <w:rsid w:val="34865038"/>
    <w:rsid w:val="34AD23E0"/>
    <w:rsid w:val="34E6F285"/>
    <w:rsid w:val="351D44D9"/>
    <w:rsid w:val="352344FB"/>
    <w:rsid w:val="353B1177"/>
    <w:rsid w:val="354066CD"/>
    <w:rsid w:val="354233E5"/>
    <w:rsid w:val="35425C75"/>
    <w:rsid w:val="35485A33"/>
    <w:rsid w:val="354F47D7"/>
    <w:rsid w:val="35552D71"/>
    <w:rsid w:val="3561524C"/>
    <w:rsid w:val="35870913"/>
    <w:rsid w:val="35A132AB"/>
    <w:rsid w:val="35D6206F"/>
    <w:rsid w:val="35DAB269"/>
    <w:rsid w:val="35DF5097"/>
    <w:rsid w:val="35E37419"/>
    <w:rsid w:val="35E73BEE"/>
    <w:rsid w:val="35EF75A6"/>
    <w:rsid w:val="35F32A2F"/>
    <w:rsid w:val="361B1493"/>
    <w:rsid w:val="362679EB"/>
    <w:rsid w:val="362A4A07"/>
    <w:rsid w:val="362E43A9"/>
    <w:rsid w:val="362F5641"/>
    <w:rsid w:val="36402322"/>
    <w:rsid w:val="36421018"/>
    <w:rsid w:val="36556ED0"/>
    <w:rsid w:val="365E064B"/>
    <w:rsid w:val="36657F1B"/>
    <w:rsid w:val="36676421"/>
    <w:rsid w:val="36680D05"/>
    <w:rsid w:val="36A66948"/>
    <w:rsid w:val="36C40CB7"/>
    <w:rsid w:val="36C738B1"/>
    <w:rsid w:val="36CA7E8E"/>
    <w:rsid w:val="36CF0331"/>
    <w:rsid w:val="36E10BBA"/>
    <w:rsid w:val="36EF4AE4"/>
    <w:rsid w:val="37105AFE"/>
    <w:rsid w:val="37292703"/>
    <w:rsid w:val="373812CE"/>
    <w:rsid w:val="374728FE"/>
    <w:rsid w:val="374C7633"/>
    <w:rsid w:val="374D14FC"/>
    <w:rsid w:val="375B76F1"/>
    <w:rsid w:val="375E0A0A"/>
    <w:rsid w:val="37922374"/>
    <w:rsid w:val="37977011"/>
    <w:rsid w:val="37987028"/>
    <w:rsid w:val="379D140C"/>
    <w:rsid w:val="37BF7F5D"/>
    <w:rsid w:val="37C266A0"/>
    <w:rsid w:val="37E40512"/>
    <w:rsid w:val="37F132D2"/>
    <w:rsid w:val="38063B26"/>
    <w:rsid w:val="38103E6F"/>
    <w:rsid w:val="387A5184"/>
    <w:rsid w:val="387B43E4"/>
    <w:rsid w:val="38907E11"/>
    <w:rsid w:val="389A13E2"/>
    <w:rsid w:val="38B10EFA"/>
    <w:rsid w:val="38B921B3"/>
    <w:rsid w:val="38BC1BB8"/>
    <w:rsid w:val="38C1445D"/>
    <w:rsid w:val="38C34626"/>
    <w:rsid w:val="38EE60CE"/>
    <w:rsid w:val="38FF5F86"/>
    <w:rsid w:val="39356A65"/>
    <w:rsid w:val="39617C54"/>
    <w:rsid w:val="396A4842"/>
    <w:rsid w:val="39787FDB"/>
    <w:rsid w:val="39865F99"/>
    <w:rsid w:val="39A141BB"/>
    <w:rsid w:val="39A95AFF"/>
    <w:rsid w:val="39B67779"/>
    <w:rsid w:val="39BD61D7"/>
    <w:rsid w:val="39D350A7"/>
    <w:rsid w:val="39D42FF5"/>
    <w:rsid w:val="39DE57E4"/>
    <w:rsid w:val="39EF43F0"/>
    <w:rsid w:val="3A077336"/>
    <w:rsid w:val="3A285045"/>
    <w:rsid w:val="3A2B6627"/>
    <w:rsid w:val="3A445499"/>
    <w:rsid w:val="3A45327C"/>
    <w:rsid w:val="3A4E4C7E"/>
    <w:rsid w:val="3A517325"/>
    <w:rsid w:val="3A5927B3"/>
    <w:rsid w:val="3A5B2414"/>
    <w:rsid w:val="3A7C7325"/>
    <w:rsid w:val="3A7E4734"/>
    <w:rsid w:val="3AA30491"/>
    <w:rsid w:val="3AAE7E5F"/>
    <w:rsid w:val="3AC56A51"/>
    <w:rsid w:val="3ADC7F80"/>
    <w:rsid w:val="3ADE7501"/>
    <w:rsid w:val="3AF63080"/>
    <w:rsid w:val="3B096A05"/>
    <w:rsid w:val="3B120689"/>
    <w:rsid w:val="3B1C24A6"/>
    <w:rsid w:val="3B352E84"/>
    <w:rsid w:val="3B360C16"/>
    <w:rsid w:val="3B3E01BA"/>
    <w:rsid w:val="3B4875EF"/>
    <w:rsid w:val="3B4E539A"/>
    <w:rsid w:val="3B54351C"/>
    <w:rsid w:val="3B5C2C0D"/>
    <w:rsid w:val="3B685885"/>
    <w:rsid w:val="3BA131C6"/>
    <w:rsid w:val="3BB97BB1"/>
    <w:rsid w:val="3BBE3230"/>
    <w:rsid w:val="3BC96E2F"/>
    <w:rsid w:val="3BDD23E2"/>
    <w:rsid w:val="3BDF4C13"/>
    <w:rsid w:val="3C2C4E6F"/>
    <w:rsid w:val="3C428C41"/>
    <w:rsid w:val="3C5F1D76"/>
    <w:rsid w:val="3C713486"/>
    <w:rsid w:val="3C7205FE"/>
    <w:rsid w:val="3C933F06"/>
    <w:rsid w:val="3C9B0DE2"/>
    <w:rsid w:val="3C9B6C4E"/>
    <w:rsid w:val="3CA12910"/>
    <w:rsid w:val="3CB47B7A"/>
    <w:rsid w:val="3CC84DA9"/>
    <w:rsid w:val="3CD52F2B"/>
    <w:rsid w:val="3CFD5C2F"/>
    <w:rsid w:val="3D230427"/>
    <w:rsid w:val="3D4E7C13"/>
    <w:rsid w:val="3D4F59AE"/>
    <w:rsid w:val="3D8F5A37"/>
    <w:rsid w:val="3DB07A33"/>
    <w:rsid w:val="3DBF55B2"/>
    <w:rsid w:val="3DCE4832"/>
    <w:rsid w:val="3DD1682C"/>
    <w:rsid w:val="3DE02792"/>
    <w:rsid w:val="3DE96493"/>
    <w:rsid w:val="3DEC44ED"/>
    <w:rsid w:val="3E191484"/>
    <w:rsid w:val="3E1C6918"/>
    <w:rsid w:val="3E4839FF"/>
    <w:rsid w:val="3E50117E"/>
    <w:rsid w:val="3E5C22F1"/>
    <w:rsid w:val="3E7D6BD1"/>
    <w:rsid w:val="3E866679"/>
    <w:rsid w:val="3E8F59EB"/>
    <w:rsid w:val="3E9F04E0"/>
    <w:rsid w:val="3EC474E2"/>
    <w:rsid w:val="3ED239F5"/>
    <w:rsid w:val="3EF15863"/>
    <w:rsid w:val="3EF81FBD"/>
    <w:rsid w:val="3F2636EA"/>
    <w:rsid w:val="3F263CA4"/>
    <w:rsid w:val="3F5BD32D"/>
    <w:rsid w:val="3F795C91"/>
    <w:rsid w:val="3F860167"/>
    <w:rsid w:val="3F8B6325"/>
    <w:rsid w:val="3F8E096D"/>
    <w:rsid w:val="3F944CF2"/>
    <w:rsid w:val="3F955E96"/>
    <w:rsid w:val="3FA12752"/>
    <w:rsid w:val="3FAA063C"/>
    <w:rsid w:val="3FB46F32"/>
    <w:rsid w:val="3FC069C6"/>
    <w:rsid w:val="3FE77AE2"/>
    <w:rsid w:val="3FE95E18"/>
    <w:rsid w:val="3FF452A1"/>
    <w:rsid w:val="3FFF8645"/>
    <w:rsid w:val="400E6B89"/>
    <w:rsid w:val="40274A94"/>
    <w:rsid w:val="402C06F7"/>
    <w:rsid w:val="404131E8"/>
    <w:rsid w:val="40417228"/>
    <w:rsid w:val="40445A8D"/>
    <w:rsid w:val="405606EB"/>
    <w:rsid w:val="408D5E1C"/>
    <w:rsid w:val="409A3B66"/>
    <w:rsid w:val="409E5138"/>
    <w:rsid w:val="40A44CA4"/>
    <w:rsid w:val="40ED47B8"/>
    <w:rsid w:val="40F74199"/>
    <w:rsid w:val="40FF13E6"/>
    <w:rsid w:val="4106459E"/>
    <w:rsid w:val="413D368C"/>
    <w:rsid w:val="417E5362"/>
    <w:rsid w:val="418876ED"/>
    <w:rsid w:val="418A1F86"/>
    <w:rsid w:val="41904692"/>
    <w:rsid w:val="419E7A80"/>
    <w:rsid w:val="41A13CCA"/>
    <w:rsid w:val="41B30C6A"/>
    <w:rsid w:val="41B61C7E"/>
    <w:rsid w:val="41BE1B83"/>
    <w:rsid w:val="41C04CFB"/>
    <w:rsid w:val="41DE178B"/>
    <w:rsid w:val="41F649BD"/>
    <w:rsid w:val="41F70354"/>
    <w:rsid w:val="41FF5A70"/>
    <w:rsid w:val="422974CB"/>
    <w:rsid w:val="422C037E"/>
    <w:rsid w:val="426D0EE6"/>
    <w:rsid w:val="4271626A"/>
    <w:rsid w:val="42977703"/>
    <w:rsid w:val="42A71CB0"/>
    <w:rsid w:val="42C84B4E"/>
    <w:rsid w:val="42CB0AEA"/>
    <w:rsid w:val="42DC4BBA"/>
    <w:rsid w:val="42E77636"/>
    <w:rsid w:val="43567F04"/>
    <w:rsid w:val="43571A95"/>
    <w:rsid w:val="435A21C6"/>
    <w:rsid w:val="4367572B"/>
    <w:rsid w:val="436A1CE1"/>
    <w:rsid w:val="436E6FB5"/>
    <w:rsid w:val="43871CE0"/>
    <w:rsid w:val="438D4778"/>
    <w:rsid w:val="43AE09C6"/>
    <w:rsid w:val="43B4429D"/>
    <w:rsid w:val="43C66DD8"/>
    <w:rsid w:val="43E55357"/>
    <w:rsid w:val="44086786"/>
    <w:rsid w:val="44124631"/>
    <w:rsid w:val="442F27F4"/>
    <w:rsid w:val="44306F1F"/>
    <w:rsid w:val="444F00F4"/>
    <w:rsid w:val="447D65EE"/>
    <w:rsid w:val="44841C9C"/>
    <w:rsid w:val="448B77EF"/>
    <w:rsid w:val="44B52AF1"/>
    <w:rsid w:val="44BB1815"/>
    <w:rsid w:val="44BB1CF1"/>
    <w:rsid w:val="44BD01D0"/>
    <w:rsid w:val="44CA45D9"/>
    <w:rsid w:val="44D30AFC"/>
    <w:rsid w:val="44D41B41"/>
    <w:rsid w:val="4511338E"/>
    <w:rsid w:val="451419AE"/>
    <w:rsid w:val="451F6629"/>
    <w:rsid w:val="4525786B"/>
    <w:rsid w:val="453A43C5"/>
    <w:rsid w:val="454A3DBC"/>
    <w:rsid w:val="45545E0B"/>
    <w:rsid w:val="45572011"/>
    <w:rsid w:val="4576613A"/>
    <w:rsid w:val="458747D6"/>
    <w:rsid w:val="459142F1"/>
    <w:rsid w:val="4594575C"/>
    <w:rsid w:val="45997E30"/>
    <w:rsid w:val="45A20FD3"/>
    <w:rsid w:val="45B7676A"/>
    <w:rsid w:val="45BE7FFC"/>
    <w:rsid w:val="45F55F27"/>
    <w:rsid w:val="4646256F"/>
    <w:rsid w:val="464A4C41"/>
    <w:rsid w:val="464D138B"/>
    <w:rsid w:val="46C118B7"/>
    <w:rsid w:val="46D13A1E"/>
    <w:rsid w:val="46DD5280"/>
    <w:rsid w:val="46F01C51"/>
    <w:rsid w:val="47371053"/>
    <w:rsid w:val="47481E42"/>
    <w:rsid w:val="47790476"/>
    <w:rsid w:val="478B708A"/>
    <w:rsid w:val="47B3473F"/>
    <w:rsid w:val="47B82152"/>
    <w:rsid w:val="47C37D57"/>
    <w:rsid w:val="47C759A5"/>
    <w:rsid w:val="47DB670F"/>
    <w:rsid w:val="47E81E18"/>
    <w:rsid w:val="47EF5F4A"/>
    <w:rsid w:val="47F567F3"/>
    <w:rsid w:val="47F71A88"/>
    <w:rsid w:val="4807463A"/>
    <w:rsid w:val="482C05DD"/>
    <w:rsid w:val="487C6609"/>
    <w:rsid w:val="48957640"/>
    <w:rsid w:val="489B7515"/>
    <w:rsid w:val="48AF7669"/>
    <w:rsid w:val="48B965A8"/>
    <w:rsid w:val="48BA1FE1"/>
    <w:rsid w:val="48C26909"/>
    <w:rsid w:val="48CC452D"/>
    <w:rsid w:val="48EA0EAD"/>
    <w:rsid w:val="49026AB4"/>
    <w:rsid w:val="492840D9"/>
    <w:rsid w:val="4931703A"/>
    <w:rsid w:val="493D027D"/>
    <w:rsid w:val="493D02F0"/>
    <w:rsid w:val="494F429B"/>
    <w:rsid w:val="49AD162E"/>
    <w:rsid w:val="49BB4890"/>
    <w:rsid w:val="49BC2D13"/>
    <w:rsid w:val="49C4443A"/>
    <w:rsid w:val="49E745DB"/>
    <w:rsid w:val="49EF793B"/>
    <w:rsid w:val="49FB761C"/>
    <w:rsid w:val="4A042C9A"/>
    <w:rsid w:val="4A0D69D7"/>
    <w:rsid w:val="4A12108B"/>
    <w:rsid w:val="4A166C30"/>
    <w:rsid w:val="4A1E771E"/>
    <w:rsid w:val="4A22320C"/>
    <w:rsid w:val="4A60625D"/>
    <w:rsid w:val="4A6127FA"/>
    <w:rsid w:val="4AA519AA"/>
    <w:rsid w:val="4AA74B14"/>
    <w:rsid w:val="4ABE4D36"/>
    <w:rsid w:val="4AD84B66"/>
    <w:rsid w:val="4B0968F2"/>
    <w:rsid w:val="4B185F93"/>
    <w:rsid w:val="4B2D7509"/>
    <w:rsid w:val="4B300B72"/>
    <w:rsid w:val="4B4A20B4"/>
    <w:rsid w:val="4B5140DE"/>
    <w:rsid w:val="4B53464C"/>
    <w:rsid w:val="4B5F3FAC"/>
    <w:rsid w:val="4B652771"/>
    <w:rsid w:val="4B8D50A6"/>
    <w:rsid w:val="4BAD6820"/>
    <w:rsid w:val="4BC14F47"/>
    <w:rsid w:val="4BC9549F"/>
    <w:rsid w:val="4BEB5322"/>
    <w:rsid w:val="4BF063B8"/>
    <w:rsid w:val="4C0476DC"/>
    <w:rsid w:val="4C2201E2"/>
    <w:rsid w:val="4C3E25CB"/>
    <w:rsid w:val="4C3F10CE"/>
    <w:rsid w:val="4C49258A"/>
    <w:rsid w:val="4C4C7371"/>
    <w:rsid w:val="4C5612B2"/>
    <w:rsid w:val="4C650F58"/>
    <w:rsid w:val="4C8275E6"/>
    <w:rsid w:val="4C8E4BBE"/>
    <w:rsid w:val="4C942A0D"/>
    <w:rsid w:val="4CA738AB"/>
    <w:rsid w:val="4CD00FE0"/>
    <w:rsid w:val="4CD11C61"/>
    <w:rsid w:val="4CD47F39"/>
    <w:rsid w:val="4CEA1C87"/>
    <w:rsid w:val="4CFC4801"/>
    <w:rsid w:val="4D0C7DC8"/>
    <w:rsid w:val="4D283F2F"/>
    <w:rsid w:val="4D2A45A3"/>
    <w:rsid w:val="4D3123CF"/>
    <w:rsid w:val="4D3A6073"/>
    <w:rsid w:val="4D887E55"/>
    <w:rsid w:val="4D9851C2"/>
    <w:rsid w:val="4DA40D6B"/>
    <w:rsid w:val="4DB27F05"/>
    <w:rsid w:val="4DFE1F95"/>
    <w:rsid w:val="4E152ECA"/>
    <w:rsid w:val="4E2B3B61"/>
    <w:rsid w:val="4E2C225E"/>
    <w:rsid w:val="4E4B58DB"/>
    <w:rsid w:val="4E6F413E"/>
    <w:rsid w:val="4E77C82E"/>
    <w:rsid w:val="4E9311DC"/>
    <w:rsid w:val="4EBA5E65"/>
    <w:rsid w:val="4EF7548A"/>
    <w:rsid w:val="4F1F277A"/>
    <w:rsid w:val="4F280DEE"/>
    <w:rsid w:val="4F2853C8"/>
    <w:rsid w:val="4F295F77"/>
    <w:rsid w:val="4F523492"/>
    <w:rsid w:val="4F68340D"/>
    <w:rsid w:val="4F70242A"/>
    <w:rsid w:val="4F7A6309"/>
    <w:rsid w:val="4FA42D13"/>
    <w:rsid w:val="4FA470A6"/>
    <w:rsid w:val="4FA5255E"/>
    <w:rsid w:val="4FB04FC3"/>
    <w:rsid w:val="4FB964EF"/>
    <w:rsid w:val="4FDD4207"/>
    <w:rsid w:val="4FDE127F"/>
    <w:rsid w:val="4FF46AE3"/>
    <w:rsid w:val="50150AEE"/>
    <w:rsid w:val="503A5A8C"/>
    <w:rsid w:val="503B2AD6"/>
    <w:rsid w:val="50441C0F"/>
    <w:rsid w:val="50594716"/>
    <w:rsid w:val="506B021C"/>
    <w:rsid w:val="50797CD9"/>
    <w:rsid w:val="50967D43"/>
    <w:rsid w:val="50B834F1"/>
    <w:rsid w:val="50BB7D26"/>
    <w:rsid w:val="50BC779A"/>
    <w:rsid w:val="50E767DF"/>
    <w:rsid w:val="50E85092"/>
    <w:rsid w:val="51060C8F"/>
    <w:rsid w:val="51094857"/>
    <w:rsid w:val="510B56C1"/>
    <w:rsid w:val="512730E8"/>
    <w:rsid w:val="513B39AC"/>
    <w:rsid w:val="51453766"/>
    <w:rsid w:val="5145377B"/>
    <w:rsid w:val="516F2ECF"/>
    <w:rsid w:val="51801845"/>
    <w:rsid w:val="518702E4"/>
    <w:rsid w:val="51A258AF"/>
    <w:rsid w:val="51C4561A"/>
    <w:rsid w:val="51CA208F"/>
    <w:rsid w:val="51CB592C"/>
    <w:rsid w:val="51D63346"/>
    <w:rsid w:val="51DA5133"/>
    <w:rsid w:val="51DE14DA"/>
    <w:rsid w:val="52364100"/>
    <w:rsid w:val="524B33D7"/>
    <w:rsid w:val="524E7C91"/>
    <w:rsid w:val="5283552E"/>
    <w:rsid w:val="52C976FB"/>
    <w:rsid w:val="52CA7761"/>
    <w:rsid w:val="52D17EC2"/>
    <w:rsid w:val="52F06EC4"/>
    <w:rsid w:val="52F11635"/>
    <w:rsid w:val="52F31763"/>
    <w:rsid w:val="52FF02F5"/>
    <w:rsid w:val="53144D18"/>
    <w:rsid w:val="53152316"/>
    <w:rsid w:val="53166523"/>
    <w:rsid w:val="532A1ACD"/>
    <w:rsid w:val="5343372C"/>
    <w:rsid w:val="534651D9"/>
    <w:rsid w:val="53567D24"/>
    <w:rsid w:val="53694675"/>
    <w:rsid w:val="536E798D"/>
    <w:rsid w:val="53723E08"/>
    <w:rsid w:val="53775320"/>
    <w:rsid w:val="538965AC"/>
    <w:rsid w:val="53C460DA"/>
    <w:rsid w:val="53CD8F3A"/>
    <w:rsid w:val="53CE68CA"/>
    <w:rsid w:val="53D01C07"/>
    <w:rsid w:val="53DF6E27"/>
    <w:rsid w:val="53FB24A6"/>
    <w:rsid w:val="541A77B9"/>
    <w:rsid w:val="541C3E7D"/>
    <w:rsid w:val="542B548C"/>
    <w:rsid w:val="54492335"/>
    <w:rsid w:val="54664409"/>
    <w:rsid w:val="5491405D"/>
    <w:rsid w:val="54C63756"/>
    <w:rsid w:val="54C95F92"/>
    <w:rsid w:val="54D77A8A"/>
    <w:rsid w:val="54DC06FA"/>
    <w:rsid w:val="54F74C05"/>
    <w:rsid w:val="54F92D68"/>
    <w:rsid w:val="5516737E"/>
    <w:rsid w:val="55254F95"/>
    <w:rsid w:val="55355FAE"/>
    <w:rsid w:val="553FD6D0"/>
    <w:rsid w:val="555861B8"/>
    <w:rsid w:val="556023F7"/>
    <w:rsid w:val="557D65C8"/>
    <w:rsid w:val="558312F5"/>
    <w:rsid w:val="558664EF"/>
    <w:rsid w:val="558E1181"/>
    <w:rsid w:val="559F6C43"/>
    <w:rsid w:val="55DE7719"/>
    <w:rsid w:val="55EB3CD5"/>
    <w:rsid w:val="55EDACB3"/>
    <w:rsid w:val="55F65AAD"/>
    <w:rsid w:val="56046C7A"/>
    <w:rsid w:val="56051BFD"/>
    <w:rsid w:val="560A26DC"/>
    <w:rsid w:val="56150C0A"/>
    <w:rsid w:val="563A7983"/>
    <w:rsid w:val="56453A14"/>
    <w:rsid w:val="564D33B2"/>
    <w:rsid w:val="56531720"/>
    <w:rsid w:val="56634A49"/>
    <w:rsid w:val="56857A7F"/>
    <w:rsid w:val="569ECA56"/>
    <w:rsid w:val="56BD5A93"/>
    <w:rsid w:val="56E44AE8"/>
    <w:rsid w:val="56EB2A59"/>
    <w:rsid w:val="56FE5E5D"/>
    <w:rsid w:val="572052BF"/>
    <w:rsid w:val="57253512"/>
    <w:rsid w:val="575A33A9"/>
    <w:rsid w:val="57680CD1"/>
    <w:rsid w:val="578747BE"/>
    <w:rsid w:val="578E4E8B"/>
    <w:rsid w:val="57A06E8E"/>
    <w:rsid w:val="57CC18BB"/>
    <w:rsid w:val="57D26EBE"/>
    <w:rsid w:val="57F0E551"/>
    <w:rsid w:val="57F70BA3"/>
    <w:rsid w:val="57FF42E1"/>
    <w:rsid w:val="580336C9"/>
    <w:rsid w:val="581F32AE"/>
    <w:rsid w:val="58237A5B"/>
    <w:rsid w:val="5825432F"/>
    <w:rsid w:val="58265334"/>
    <w:rsid w:val="582B57D2"/>
    <w:rsid w:val="586A770F"/>
    <w:rsid w:val="58930DBB"/>
    <w:rsid w:val="589C1B55"/>
    <w:rsid w:val="58D34647"/>
    <w:rsid w:val="58F72262"/>
    <w:rsid w:val="58FA5706"/>
    <w:rsid w:val="59075C70"/>
    <w:rsid w:val="59231BB8"/>
    <w:rsid w:val="59372CAC"/>
    <w:rsid w:val="593979AA"/>
    <w:rsid w:val="596A047F"/>
    <w:rsid w:val="599F3C85"/>
    <w:rsid w:val="59B63F7B"/>
    <w:rsid w:val="59CE03AD"/>
    <w:rsid w:val="59D422CD"/>
    <w:rsid w:val="59FF3216"/>
    <w:rsid w:val="5A1D7558"/>
    <w:rsid w:val="5A2247E0"/>
    <w:rsid w:val="5A356172"/>
    <w:rsid w:val="5A450A63"/>
    <w:rsid w:val="5A4F7A6E"/>
    <w:rsid w:val="5A595919"/>
    <w:rsid w:val="5A686241"/>
    <w:rsid w:val="5A930822"/>
    <w:rsid w:val="5AB16184"/>
    <w:rsid w:val="5AE351D0"/>
    <w:rsid w:val="5AE412AD"/>
    <w:rsid w:val="5B054128"/>
    <w:rsid w:val="5B1C4764"/>
    <w:rsid w:val="5B370D04"/>
    <w:rsid w:val="5B3774F0"/>
    <w:rsid w:val="5B420611"/>
    <w:rsid w:val="5B465BEB"/>
    <w:rsid w:val="5B4D640F"/>
    <w:rsid w:val="5B5D2538"/>
    <w:rsid w:val="5B76038F"/>
    <w:rsid w:val="5B8B38C2"/>
    <w:rsid w:val="5B8B70FB"/>
    <w:rsid w:val="5B901FB8"/>
    <w:rsid w:val="5B993BB6"/>
    <w:rsid w:val="5B9F7B30"/>
    <w:rsid w:val="5BA501E8"/>
    <w:rsid w:val="5BA86D06"/>
    <w:rsid w:val="5BB37ED7"/>
    <w:rsid w:val="5BBD7D58"/>
    <w:rsid w:val="5BDC4C69"/>
    <w:rsid w:val="5BDF3DD5"/>
    <w:rsid w:val="5BF11FB7"/>
    <w:rsid w:val="5C0A38FA"/>
    <w:rsid w:val="5C3A22ED"/>
    <w:rsid w:val="5C4F13B7"/>
    <w:rsid w:val="5C4F7FC3"/>
    <w:rsid w:val="5C6566B6"/>
    <w:rsid w:val="5C6E1610"/>
    <w:rsid w:val="5C824804"/>
    <w:rsid w:val="5C834A1F"/>
    <w:rsid w:val="5CEF073A"/>
    <w:rsid w:val="5CF97B09"/>
    <w:rsid w:val="5D093F35"/>
    <w:rsid w:val="5D0B13FC"/>
    <w:rsid w:val="5D0E40F1"/>
    <w:rsid w:val="5D1077A2"/>
    <w:rsid w:val="5D1F3FF5"/>
    <w:rsid w:val="5D271909"/>
    <w:rsid w:val="5D3314DC"/>
    <w:rsid w:val="5D442ED4"/>
    <w:rsid w:val="5D501008"/>
    <w:rsid w:val="5D5E366C"/>
    <w:rsid w:val="5D6C73A1"/>
    <w:rsid w:val="5D746029"/>
    <w:rsid w:val="5D7C0349"/>
    <w:rsid w:val="5D943FD1"/>
    <w:rsid w:val="5DA727ED"/>
    <w:rsid w:val="5DC6470A"/>
    <w:rsid w:val="5DC7338E"/>
    <w:rsid w:val="5DEB19B6"/>
    <w:rsid w:val="5DF13E22"/>
    <w:rsid w:val="5E0E223F"/>
    <w:rsid w:val="5E48149A"/>
    <w:rsid w:val="5E646C48"/>
    <w:rsid w:val="5E6A6D4F"/>
    <w:rsid w:val="5E870318"/>
    <w:rsid w:val="5E91256A"/>
    <w:rsid w:val="5E9363D8"/>
    <w:rsid w:val="5EB43AE0"/>
    <w:rsid w:val="5ECA4695"/>
    <w:rsid w:val="5ED210D0"/>
    <w:rsid w:val="5EE67346"/>
    <w:rsid w:val="5EE74243"/>
    <w:rsid w:val="5F002509"/>
    <w:rsid w:val="5F2939E2"/>
    <w:rsid w:val="5F3F4001"/>
    <w:rsid w:val="5F582383"/>
    <w:rsid w:val="5F583359"/>
    <w:rsid w:val="5F5D0503"/>
    <w:rsid w:val="5F5D4D8A"/>
    <w:rsid w:val="5F817DDB"/>
    <w:rsid w:val="5F876F44"/>
    <w:rsid w:val="5F964317"/>
    <w:rsid w:val="5F964D5B"/>
    <w:rsid w:val="5FBEB8E3"/>
    <w:rsid w:val="5FC44472"/>
    <w:rsid w:val="5FDA1BC2"/>
    <w:rsid w:val="5FF437B1"/>
    <w:rsid w:val="5FFB8E22"/>
    <w:rsid w:val="5FFE008C"/>
    <w:rsid w:val="600A677B"/>
    <w:rsid w:val="601E0198"/>
    <w:rsid w:val="60205E7F"/>
    <w:rsid w:val="60293A65"/>
    <w:rsid w:val="60491FC5"/>
    <w:rsid w:val="60506DEA"/>
    <w:rsid w:val="60575C3A"/>
    <w:rsid w:val="60595205"/>
    <w:rsid w:val="60941DC3"/>
    <w:rsid w:val="60956B25"/>
    <w:rsid w:val="609D0D05"/>
    <w:rsid w:val="60A254FF"/>
    <w:rsid w:val="60A64D36"/>
    <w:rsid w:val="60AD5895"/>
    <w:rsid w:val="60BB73C1"/>
    <w:rsid w:val="60BF4DB9"/>
    <w:rsid w:val="60C21CC6"/>
    <w:rsid w:val="60D1123D"/>
    <w:rsid w:val="60D934F6"/>
    <w:rsid w:val="60E454CA"/>
    <w:rsid w:val="60FF7747"/>
    <w:rsid w:val="61230AE6"/>
    <w:rsid w:val="61247531"/>
    <w:rsid w:val="612E2F77"/>
    <w:rsid w:val="614F337E"/>
    <w:rsid w:val="61633937"/>
    <w:rsid w:val="616B1ADE"/>
    <w:rsid w:val="61790D1A"/>
    <w:rsid w:val="61792269"/>
    <w:rsid w:val="61806893"/>
    <w:rsid w:val="6189378A"/>
    <w:rsid w:val="618D2F2E"/>
    <w:rsid w:val="618F4106"/>
    <w:rsid w:val="61B27728"/>
    <w:rsid w:val="61B43FF1"/>
    <w:rsid w:val="61C129CC"/>
    <w:rsid w:val="61C50CFD"/>
    <w:rsid w:val="61CA44E9"/>
    <w:rsid w:val="61D26B7E"/>
    <w:rsid w:val="61FD365D"/>
    <w:rsid w:val="62046E33"/>
    <w:rsid w:val="622D4ADA"/>
    <w:rsid w:val="623E7052"/>
    <w:rsid w:val="62614388"/>
    <w:rsid w:val="626A4F26"/>
    <w:rsid w:val="62A4310F"/>
    <w:rsid w:val="62BE527A"/>
    <w:rsid w:val="62E43A1F"/>
    <w:rsid w:val="62F842D8"/>
    <w:rsid w:val="631F668D"/>
    <w:rsid w:val="633E6E86"/>
    <w:rsid w:val="6340190D"/>
    <w:rsid w:val="639D3E21"/>
    <w:rsid w:val="63D12F43"/>
    <w:rsid w:val="63E70F21"/>
    <w:rsid w:val="63EA37CF"/>
    <w:rsid w:val="6404586A"/>
    <w:rsid w:val="640F4F4B"/>
    <w:rsid w:val="643803EE"/>
    <w:rsid w:val="644A768D"/>
    <w:rsid w:val="645722FD"/>
    <w:rsid w:val="64766E30"/>
    <w:rsid w:val="648029DC"/>
    <w:rsid w:val="648F14E3"/>
    <w:rsid w:val="64C33187"/>
    <w:rsid w:val="64C408EC"/>
    <w:rsid w:val="64E66AB3"/>
    <w:rsid w:val="651327CD"/>
    <w:rsid w:val="65140F9B"/>
    <w:rsid w:val="655331B3"/>
    <w:rsid w:val="656467D5"/>
    <w:rsid w:val="657864A6"/>
    <w:rsid w:val="659E4385"/>
    <w:rsid w:val="65A1734A"/>
    <w:rsid w:val="65B50718"/>
    <w:rsid w:val="65BF0713"/>
    <w:rsid w:val="65BF660F"/>
    <w:rsid w:val="65D265B0"/>
    <w:rsid w:val="65D36EA6"/>
    <w:rsid w:val="65DF246C"/>
    <w:rsid w:val="65E604AE"/>
    <w:rsid w:val="65E73FB4"/>
    <w:rsid w:val="65FB27BE"/>
    <w:rsid w:val="660D1212"/>
    <w:rsid w:val="6615431E"/>
    <w:rsid w:val="662337FB"/>
    <w:rsid w:val="662463E4"/>
    <w:rsid w:val="66376C1F"/>
    <w:rsid w:val="665B251E"/>
    <w:rsid w:val="66641001"/>
    <w:rsid w:val="666D2BD3"/>
    <w:rsid w:val="666D7976"/>
    <w:rsid w:val="667D2935"/>
    <w:rsid w:val="66936DF1"/>
    <w:rsid w:val="669A4034"/>
    <w:rsid w:val="66A00C3C"/>
    <w:rsid w:val="66AF3835"/>
    <w:rsid w:val="66D5374F"/>
    <w:rsid w:val="66FA690D"/>
    <w:rsid w:val="6714738C"/>
    <w:rsid w:val="67344A5C"/>
    <w:rsid w:val="67445396"/>
    <w:rsid w:val="675D0ED8"/>
    <w:rsid w:val="678939A2"/>
    <w:rsid w:val="679B1302"/>
    <w:rsid w:val="67B31C84"/>
    <w:rsid w:val="67D801B4"/>
    <w:rsid w:val="67E5075A"/>
    <w:rsid w:val="67F44BF7"/>
    <w:rsid w:val="67FE26D6"/>
    <w:rsid w:val="68020CAA"/>
    <w:rsid w:val="681407B3"/>
    <w:rsid w:val="6816304B"/>
    <w:rsid w:val="683969E4"/>
    <w:rsid w:val="68442854"/>
    <w:rsid w:val="686D086B"/>
    <w:rsid w:val="6883150A"/>
    <w:rsid w:val="68944499"/>
    <w:rsid w:val="689B24C8"/>
    <w:rsid w:val="689B5FFC"/>
    <w:rsid w:val="68D4181C"/>
    <w:rsid w:val="68DF125E"/>
    <w:rsid w:val="68DF42A7"/>
    <w:rsid w:val="691B0000"/>
    <w:rsid w:val="692027B5"/>
    <w:rsid w:val="6924721E"/>
    <w:rsid w:val="69314F7E"/>
    <w:rsid w:val="69317033"/>
    <w:rsid w:val="693444D1"/>
    <w:rsid w:val="693925BE"/>
    <w:rsid w:val="693A189E"/>
    <w:rsid w:val="694C43CD"/>
    <w:rsid w:val="69587249"/>
    <w:rsid w:val="695877E5"/>
    <w:rsid w:val="696B148D"/>
    <w:rsid w:val="697219C0"/>
    <w:rsid w:val="697B27A5"/>
    <w:rsid w:val="69A16BF3"/>
    <w:rsid w:val="69B76B81"/>
    <w:rsid w:val="69C11FFA"/>
    <w:rsid w:val="69D256AA"/>
    <w:rsid w:val="69DC60BE"/>
    <w:rsid w:val="69FB0838"/>
    <w:rsid w:val="69FC90EB"/>
    <w:rsid w:val="69FFC7BC"/>
    <w:rsid w:val="6A021C10"/>
    <w:rsid w:val="6A1D7474"/>
    <w:rsid w:val="6A347935"/>
    <w:rsid w:val="6A65560C"/>
    <w:rsid w:val="6A726E94"/>
    <w:rsid w:val="6A850573"/>
    <w:rsid w:val="6A8D741F"/>
    <w:rsid w:val="6A9465FF"/>
    <w:rsid w:val="6A9924C4"/>
    <w:rsid w:val="6A9A427B"/>
    <w:rsid w:val="6AAF21E8"/>
    <w:rsid w:val="6AD12649"/>
    <w:rsid w:val="6AFB3564"/>
    <w:rsid w:val="6AFB600E"/>
    <w:rsid w:val="6B1C2570"/>
    <w:rsid w:val="6B3349FF"/>
    <w:rsid w:val="6B422A43"/>
    <w:rsid w:val="6B4613BB"/>
    <w:rsid w:val="6B4906B2"/>
    <w:rsid w:val="6B676DB4"/>
    <w:rsid w:val="6B717EF2"/>
    <w:rsid w:val="6B825ACE"/>
    <w:rsid w:val="6B896140"/>
    <w:rsid w:val="6BA80556"/>
    <w:rsid w:val="6BC17FE3"/>
    <w:rsid w:val="6BD8071B"/>
    <w:rsid w:val="6BE15092"/>
    <w:rsid w:val="6BE4183B"/>
    <w:rsid w:val="6BE6021C"/>
    <w:rsid w:val="6BE6586C"/>
    <w:rsid w:val="6BF238E7"/>
    <w:rsid w:val="6BF97B65"/>
    <w:rsid w:val="6C144C36"/>
    <w:rsid w:val="6C1F0AB6"/>
    <w:rsid w:val="6C405C9E"/>
    <w:rsid w:val="6C4727AF"/>
    <w:rsid w:val="6C51029A"/>
    <w:rsid w:val="6C540010"/>
    <w:rsid w:val="6C563F61"/>
    <w:rsid w:val="6C755D77"/>
    <w:rsid w:val="6C9C77B6"/>
    <w:rsid w:val="6CD01F64"/>
    <w:rsid w:val="6CD12DCD"/>
    <w:rsid w:val="6CD217A7"/>
    <w:rsid w:val="6CE1274C"/>
    <w:rsid w:val="6CF47556"/>
    <w:rsid w:val="6CFC7197"/>
    <w:rsid w:val="6D0756D3"/>
    <w:rsid w:val="6D0A7F78"/>
    <w:rsid w:val="6D204157"/>
    <w:rsid w:val="6D33084E"/>
    <w:rsid w:val="6D6C7EC4"/>
    <w:rsid w:val="6D747719"/>
    <w:rsid w:val="6D776BED"/>
    <w:rsid w:val="6D8555B8"/>
    <w:rsid w:val="6D8B5A9D"/>
    <w:rsid w:val="6D8E3129"/>
    <w:rsid w:val="6DA51DD4"/>
    <w:rsid w:val="6DAB5AB0"/>
    <w:rsid w:val="6DBF0B71"/>
    <w:rsid w:val="6DC24D4E"/>
    <w:rsid w:val="6DC83E84"/>
    <w:rsid w:val="6DD75C0C"/>
    <w:rsid w:val="6DDA30BE"/>
    <w:rsid w:val="6DDE39E2"/>
    <w:rsid w:val="6DFC7318"/>
    <w:rsid w:val="6E0249A3"/>
    <w:rsid w:val="6E111FA1"/>
    <w:rsid w:val="6E2966FA"/>
    <w:rsid w:val="6E323BAC"/>
    <w:rsid w:val="6E3A5B58"/>
    <w:rsid w:val="6E453419"/>
    <w:rsid w:val="6E5029B1"/>
    <w:rsid w:val="6E6B0E96"/>
    <w:rsid w:val="6E7575DF"/>
    <w:rsid w:val="6E77BD9F"/>
    <w:rsid w:val="6E801D57"/>
    <w:rsid w:val="6E866BD5"/>
    <w:rsid w:val="6E8836B3"/>
    <w:rsid w:val="6EA0775B"/>
    <w:rsid w:val="6EA61426"/>
    <w:rsid w:val="6EAB1365"/>
    <w:rsid w:val="6EB9543B"/>
    <w:rsid w:val="6EC0362C"/>
    <w:rsid w:val="6ED4096B"/>
    <w:rsid w:val="6ED4223D"/>
    <w:rsid w:val="6ED9738E"/>
    <w:rsid w:val="6EE65DE2"/>
    <w:rsid w:val="6F133E97"/>
    <w:rsid w:val="6F1A5D96"/>
    <w:rsid w:val="6F297190"/>
    <w:rsid w:val="6F3C736E"/>
    <w:rsid w:val="6F5FE512"/>
    <w:rsid w:val="6F6D024B"/>
    <w:rsid w:val="6F8A207F"/>
    <w:rsid w:val="6F940DCA"/>
    <w:rsid w:val="6FB3340A"/>
    <w:rsid w:val="6FC17BEF"/>
    <w:rsid w:val="6FDE422B"/>
    <w:rsid w:val="6FE130A3"/>
    <w:rsid w:val="6FEFA694"/>
    <w:rsid w:val="6FF25C6B"/>
    <w:rsid w:val="6FF4296C"/>
    <w:rsid w:val="702257B3"/>
    <w:rsid w:val="7066269E"/>
    <w:rsid w:val="70836E61"/>
    <w:rsid w:val="708A00DF"/>
    <w:rsid w:val="709D6B56"/>
    <w:rsid w:val="70BC16F0"/>
    <w:rsid w:val="70C57F4B"/>
    <w:rsid w:val="70D5330D"/>
    <w:rsid w:val="70E1438C"/>
    <w:rsid w:val="70E16B6F"/>
    <w:rsid w:val="70E43C22"/>
    <w:rsid w:val="70E545B9"/>
    <w:rsid w:val="70F14A6D"/>
    <w:rsid w:val="717722CD"/>
    <w:rsid w:val="71890A7D"/>
    <w:rsid w:val="71AB4330"/>
    <w:rsid w:val="71C10F79"/>
    <w:rsid w:val="71D46845"/>
    <w:rsid w:val="71E10672"/>
    <w:rsid w:val="720B2E88"/>
    <w:rsid w:val="722021E3"/>
    <w:rsid w:val="72256B4A"/>
    <w:rsid w:val="722F0422"/>
    <w:rsid w:val="723461ED"/>
    <w:rsid w:val="723B7CF4"/>
    <w:rsid w:val="725028DC"/>
    <w:rsid w:val="725E24A7"/>
    <w:rsid w:val="72632335"/>
    <w:rsid w:val="7269426F"/>
    <w:rsid w:val="72A254BD"/>
    <w:rsid w:val="72AA7725"/>
    <w:rsid w:val="72B1699F"/>
    <w:rsid w:val="72E45550"/>
    <w:rsid w:val="72E63BB5"/>
    <w:rsid w:val="7326685C"/>
    <w:rsid w:val="732C70F1"/>
    <w:rsid w:val="733A3C6B"/>
    <w:rsid w:val="7361773F"/>
    <w:rsid w:val="736C66D3"/>
    <w:rsid w:val="736F3DE3"/>
    <w:rsid w:val="737944CF"/>
    <w:rsid w:val="73875A73"/>
    <w:rsid w:val="738A4C3F"/>
    <w:rsid w:val="741C26E9"/>
    <w:rsid w:val="741C74DD"/>
    <w:rsid w:val="74405AF2"/>
    <w:rsid w:val="74461F89"/>
    <w:rsid w:val="747273E3"/>
    <w:rsid w:val="748E4778"/>
    <w:rsid w:val="74902227"/>
    <w:rsid w:val="749B7A64"/>
    <w:rsid w:val="74B114BD"/>
    <w:rsid w:val="74BA4DE2"/>
    <w:rsid w:val="74C94DB4"/>
    <w:rsid w:val="74CF5175"/>
    <w:rsid w:val="74E90D53"/>
    <w:rsid w:val="74EE678E"/>
    <w:rsid w:val="74F14380"/>
    <w:rsid w:val="74FD27E0"/>
    <w:rsid w:val="750F40AD"/>
    <w:rsid w:val="75160DA0"/>
    <w:rsid w:val="75246B3A"/>
    <w:rsid w:val="75571295"/>
    <w:rsid w:val="755C3A1A"/>
    <w:rsid w:val="757038BB"/>
    <w:rsid w:val="75780D14"/>
    <w:rsid w:val="758105C5"/>
    <w:rsid w:val="75826F30"/>
    <w:rsid w:val="759B1B1D"/>
    <w:rsid w:val="759C1AD6"/>
    <w:rsid w:val="75B30E8B"/>
    <w:rsid w:val="75D5383A"/>
    <w:rsid w:val="75F075CF"/>
    <w:rsid w:val="75FD6B33"/>
    <w:rsid w:val="760658E4"/>
    <w:rsid w:val="76226EA4"/>
    <w:rsid w:val="76232F69"/>
    <w:rsid w:val="764E1293"/>
    <w:rsid w:val="76560488"/>
    <w:rsid w:val="766E7285"/>
    <w:rsid w:val="767756D4"/>
    <w:rsid w:val="767B4278"/>
    <w:rsid w:val="76851245"/>
    <w:rsid w:val="76916B59"/>
    <w:rsid w:val="769A1520"/>
    <w:rsid w:val="769C43ED"/>
    <w:rsid w:val="76AC5099"/>
    <w:rsid w:val="76AF05E8"/>
    <w:rsid w:val="76AF2F74"/>
    <w:rsid w:val="76B36A0F"/>
    <w:rsid w:val="76CB4CF2"/>
    <w:rsid w:val="76DF0932"/>
    <w:rsid w:val="76DF14CA"/>
    <w:rsid w:val="76E31AAF"/>
    <w:rsid w:val="76FC2181"/>
    <w:rsid w:val="770D6902"/>
    <w:rsid w:val="771A21E2"/>
    <w:rsid w:val="771A5AFE"/>
    <w:rsid w:val="77663F2D"/>
    <w:rsid w:val="77792F29"/>
    <w:rsid w:val="777A47D6"/>
    <w:rsid w:val="77957C9E"/>
    <w:rsid w:val="77AB5F67"/>
    <w:rsid w:val="77B07D5A"/>
    <w:rsid w:val="77BB66C2"/>
    <w:rsid w:val="77C42902"/>
    <w:rsid w:val="77C877C6"/>
    <w:rsid w:val="77E81F36"/>
    <w:rsid w:val="77FFE5DD"/>
    <w:rsid w:val="780B51EB"/>
    <w:rsid w:val="78371648"/>
    <w:rsid w:val="783C6E1D"/>
    <w:rsid w:val="784D3D0F"/>
    <w:rsid w:val="78755D9B"/>
    <w:rsid w:val="787F1F5D"/>
    <w:rsid w:val="78A2272E"/>
    <w:rsid w:val="78AD6DD5"/>
    <w:rsid w:val="78B37E1A"/>
    <w:rsid w:val="78B63260"/>
    <w:rsid w:val="78BB5A91"/>
    <w:rsid w:val="78D12F6D"/>
    <w:rsid w:val="78FB0E8D"/>
    <w:rsid w:val="790448E5"/>
    <w:rsid w:val="791752C8"/>
    <w:rsid w:val="793D325E"/>
    <w:rsid w:val="7944601E"/>
    <w:rsid w:val="79471640"/>
    <w:rsid w:val="794F7381"/>
    <w:rsid w:val="79525B55"/>
    <w:rsid w:val="7959159A"/>
    <w:rsid w:val="796E3F04"/>
    <w:rsid w:val="796F545B"/>
    <w:rsid w:val="797327D5"/>
    <w:rsid w:val="79913D4A"/>
    <w:rsid w:val="79943B71"/>
    <w:rsid w:val="79987177"/>
    <w:rsid w:val="79B62AB9"/>
    <w:rsid w:val="79BE7D34"/>
    <w:rsid w:val="79C15F87"/>
    <w:rsid w:val="79D72F6C"/>
    <w:rsid w:val="79E05E07"/>
    <w:rsid w:val="79FBF7F9"/>
    <w:rsid w:val="7A0114D7"/>
    <w:rsid w:val="7A09119D"/>
    <w:rsid w:val="7A3118F6"/>
    <w:rsid w:val="7A4A2962"/>
    <w:rsid w:val="7A4C25BE"/>
    <w:rsid w:val="7A5E7408"/>
    <w:rsid w:val="7A6F2E4F"/>
    <w:rsid w:val="7A9710A2"/>
    <w:rsid w:val="7A98047E"/>
    <w:rsid w:val="7A9A0590"/>
    <w:rsid w:val="7A9F5753"/>
    <w:rsid w:val="7AA463BE"/>
    <w:rsid w:val="7AA513D1"/>
    <w:rsid w:val="7AB81A0F"/>
    <w:rsid w:val="7AC15AB7"/>
    <w:rsid w:val="7AF51859"/>
    <w:rsid w:val="7B0B53EE"/>
    <w:rsid w:val="7B0D6293"/>
    <w:rsid w:val="7B0E3197"/>
    <w:rsid w:val="7B1C624C"/>
    <w:rsid w:val="7B235367"/>
    <w:rsid w:val="7B290DC1"/>
    <w:rsid w:val="7B4E0D77"/>
    <w:rsid w:val="7B5846BD"/>
    <w:rsid w:val="7B704B53"/>
    <w:rsid w:val="7B782ABB"/>
    <w:rsid w:val="7B7E55FF"/>
    <w:rsid w:val="7B7F3FEC"/>
    <w:rsid w:val="7B804D23"/>
    <w:rsid w:val="7BA132F5"/>
    <w:rsid w:val="7BA8111F"/>
    <w:rsid w:val="7BB51D44"/>
    <w:rsid w:val="7BDD6517"/>
    <w:rsid w:val="7BDF3545"/>
    <w:rsid w:val="7BE12781"/>
    <w:rsid w:val="7BFD05C1"/>
    <w:rsid w:val="7C1D5008"/>
    <w:rsid w:val="7C2117DE"/>
    <w:rsid w:val="7C2E2C9C"/>
    <w:rsid w:val="7C305330"/>
    <w:rsid w:val="7C3B7B82"/>
    <w:rsid w:val="7C3F329D"/>
    <w:rsid w:val="7C6B2695"/>
    <w:rsid w:val="7C6C525B"/>
    <w:rsid w:val="7C7A5B57"/>
    <w:rsid w:val="7C8D73CB"/>
    <w:rsid w:val="7CAE608C"/>
    <w:rsid w:val="7CB44689"/>
    <w:rsid w:val="7CC21E65"/>
    <w:rsid w:val="7CC83377"/>
    <w:rsid w:val="7CCE60DE"/>
    <w:rsid w:val="7CD890A9"/>
    <w:rsid w:val="7CF6DCF7"/>
    <w:rsid w:val="7D087350"/>
    <w:rsid w:val="7D247A94"/>
    <w:rsid w:val="7D2C69C2"/>
    <w:rsid w:val="7D3A5969"/>
    <w:rsid w:val="7D5F58AF"/>
    <w:rsid w:val="7D6C664C"/>
    <w:rsid w:val="7D7021F8"/>
    <w:rsid w:val="7D853C82"/>
    <w:rsid w:val="7D8B601E"/>
    <w:rsid w:val="7DAD170E"/>
    <w:rsid w:val="7DBE7726"/>
    <w:rsid w:val="7DCD0529"/>
    <w:rsid w:val="7DD1622A"/>
    <w:rsid w:val="7DE6042B"/>
    <w:rsid w:val="7DF16EA5"/>
    <w:rsid w:val="7DF448CE"/>
    <w:rsid w:val="7E00140E"/>
    <w:rsid w:val="7E366A13"/>
    <w:rsid w:val="7E38441C"/>
    <w:rsid w:val="7E447030"/>
    <w:rsid w:val="7E476EFF"/>
    <w:rsid w:val="7E531E9E"/>
    <w:rsid w:val="7E6132E6"/>
    <w:rsid w:val="7E6942E5"/>
    <w:rsid w:val="7E6A5DC5"/>
    <w:rsid w:val="7E6E7AA0"/>
    <w:rsid w:val="7E740A35"/>
    <w:rsid w:val="7E7A4DE3"/>
    <w:rsid w:val="7E864A2B"/>
    <w:rsid w:val="7EBE11D4"/>
    <w:rsid w:val="7EBF0ABF"/>
    <w:rsid w:val="7EC910A0"/>
    <w:rsid w:val="7ED2669D"/>
    <w:rsid w:val="7ED7135A"/>
    <w:rsid w:val="7F067F7E"/>
    <w:rsid w:val="7F1B3CC2"/>
    <w:rsid w:val="7F2F3548"/>
    <w:rsid w:val="7F499C4C"/>
    <w:rsid w:val="7F8653CE"/>
    <w:rsid w:val="7FAF87B7"/>
    <w:rsid w:val="7FE24DE8"/>
    <w:rsid w:val="7FEF2919"/>
    <w:rsid w:val="7FF39AEC"/>
    <w:rsid w:val="7FFE2173"/>
    <w:rsid w:val="8FFF4A05"/>
    <w:rsid w:val="965F190E"/>
    <w:rsid w:val="9D7F212F"/>
    <w:rsid w:val="AEC745B5"/>
    <w:rsid w:val="B3D97B4B"/>
    <w:rsid w:val="B47F1A8B"/>
    <w:rsid w:val="BBEFA620"/>
    <w:rsid w:val="BDC332DE"/>
    <w:rsid w:val="BEEC7CC2"/>
    <w:rsid w:val="BFF58CAA"/>
    <w:rsid w:val="CFFE1AFF"/>
    <w:rsid w:val="D3DF8A1A"/>
    <w:rsid w:val="D8DF123D"/>
    <w:rsid w:val="DBEFF691"/>
    <w:rsid w:val="DCFB6138"/>
    <w:rsid w:val="DD2F3F99"/>
    <w:rsid w:val="DDE6B03E"/>
    <w:rsid w:val="DEFB0D24"/>
    <w:rsid w:val="DF5F6F52"/>
    <w:rsid w:val="DFFFF76C"/>
    <w:rsid w:val="E375126C"/>
    <w:rsid w:val="E37D6372"/>
    <w:rsid w:val="E6BFFD93"/>
    <w:rsid w:val="EAFEF3C6"/>
    <w:rsid w:val="EAFFF864"/>
    <w:rsid w:val="EB5B598F"/>
    <w:rsid w:val="EF571CE0"/>
    <w:rsid w:val="EF7F73C8"/>
    <w:rsid w:val="EFD63ED6"/>
    <w:rsid w:val="EFF31F72"/>
    <w:rsid w:val="EFFFFC73"/>
    <w:rsid w:val="F372B0EE"/>
    <w:rsid w:val="F517BAB2"/>
    <w:rsid w:val="F5CD7EBE"/>
    <w:rsid w:val="F75F4661"/>
    <w:rsid w:val="F7AF3E24"/>
    <w:rsid w:val="F7D7D53E"/>
    <w:rsid w:val="F7E6C9AA"/>
    <w:rsid w:val="FABB8E4B"/>
    <w:rsid w:val="FBFD76C9"/>
    <w:rsid w:val="FCD39397"/>
    <w:rsid w:val="FD273217"/>
    <w:rsid w:val="FDBEBB11"/>
    <w:rsid w:val="FDEB5831"/>
    <w:rsid w:val="FDF23EF6"/>
    <w:rsid w:val="FDFF51D5"/>
    <w:rsid w:val="FF3D2295"/>
    <w:rsid w:val="FFDDA396"/>
    <w:rsid w:val="FFED4B36"/>
    <w:rsid w:val="FFEDCF7B"/>
    <w:rsid w:val="FFF26F95"/>
    <w:rsid w:val="FFFD86DC"/>
    <w:rsid w:val="FFFF88DE"/>
    <w:rsid w:val="FFFFCD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880" w:firstLineChars="200"/>
      <w:jc w:val="both"/>
    </w:pPr>
    <w:rPr>
      <w:rFonts w:ascii="仿宋_GB2312" w:hAnsi="仿宋_GB2312" w:eastAsia="仿宋_GB2312" w:cs="Times New Roman"/>
      <w:kern w:val="2"/>
      <w:sz w:val="32"/>
      <w:szCs w:val="21"/>
      <w:lang w:val="en-US" w:eastAsia="zh-CN" w:bidi="ar-SA"/>
    </w:rPr>
  </w:style>
  <w:style w:type="paragraph" w:styleId="3">
    <w:name w:val="heading 1"/>
    <w:basedOn w:val="1"/>
    <w:next w:val="1"/>
    <w:qFormat/>
    <w:locked/>
    <w:uiPriority w:val="0"/>
    <w:pPr>
      <w:keepNext/>
      <w:keepLines/>
      <w:outlineLvl w:val="0"/>
    </w:pPr>
    <w:rPr>
      <w:rFonts w:eastAsia="黑体"/>
      <w:kern w:val="44"/>
    </w:rPr>
  </w:style>
  <w:style w:type="paragraph" w:styleId="4">
    <w:name w:val="heading 2"/>
    <w:basedOn w:val="1"/>
    <w:next w:val="1"/>
    <w:unhideWhenUsed/>
    <w:qFormat/>
    <w:locked/>
    <w:uiPriority w:val="0"/>
    <w:pPr>
      <w:keepNext/>
      <w:keepLines/>
      <w:outlineLvl w:val="1"/>
    </w:pPr>
    <w:rPr>
      <w:rFonts w:ascii="Arial" w:hAnsi="Arial" w:eastAsia="楷体_GB2312"/>
      <w:b/>
    </w:rPr>
  </w:style>
  <w:style w:type="paragraph" w:styleId="5">
    <w:name w:val="heading 3"/>
    <w:basedOn w:val="1"/>
    <w:next w:val="1"/>
    <w:unhideWhenUsed/>
    <w:qFormat/>
    <w:locked/>
    <w:uiPriority w:val="0"/>
    <w:pPr>
      <w:keepNext/>
      <w:keepLines/>
      <w:outlineLvl w:val="2"/>
    </w:pPr>
    <w:rPr>
      <w:b/>
    </w:rPr>
  </w:style>
  <w:style w:type="paragraph" w:styleId="2">
    <w:name w:val="heading 4"/>
    <w:basedOn w:val="1"/>
    <w:next w:val="1"/>
    <w:unhideWhenUsed/>
    <w:qFormat/>
    <w:locked/>
    <w:uiPriority w:val="0"/>
    <w:pPr>
      <w:keepNext/>
      <w:keepLines/>
      <w:outlineLvl w:val="3"/>
    </w:p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semiHidden/>
    <w:unhideWhenUsed/>
    <w:qFormat/>
    <w:locked/>
    <w:uiPriority w:val="0"/>
    <w:rPr>
      <w:rFonts w:ascii="Arial" w:hAnsi="Arial" w:eastAsia="黑体"/>
      <w:sz w:val="20"/>
    </w:rPr>
  </w:style>
  <w:style w:type="paragraph" w:styleId="7">
    <w:name w:val="annotation text"/>
    <w:basedOn w:val="1"/>
    <w:link w:val="41"/>
    <w:unhideWhenUsed/>
    <w:qFormat/>
    <w:uiPriority w:val="99"/>
    <w:pPr>
      <w:jc w:val="left"/>
    </w:pPr>
  </w:style>
  <w:style w:type="paragraph" w:styleId="8">
    <w:name w:val="Body Text"/>
    <w:basedOn w:val="1"/>
    <w:next w:val="1"/>
    <w:qFormat/>
    <w:uiPriority w:val="0"/>
    <w:pPr>
      <w:spacing w:after="120"/>
    </w:pPr>
  </w:style>
  <w:style w:type="paragraph" w:styleId="9">
    <w:name w:val="toc 3"/>
    <w:basedOn w:val="1"/>
    <w:next w:val="1"/>
    <w:qFormat/>
    <w:locked/>
    <w:uiPriority w:val="0"/>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footer"/>
    <w:basedOn w:val="1"/>
    <w:link w:val="27"/>
    <w:qFormat/>
    <w:uiPriority w:val="99"/>
    <w:pPr>
      <w:tabs>
        <w:tab w:val="center" w:pos="4153"/>
        <w:tab w:val="right" w:pos="8306"/>
      </w:tabs>
      <w:jc w:val="left"/>
    </w:pPr>
    <w:rPr>
      <w:rFonts w:ascii="Calibri" w:hAnsi="Calibri" w:cs="Calibri"/>
      <w:sz w:val="18"/>
      <w:szCs w:val="18"/>
    </w:rPr>
  </w:style>
  <w:style w:type="paragraph" w:styleId="12">
    <w:name w:val="header"/>
    <w:basedOn w:val="1"/>
    <w:link w:val="26"/>
    <w:semiHidden/>
    <w:qFormat/>
    <w:uiPriority w:val="99"/>
    <w:pPr>
      <w:pBdr>
        <w:bottom w:val="single" w:color="auto" w:sz="6" w:space="1"/>
      </w:pBdr>
      <w:tabs>
        <w:tab w:val="center" w:pos="4153"/>
        <w:tab w:val="right" w:pos="8306"/>
      </w:tabs>
      <w:jc w:val="center"/>
    </w:pPr>
    <w:rPr>
      <w:rFonts w:ascii="Calibri" w:hAnsi="Calibri" w:cs="Calibri"/>
      <w:sz w:val="18"/>
      <w:szCs w:val="18"/>
    </w:rPr>
  </w:style>
  <w:style w:type="paragraph" w:styleId="13">
    <w:name w:val="toc 1"/>
    <w:basedOn w:val="1"/>
    <w:next w:val="1"/>
    <w:qFormat/>
    <w:locked/>
    <w:uiPriority w:val="0"/>
  </w:style>
  <w:style w:type="paragraph" w:styleId="14">
    <w:name w:val="footnote text"/>
    <w:basedOn w:val="1"/>
    <w:unhideWhenUsed/>
    <w:qFormat/>
    <w:uiPriority w:val="99"/>
    <w:pPr>
      <w:jc w:val="left"/>
    </w:pPr>
    <w:rPr>
      <w:sz w:val="18"/>
    </w:rPr>
  </w:style>
  <w:style w:type="paragraph" w:styleId="15">
    <w:name w:val="toc 2"/>
    <w:basedOn w:val="1"/>
    <w:next w:val="1"/>
    <w:qFormat/>
    <w:locked/>
    <w:uiPriority w:val="0"/>
    <w:pPr>
      <w:ind w:left="420" w:leftChars="200"/>
    </w:pPr>
  </w:style>
  <w:style w:type="paragraph" w:styleId="16">
    <w:name w:val="Title"/>
    <w:basedOn w:val="1"/>
    <w:link w:val="36"/>
    <w:qFormat/>
    <w:locked/>
    <w:uiPriority w:val="0"/>
    <w:pPr>
      <w:spacing w:before="240" w:after="60"/>
      <w:jc w:val="center"/>
      <w:outlineLvl w:val="0"/>
    </w:pPr>
    <w:rPr>
      <w:rFonts w:ascii="Arial" w:hAnsi="Arial"/>
      <w:b/>
    </w:rPr>
  </w:style>
  <w:style w:type="paragraph" w:styleId="17">
    <w:name w:val="annotation subject"/>
    <w:basedOn w:val="7"/>
    <w:next w:val="7"/>
    <w:link w:val="42"/>
    <w:semiHidden/>
    <w:unhideWhenUsed/>
    <w:qFormat/>
    <w:uiPriority w:val="99"/>
    <w:rPr>
      <w:b/>
      <w:bCs/>
    </w:rPr>
  </w:style>
  <w:style w:type="table" w:styleId="19">
    <w:name w:val="Table Grid"/>
    <w:basedOn w:val="1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0"/>
    <w:rPr>
      <w:b/>
    </w:rPr>
  </w:style>
  <w:style w:type="character" w:styleId="22">
    <w:name w:val="page number"/>
    <w:basedOn w:val="20"/>
    <w:qFormat/>
    <w:uiPriority w:val="99"/>
  </w:style>
  <w:style w:type="character" w:styleId="23">
    <w:name w:val="Hyperlink"/>
    <w:basedOn w:val="20"/>
    <w:unhideWhenUsed/>
    <w:qFormat/>
    <w:uiPriority w:val="99"/>
    <w:rPr>
      <w:color w:val="0000FF"/>
      <w:u w:val="single"/>
    </w:rPr>
  </w:style>
  <w:style w:type="character" w:styleId="24">
    <w:name w:val="annotation reference"/>
    <w:basedOn w:val="20"/>
    <w:semiHidden/>
    <w:unhideWhenUsed/>
    <w:qFormat/>
    <w:uiPriority w:val="99"/>
    <w:rPr>
      <w:sz w:val="21"/>
      <w:szCs w:val="21"/>
    </w:rPr>
  </w:style>
  <w:style w:type="character" w:styleId="25">
    <w:name w:val="footnote reference"/>
    <w:basedOn w:val="20"/>
    <w:unhideWhenUsed/>
    <w:qFormat/>
    <w:uiPriority w:val="99"/>
    <w:rPr>
      <w:vertAlign w:val="superscript"/>
    </w:rPr>
  </w:style>
  <w:style w:type="character" w:customStyle="1" w:styleId="26">
    <w:name w:val="页眉 字符"/>
    <w:link w:val="12"/>
    <w:semiHidden/>
    <w:qFormat/>
    <w:locked/>
    <w:uiPriority w:val="99"/>
    <w:rPr>
      <w:sz w:val="18"/>
      <w:szCs w:val="18"/>
    </w:rPr>
  </w:style>
  <w:style w:type="character" w:customStyle="1" w:styleId="27">
    <w:name w:val="页脚 字符"/>
    <w:link w:val="11"/>
    <w:semiHidden/>
    <w:qFormat/>
    <w:locked/>
    <w:uiPriority w:val="99"/>
    <w:rPr>
      <w:sz w:val="18"/>
      <w:szCs w:val="18"/>
    </w:rPr>
  </w:style>
  <w:style w:type="character" w:customStyle="1" w:styleId="28">
    <w:name w:val="font11"/>
    <w:basedOn w:val="20"/>
    <w:qFormat/>
    <w:uiPriority w:val="0"/>
    <w:rPr>
      <w:rFonts w:hint="eastAsia" w:ascii="宋体" w:hAnsi="宋体" w:eastAsia="宋体" w:cs="宋体"/>
      <w:color w:val="000000"/>
      <w:sz w:val="21"/>
      <w:szCs w:val="21"/>
      <w:u w:val="none"/>
    </w:rPr>
  </w:style>
  <w:style w:type="character" w:customStyle="1" w:styleId="29">
    <w:name w:val="font01"/>
    <w:basedOn w:val="20"/>
    <w:qFormat/>
    <w:uiPriority w:val="0"/>
    <w:rPr>
      <w:rFonts w:ascii="Calibri" w:hAnsi="Calibri" w:cs="Calibri"/>
      <w:color w:val="000000"/>
      <w:sz w:val="21"/>
      <w:szCs w:val="21"/>
      <w:u w:val="none"/>
    </w:rPr>
  </w:style>
  <w:style w:type="character" w:customStyle="1" w:styleId="30">
    <w:name w:val="fontstyle01"/>
    <w:basedOn w:val="20"/>
    <w:qFormat/>
    <w:uiPriority w:val="0"/>
    <w:rPr>
      <w:rFonts w:ascii="仿宋_GB2312" w:eastAsia="仿宋_GB2312" w:cs="仿宋_GB2312"/>
      <w:color w:val="000000"/>
      <w:sz w:val="32"/>
      <w:szCs w:val="32"/>
    </w:rPr>
  </w:style>
  <w:style w:type="character" w:customStyle="1" w:styleId="31">
    <w:name w:val="font322"/>
    <w:basedOn w:val="20"/>
    <w:qFormat/>
    <w:uiPriority w:val="0"/>
    <w:rPr>
      <w:rFonts w:hint="eastAsia" w:ascii="仿宋_GB2312" w:eastAsia="仿宋_GB2312" w:cs="仿宋_GB2312"/>
      <w:color w:val="000000"/>
      <w:sz w:val="22"/>
      <w:szCs w:val="22"/>
      <w:u w:val="none"/>
    </w:rPr>
  </w:style>
  <w:style w:type="character" w:customStyle="1" w:styleId="32">
    <w:name w:val="font341"/>
    <w:basedOn w:val="20"/>
    <w:qFormat/>
    <w:uiPriority w:val="0"/>
    <w:rPr>
      <w:rFonts w:hint="eastAsia" w:ascii="仿宋_GB2312" w:eastAsia="仿宋_GB2312" w:cs="仿宋_GB2312"/>
      <w:color w:val="000000"/>
      <w:sz w:val="20"/>
      <w:szCs w:val="20"/>
      <w:u w:val="none"/>
    </w:rPr>
  </w:style>
  <w:style w:type="character" w:customStyle="1" w:styleId="33">
    <w:name w:val="font181"/>
    <w:basedOn w:val="20"/>
    <w:qFormat/>
    <w:uiPriority w:val="0"/>
    <w:rPr>
      <w:rFonts w:hint="eastAsia" w:ascii="宋体" w:hAnsi="宋体" w:eastAsia="宋体" w:cs="宋体"/>
      <w:color w:val="000000"/>
      <w:sz w:val="20"/>
      <w:szCs w:val="20"/>
      <w:u w:val="none"/>
    </w:rPr>
  </w:style>
  <w:style w:type="character" w:customStyle="1" w:styleId="34">
    <w:name w:val="font41"/>
    <w:basedOn w:val="20"/>
    <w:qFormat/>
    <w:uiPriority w:val="0"/>
    <w:rPr>
      <w:rFonts w:hint="eastAsia" w:ascii="宋体" w:hAnsi="宋体" w:eastAsia="宋体" w:cs="宋体"/>
      <w:color w:val="000000"/>
      <w:sz w:val="16"/>
      <w:szCs w:val="16"/>
      <w:u w:val="none"/>
    </w:rPr>
  </w:style>
  <w:style w:type="character" w:customStyle="1" w:styleId="35">
    <w:name w:val="font51"/>
    <w:basedOn w:val="20"/>
    <w:qFormat/>
    <w:uiPriority w:val="0"/>
    <w:rPr>
      <w:rFonts w:hint="default" w:ascii="Times New Roman" w:hAnsi="Times New Roman" w:cs="Times New Roman"/>
      <w:color w:val="000000"/>
      <w:sz w:val="16"/>
      <w:szCs w:val="16"/>
      <w:u w:val="none"/>
    </w:rPr>
  </w:style>
  <w:style w:type="character" w:customStyle="1" w:styleId="36">
    <w:name w:val="标题 字符"/>
    <w:basedOn w:val="20"/>
    <w:link w:val="16"/>
    <w:qFormat/>
    <w:uiPriority w:val="0"/>
    <w:rPr>
      <w:rFonts w:ascii="等线 Light" w:hAnsi="等线 Light" w:eastAsia="等线 Light" w:cs="Times New Roman"/>
      <w:b/>
      <w:kern w:val="2"/>
      <w:sz w:val="32"/>
      <w:szCs w:val="32"/>
    </w:rPr>
  </w:style>
  <w:style w:type="character" w:customStyle="1" w:styleId="37">
    <w:name w:val="font21"/>
    <w:basedOn w:val="20"/>
    <w:qFormat/>
    <w:uiPriority w:val="0"/>
    <w:rPr>
      <w:rFonts w:hint="eastAsia" w:ascii="仿宋_GB2312" w:eastAsia="仿宋_GB2312" w:cs="仿宋_GB2312"/>
      <w:color w:val="000000"/>
      <w:sz w:val="24"/>
      <w:szCs w:val="24"/>
      <w:u w:val="none"/>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1">
    <w:name w:val="批注文字 字符"/>
    <w:basedOn w:val="20"/>
    <w:link w:val="7"/>
    <w:qFormat/>
    <w:uiPriority w:val="99"/>
    <w:rPr>
      <w:rFonts w:ascii="仿宋_GB2312" w:hAnsi="仿宋_GB2312" w:eastAsia="仿宋_GB2312"/>
      <w:kern w:val="2"/>
      <w:sz w:val="32"/>
      <w:szCs w:val="21"/>
    </w:rPr>
  </w:style>
  <w:style w:type="character" w:customStyle="1" w:styleId="42">
    <w:name w:val="批注主题 字符"/>
    <w:basedOn w:val="41"/>
    <w:link w:val="17"/>
    <w:semiHidden/>
    <w:qFormat/>
    <w:uiPriority w:val="99"/>
    <w:rPr>
      <w:rFonts w:ascii="仿宋_GB2312" w:hAnsi="仿宋_GB2312" w:eastAsia="仿宋_GB2312"/>
      <w:b/>
      <w:bCs/>
      <w:kern w:val="2"/>
      <w:sz w:val="32"/>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12278</Words>
  <Characters>12772</Characters>
  <Lines>103</Lines>
  <Paragraphs>29</Paragraphs>
  <TotalTime>8</TotalTime>
  <ScaleCrop>false</ScaleCrop>
  <LinksUpToDate>false</LinksUpToDate>
  <CharactersWithSpaces>12846</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2020-03-13T20:06:00Z</dcterms:created>
  <dc:creator>沈洋</dc:creator>
  <cp:lastModifiedBy>huawei</cp:lastModifiedBy>
  <cp:lastPrinted>2019-04-13T23:56:00Z</cp:lastPrinted>
  <dcterms:modified xsi:type="dcterms:W3CDTF">2026-01-04T16:26:48Z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D2D36FD69C30D8B01C225A69CE4A87F3</vt:lpwstr>
  </property>
</Properties>
</file>