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6992">
      <w:pPr>
        <w:keepNext w:val="0"/>
        <w:keepLines w:val="0"/>
        <w:pageBreakBefore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 </w:t>
      </w:r>
    </w:p>
    <w:p w14:paraId="1833B4BD">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“链式”中小企业数字化转型产品</w:t>
      </w:r>
    </w:p>
    <w:p w14:paraId="5962501E">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和服务支持项目</w:t>
      </w:r>
      <w:r>
        <w:rPr>
          <w:rFonts w:hint="eastAsia" w:ascii="方正小标宋简体" w:hAnsi="方正小标宋简体" w:eastAsia="方正小标宋简体" w:cs="方正小标宋简体"/>
          <w:sz w:val="44"/>
          <w:szCs w:val="44"/>
          <w:lang w:eastAsia="zh-CN"/>
        </w:rPr>
        <w:t>名单</w:t>
      </w:r>
    </w:p>
    <w:tbl>
      <w:tblPr>
        <w:tblStyle w:val="6"/>
        <w:tblpPr w:leftFromText="180" w:rightFromText="180" w:vertAnchor="text" w:horzAnchor="page" w:tblpX="1802"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94"/>
        <w:gridCol w:w="4397"/>
        <w:gridCol w:w="1080"/>
        <w:gridCol w:w="1065"/>
      </w:tblGrid>
      <w:tr w14:paraId="2BC9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57" w:type="dxa"/>
            <w:noWrap w:val="0"/>
            <w:vAlign w:val="center"/>
          </w:tcPr>
          <w:p w14:paraId="5AE4E489">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1394" w:type="dxa"/>
            <w:noWrap w:val="0"/>
            <w:vAlign w:val="center"/>
          </w:tcPr>
          <w:p w14:paraId="792D95C7">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申报单位</w:t>
            </w:r>
          </w:p>
        </w:tc>
        <w:tc>
          <w:tcPr>
            <w:tcW w:w="4397" w:type="dxa"/>
            <w:noWrap w:val="0"/>
            <w:vAlign w:val="center"/>
          </w:tcPr>
          <w:p w14:paraId="6321188F">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案例名称</w:t>
            </w:r>
          </w:p>
        </w:tc>
        <w:tc>
          <w:tcPr>
            <w:tcW w:w="1080" w:type="dxa"/>
            <w:noWrap w:val="0"/>
            <w:vAlign w:val="center"/>
          </w:tcPr>
          <w:p w14:paraId="3BF8AE58">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所属</w:t>
            </w:r>
            <w:r>
              <w:rPr>
                <w:rFonts w:hint="eastAsia" w:ascii="黑体" w:hAnsi="黑体" w:eastAsia="黑体" w:cs="黑体"/>
                <w:sz w:val="28"/>
                <w:szCs w:val="28"/>
                <w:lang w:val="en-US" w:eastAsia="zh-CN"/>
              </w:rPr>
              <w:br w:type="textWrapping"/>
            </w:r>
            <w:r>
              <w:rPr>
                <w:rFonts w:hint="eastAsia" w:ascii="黑体" w:hAnsi="黑体" w:eastAsia="黑体" w:cs="黑体"/>
                <w:sz w:val="28"/>
                <w:szCs w:val="28"/>
                <w:lang w:val="en-US" w:eastAsia="zh-CN"/>
              </w:rPr>
              <w:t>行业</w:t>
            </w:r>
          </w:p>
        </w:tc>
        <w:tc>
          <w:tcPr>
            <w:tcW w:w="1065" w:type="dxa"/>
            <w:noWrap w:val="0"/>
            <w:vAlign w:val="center"/>
          </w:tcPr>
          <w:p w14:paraId="7BF0AC03">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资助</w:t>
            </w:r>
            <w:r>
              <w:rPr>
                <w:rFonts w:hint="eastAsia" w:ascii="黑体" w:hAnsi="黑体" w:eastAsia="黑体" w:cs="黑体"/>
                <w:sz w:val="28"/>
                <w:szCs w:val="28"/>
                <w:lang w:val="en-US" w:eastAsia="zh-CN"/>
              </w:rPr>
              <w:br w:type="textWrapping"/>
            </w:r>
            <w:r>
              <w:rPr>
                <w:rFonts w:hint="eastAsia" w:ascii="黑体" w:hAnsi="黑体" w:eastAsia="黑体" w:cs="黑体"/>
                <w:sz w:val="28"/>
                <w:szCs w:val="28"/>
                <w:lang w:val="en-US" w:eastAsia="zh-CN"/>
              </w:rPr>
              <w:t>方向</w:t>
            </w:r>
          </w:p>
        </w:tc>
      </w:tr>
      <w:tr w14:paraId="73A9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340D77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94" w:type="dxa"/>
            <w:noWrap w:val="0"/>
            <w:vAlign w:val="center"/>
          </w:tcPr>
          <w:p w14:paraId="6F665FF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中国长城科技集团股份有限公司</w:t>
            </w:r>
          </w:p>
        </w:tc>
        <w:tc>
          <w:tcPr>
            <w:tcW w:w="4397" w:type="dxa"/>
            <w:noWrap w:val="0"/>
            <w:vAlign w:val="center"/>
          </w:tcPr>
          <w:p w14:paraId="6EFFD6A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中国长城科技集团股份有限公司通过构建全价值链国产化智慧供应链体系推动自主计算产业国货国用高质量发展</w:t>
            </w:r>
          </w:p>
        </w:tc>
        <w:tc>
          <w:tcPr>
            <w:tcW w:w="1080" w:type="dxa"/>
            <w:noWrap w:val="0"/>
            <w:vAlign w:val="center"/>
          </w:tcPr>
          <w:p w14:paraId="34BEB11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半导体与集成电路</w:t>
            </w:r>
          </w:p>
        </w:tc>
        <w:tc>
          <w:tcPr>
            <w:tcW w:w="1065" w:type="dxa"/>
            <w:noWrap w:val="0"/>
            <w:vAlign w:val="center"/>
          </w:tcPr>
          <w:p w14:paraId="270BE6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供应链赋能类型</w:t>
            </w:r>
          </w:p>
        </w:tc>
      </w:tr>
      <w:tr w14:paraId="12B8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39D04A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394" w:type="dxa"/>
            <w:noWrap w:val="0"/>
            <w:vAlign w:val="center"/>
          </w:tcPr>
          <w:p w14:paraId="6221FC5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大族激光科技产业集团股份有限公司</w:t>
            </w:r>
          </w:p>
        </w:tc>
        <w:tc>
          <w:tcPr>
            <w:tcW w:w="4397" w:type="dxa"/>
            <w:noWrap w:val="0"/>
            <w:vAlign w:val="center"/>
          </w:tcPr>
          <w:p w14:paraId="6A01BC6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大族面向精密仪器设备行业，通过“全链路数字化平台打造+供应链整合+生态系统建构”三位一体举措，实现自身持续增长和进化的同时带动产业链上下游企业协同创新与数字化转型</w:t>
            </w:r>
          </w:p>
        </w:tc>
        <w:tc>
          <w:tcPr>
            <w:tcW w:w="1080" w:type="dxa"/>
            <w:noWrap w:val="0"/>
            <w:vAlign w:val="center"/>
          </w:tcPr>
          <w:p w14:paraId="561709E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精密仪器设备</w:t>
            </w:r>
          </w:p>
        </w:tc>
        <w:tc>
          <w:tcPr>
            <w:tcW w:w="1065" w:type="dxa"/>
            <w:noWrap w:val="0"/>
            <w:vAlign w:val="center"/>
          </w:tcPr>
          <w:p w14:paraId="3441FE7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供应链赋能类型</w:t>
            </w:r>
          </w:p>
        </w:tc>
      </w:tr>
      <w:tr w14:paraId="769D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16551A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394" w:type="dxa"/>
            <w:noWrap w:val="0"/>
            <w:vAlign w:val="center"/>
          </w:tcPr>
          <w:p w14:paraId="42A442C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云鲸智能创新(深圳)有限公司</w:t>
            </w:r>
          </w:p>
        </w:tc>
        <w:tc>
          <w:tcPr>
            <w:tcW w:w="4397" w:type="dxa"/>
            <w:noWrap w:val="0"/>
            <w:vAlign w:val="center"/>
          </w:tcPr>
          <w:p w14:paraId="2619EF8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云鲸通过智能供应链协同平台形成端到端可视化供应链，通过打造全生命周期数据闭环系统实现协同生产，推动供应链上下游企业协同效率提升。</w:t>
            </w:r>
          </w:p>
        </w:tc>
        <w:tc>
          <w:tcPr>
            <w:tcW w:w="1080" w:type="dxa"/>
            <w:noWrap w:val="0"/>
            <w:vAlign w:val="center"/>
          </w:tcPr>
          <w:p w14:paraId="60A4FF8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智能机器人</w:t>
            </w:r>
          </w:p>
        </w:tc>
        <w:tc>
          <w:tcPr>
            <w:tcW w:w="1065" w:type="dxa"/>
            <w:noWrap w:val="0"/>
            <w:vAlign w:val="center"/>
          </w:tcPr>
          <w:p w14:paraId="139238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供应链赋能类型</w:t>
            </w:r>
          </w:p>
        </w:tc>
      </w:tr>
      <w:tr w14:paraId="7C6A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653515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394" w:type="dxa"/>
            <w:noWrap w:val="0"/>
            <w:vAlign w:val="center"/>
          </w:tcPr>
          <w:p w14:paraId="259E77A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深圳市思普达软件系统有限公司</w:t>
            </w:r>
          </w:p>
        </w:tc>
        <w:tc>
          <w:tcPr>
            <w:tcW w:w="4397" w:type="dxa"/>
            <w:noWrap w:val="0"/>
            <w:vAlign w:val="center"/>
          </w:tcPr>
          <w:p w14:paraId="4CF94DB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思普达通过数字化平台助力半导体行业打通IC封测产业链，实现设计-制造-分销全链条协同与国产替代升级。</w:t>
            </w:r>
          </w:p>
        </w:tc>
        <w:tc>
          <w:tcPr>
            <w:tcW w:w="1080" w:type="dxa"/>
            <w:noWrap w:val="0"/>
            <w:vAlign w:val="center"/>
          </w:tcPr>
          <w:p w14:paraId="039222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半导体与集成电路</w:t>
            </w:r>
          </w:p>
        </w:tc>
        <w:tc>
          <w:tcPr>
            <w:tcW w:w="1065" w:type="dxa"/>
            <w:noWrap w:val="0"/>
            <w:vAlign w:val="center"/>
          </w:tcPr>
          <w:p w14:paraId="495AC8E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产业链赋能类型</w:t>
            </w:r>
          </w:p>
        </w:tc>
      </w:tr>
      <w:tr w14:paraId="7D5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550973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394" w:type="dxa"/>
            <w:noWrap w:val="0"/>
            <w:vAlign w:val="center"/>
          </w:tcPr>
          <w:p w14:paraId="579E6EF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深圳市爱世达资讯科技有限公司</w:t>
            </w:r>
          </w:p>
        </w:tc>
        <w:tc>
          <w:tcPr>
            <w:tcW w:w="4397" w:type="dxa"/>
            <w:noWrap w:val="0"/>
            <w:vAlign w:val="center"/>
          </w:tcPr>
          <w:p w14:paraId="406C59A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爱世达通过ASEDI低代码平台结合整体信息化应用，助力精密仪器设备行业实现数字化融合与协作</w:t>
            </w:r>
          </w:p>
        </w:tc>
        <w:tc>
          <w:tcPr>
            <w:tcW w:w="1080" w:type="dxa"/>
            <w:noWrap w:val="0"/>
            <w:vAlign w:val="center"/>
          </w:tcPr>
          <w:p w14:paraId="4EDE966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精密仪器设备</w:t>
            </w:r>
          </w:p>
        </w:tc>
        <w:tc>
          <w:tcPr>
            <w:tcW w:w="1065" w:type="dxa"/>
            <w:noWrap w:val="0"/>
            <w:vAlign w:val="center"/>
          </w:tcPr>
          <w:p w14:paraId="1682B9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产业链赋能类型</w:t>
            </w:r>
          </w:p>
        </w:tc>
      </w:tr>
      <w:tr w14:paraId="5839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55DAA7E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394" w:type="dxa"/>
            <w:noWrap w:val="0"/>
            <w:vAlign w:val="center"/>
          </w:tcPr>
          <w:p w14:paraId="3737542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深圳华制智能制造技术有限公司</w:t>
            </w:r>
          </w:p>
        </w:tc>
        <w:tc>
          <w:tcPr>
            <w:tcW w:w="4397" w:type="dxa"/>
            <w:noWrap w:val="0"/>
            <w:vAlign w:val="center"/>
          </w:tcPr>
          <w:p w14:paraId="3F2B6FD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深圳华制智能制造技术有限公司依托华制云工业互联网平台推动智能机器人中小企业链式协同与智造升级</w:t>
            </w:r>
          </w:p>
        </w:tc>
        <w:tc>
          <w:tcPr>
            <w:tcW w:w="1080" w:type="dxa"/>
            <w:noWrap w:val="0"/>
            <w:vAlign w:val="center"/>
          </w:tcPr>
          <w:p w14:paraId="2854A0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智能机器人</w:t>
            </w:r>
          </w:p>
        </w:tc>
        <w:tc>
          <w:tcPr>
            <w:tcW w:w="1065" w:type="dxa"/>
            <w:noWrap w:val="0"/>
            <w:vAlign w:val="center"/>
          </w:tcPr>
          <w:p w14:paraId="1ED434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产业链赋能类型</w:t>
            </w:r>
          </w:p>
        </w:tc>
      </w:tr>
      <w:tr w14:paraId="3CD4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513346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394" w:type="dxa"/>
            <w:noWrap w:val="0"/>
            <w:vAlign w:val="center"/>
          </w:tcPr>
          <w:p w14:paraId="3389EF2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深圳市宝安区半导体行业协会</w:t>
            </w:r>
          </w:p>
        </w:tc>
        <w:tc>
          <w:tcPr>
            <w:tcW w:w="4397" w:type="dxa"/>
            <w:noWrap w:val="0"/>
            <w:vAlign w:val="center"/>
          </w:tcPr>
          <w:p w14:paraId="13828E8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宝安区半导体封装测试设备产业集群以“基建支撑一链主企业带动一数字生态集聚”三位一体赋能模式，带动集群中小企业数字化升级</w:t>
            </w:r>
          </w:p>
        </w:tc>
        <w:tc>
          <w:tcPr>
            <w:tcW w:w="1080" w:type="dxa"/>
            <w:noWrap w:val="0"/>
            <w:vAlign w:val="center"/>
          </w:tcPr>
          <w:p w14:paraId="65AA2F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半导体与集成电路</w:t>
            </w:r>
          </w:p>
        </w:tc>
        <w:tc>
          <w:tcPr>
            <w:tcW w:w="1065" w:type="dxa"/>
            <w:noWrap w:val="0"/>
            <w:vAlign w:val="center"/>
          </w:tcPr>
          <w:p w14:paraId="7541C6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/产业集群转型类型/</w:t>
            </w:r>
          </w:p>
        </w:tc>
      </w:tr>
      <w:tr w14:paraId="13A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278EBE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394" w:type="dxa"/>
            <w:noWrap w:val="0"/>
            <w:vAlign w:val="center"/>
          </w:tcPr>
          <w:p w14:paraId="1FE9C04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深标智能检测与评定技术服务（深圳）有限公司</w:t>
            </w:r>
          </w:p>
        </w:tc>
        <w:tc>
          <w:tcPr>
            <w:tcW w:w="4397" w:type="dxa"/>
            <w:noWrap w:val="0"/>
            <w:vAlign w:val="center"/>
          </w:tcPr>
          <w:p w14:paraId="3F53BC9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深港智能制造共性技术平台通过打造产品生命周期数字化服务协同机制，带动合作区精密仪器设备集群上下游中小企业转型升级</w:t>
            </w:r>
          </w:p>
        </w:tc>
        <w:tc>
          <w:tcPr>
            <w:tcW w:w="1080" w:type="dxa"/>
            <w:noWrap w:val="0"/>
            <w:vAlign w:val="center"/>
          </w:tcPr>
          <w:p w14:paraId="64FF3A7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精密仪器设备</w:t>
            </w:r>
          </w:p>
        </w:tc>
        <w:tc>
          <w:tcPr>
            <w:tcW w:w="1065" w:type="dxa"/>
            <w:noWrap w:val="0"/>
            <w:vAlign w:val="center"/>
          </w:tcPr>
          <w:p w14:paraId="21C3F0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产业集群转型类型</w:t>
            </w:r>
          </w:p>
        </w:tc>
      </w:tr>
      <w:tr w14:paraId="0F36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74B531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394" w:type="dxa"/>
            <w:noWrap w:val="0"/>
            <w:vAlign w:val="center"/>
          </w:tcPr>
          <w:p w14:paraId="0D48B88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深圳市南山智慧园区运营服务有限公司</w:t>
            </w:r>
          </w:p>
        </w:tc>
        <w:tc>
          <w:tcPr>
            <w:tcW w:w="4397" w:type="dxa"/>
            <w:noWrap w:val="0"/>
            <w:vAlign w:val="center"/>
          </w:tcPr>
          <w:p w14:paraId="01660F3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南山智园通过“园区搭台+链主牵引+平台赋能“中小协间”的协同化、生态化集群数字化转型模式，解决机器人产业链上中小企业不敢转、不会转的难题，带动园区中小企业实现研发-制造数字化闭环</w:t>
            </w:r>
          </w:p>
        </w:tc>
        <w:tc>
          <w:tcPr>
            <w:tcW w:w="1080" w:type="dxa"/>
            <w:noWrap w:val="0"/>
            <w:vAlign w:val="center"/>
          </w:tcPr>
          <w:p w14:paraId="3380F9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智能机器人</w:t>
            </w:r>
          </w:p>
        </w:tc>
        <w:tc>
          <w:tcPr>
            <w:tcW w:w="1065" w:type="dxa"/>
            <w:noWrap w:val="0"/>
            <w:vAlign w:val="center"/>
          </w:tcPr>
          <w:p w14:paraId="476843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产业集群转型类型</w:t>
            </w:r>
          </w:p>
        </w:tc>
      </w:tr>
      <w:tr w14:paraId="5FAA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57" w:type="dxa"/>
            <w:noWrap w:val="0"/>
            <w:vAlign w:val="center"/>
          </w:tcPr>
          <w:p w14:paraId="773B2A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394" w:type="dxa"/>
            <w:noWrap w:val="0"/>
            <w:vAlign w:val="center"/>
          </w:tcPr>
          <w:p w14:paraId="42EDFB1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荣耀终端股份有限公司</w:t>
            </w:r>
          </w:p>
        </w:tc>
        <w:tc>
          <w:tcPr>
            <w:tcW w:w="4397" w:type="dxa"/>
            <w:noWrap w:val="0"/>
            <w:vAlign w:val="center"/>
          </w:tcPr>
          <w:p w14:paraId="25C3033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荣耀通过数字化研发与供应链协同平台赋能半导体产业链中小企业协同增效</w:t>
            </w:r>
          </w:p>
        </w:tc>
        <w:tc>
          <w:tcPr>
            <w:tcW w:w="1080" w:type="dxa"/>
            <w:noWrap w:val="0"/>
            <w:vAlign w:val="center"/>
          </w:tcPr>
          <w:p w14:paraId="32F59C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半导体与集成电路</w:t>
            </w:r>
          </w:p>
        </w:tc>
        <w:tc>
          <w:tcPr>
            <w:tcW w:w="1065" w:type="dxa"/>
            <w:noWrap w:val="0"/>
            <w:vAlign w:val="center"/>
          </w:tcPr>
          <w:p w14:paraId="2A1CBEA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供应链赋能类型</w:t>
            </w:r>
          </w:p>
        </w:tc>
      </w:tr>
    </w:tbl>
    <w:p w14:paraId="43C04289"/>
    <w:p w14:paraId="6E356077">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65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5A065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795A065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13E8F"/>
    <w:rsid w:val="5731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0" w:firstLineChars="0"/>
    </w:pPr>
    <w:rPr>
      <w:sz w:val="24"/>
    </w:rPr>
  </w:style>
  <w:style w:type="paragraph" w:styleId="3">
    <w:name w:val="Body Text"/>
    <w:basedOn w:val="1"/>
    <w:qFormat/>
    <w:uiPriority w:val="1"/>
    <w:rPr>
      <w:sz w:val="28"/>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2025-12-30T07:02:00Z</dcterms:created>
  <dc:creator>lin彤</dc:creator>
  <cp:lastModifiedBy>lin彤</cp:lastModifiedBy>
  <dcterms:modified xsi:type="dcterms:W3CDTF">2025-12-30T07:03:27Z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C5D4DD93D3FE45DDA79EBA7ACC157A90_11</vt:lpwstr>
  </property>
  <property fmtid="{D5CDD505-2E9C-101B-9397-08002B2CF9AE}" pid="4" name="KSOTemplateDocerSaveRecord">
    <vt:lpwstr>eyJoZGlkIjoiZDRhZmZhNmRjOTZlOGJmN2I2YzBiMWQ5MDI1YzljNTkiLCJ1c2VySWQiOiIzNjAzMjM4OTMifQ==</vt:lpwstr>
  </property>
</Properties>
</file>